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9851" w14:textId="73CA7E5F" w:rsidR="00D56AD6" w:rsidRDefault="005D604A" w:rsidP="004D6582">
      <w:pPr>
        <w:spacing w:line="30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SAPORE</w:t>
      </w:r>
      <w:r w:rsidR="00D56AD6" w:rsidRPr="00D56AD6">
        <w:rPr>
          <w:rFonts w:ascii="Tahoma" w:hAnsi="Tahoma" w:cs="Tahoma"/>
          <w:b/>
        </w:rPr>
        <w:t xml:space="preserve"> S.A </w:t>
      </w:r>
    </w:p>
    <w:p w14:paraId="58C4EDAE" w14:textId="56C686BD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 nº </w:t>
      </w:r>
      <w:r w:rsidR="005D604A">
        <w:rPr>
          <w:rFonts w:ascii="Tahoma" w:hAnsi="Tahoma" w:cs="Tahoma"/>
          <w:caps/>
          <w:sz w:val="22"/>
          <w:szCs w:val="22"/>
        </w:rPr>
        <w:t>67</w:t>
      </w:r>
      <w:r w:rsidR="00D56AD6" w:rsidRPr="00D56AD6">
        <w:rPr>
          <w:rFonts w:ascii="Tahoma" w:hAnsi="Tahoma" w:cs="Tahoma"/>
          <w:caps/>
          <w:sz w:val="22"/>
          <w:szCs w:val="22"/>
        </w:rPr>
        <w:t>.</w:t>
      </w:r>
      <w:r w:rsidR="005D604A">
        <w:rPr>
          <w:rFonts w:ascii="Tahoma" w:hAnsi="Tahoma" w:cs="Tahoma"/>
          <w:caps/>
          <w:sz w:val="22"/>
          <w:szCs w:val="22"/>
        </w:rPr>
        <w:t>945</w:t>
      </w:r>
      <w:r w:rsidR="00D56AD6" w:rsidRPr="00D56AD6">
        <w:rPr>
          <w:rFonts w:ascii="Tahoma" w:hAnsi="Tahoma" w:cs="Tahoma"/>
          <w:caps/>
          <w:sz w:val="22"/>
          <w:szCs w:val="22"/>
        </w:rPr>
        <w:t>.</w:t>
      </w:r>
      <w:r w:rsidR="005D604A">
        <w:rPr>
          <w:rFonts w:ascii="Tahoma" w:hAnsi="Tahoma" w:cs="Tahoma"/>
          <w:caps/>
          <w:sz w:val="22"/>
          <w:szCs w:val="22"/>
        </w:rPr>
        <w:t>071</w:t>
      </w:r>
      <w:r w:rsidR="00D56AD6" w:rsidRPr="00D56AD6">
        <w:rPr>
          <w:rFonts w:ascii="Tahoma" w:hAnsi="Tahoma" w:cs="Tahoma"/>
          <w:caps/>
          <w:sz w:val="22"/>
          <w:szCs w:val="22"/>
        </w:rPr>
        <w:t>/0001-</w:t>
      </w:r>
      <w:r w:rsidR="005D604A">
        <w:rPr>
          <w:rFonts w:ascii="Tahoma" w:hAnsi="Tahoma" w:cs="Tahoma"/>
          <w:caps/>
          <w:sz w:val="22"/>
          <w:szCs w:val="22"/>
        </w:rPr>
        <w:t>3</w:t>
      </w:r>
      <w:r w:rsidR="00D56AD6" w:rsidRPr="00D56AD6">
        <w:rPr>
          <w:rFonts w:ascii="Tahoma" w:hAnsi="Tahoma" w:cs="Tahoma"/>
          <w:caps/>
          <w:sz w:val="22"/>
          <w:szCs w:val="22"/>
        </w:rPr>
        <w:t>8</w:t>
      </w:r>
    </w:p>
    <w:p w14:paraId="15DF1DBB" w14:textId="5183E22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5D604A">
        <w:rPr>
          <w:rFonts w:ascii="Tahoma" w:hAnsi="Tahoma" w:cs="Tahoma"/>
        </w:rPr>
        <w:t>35</w:t>
      </w:r>
      <w:r w:rsidR="00D56AD6" w:rsidRPr="00D56AD6">
        <w:rPr>
          <w:rFonts w:ascii="Tahoma" w:hAnsi="Tahoma" w:cs="Tahoma"/>
        </w:rPr>
        <w:t>.300.</w:t>
      </w:r>
      <w:r w:rsidR="005D604A">
        <w:rPr>
          <w:rFonts w:ascii="Tahoma" w:hAnsi="Tahoma" w:cs="Tahoma"/>
        </w:rPr>
        <w:t>193</w:t>
      </w:r>
      <w:r w:rsidR="00D56AD6" w:rsidRPr="00D56AD6">
        <w:rPr>
          <w:rFonts w:ascii="Tahoma" w:hAnsi="Tahoma" w:cs="Tahoma"/>
        </w:rPr>
        <w:t>.</w:t>
      </w:r>
      <w:r w:rsidR="005D604A">
        <w:rPr>
          <w:rFonts w:ascii="Tahoma" w:hAnsi="Tahoma" w:cs="Tahoma"/>
        </w:rPr>
        <w:t>687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5B94FB46" w:rsidR="004D6582" w:rsidRPr="005F1BA6" w:rsidRDefault="00E91F9E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r w:rsidRPr="005F1BA6">
        <w:rPr>
          <w:rFonts w:ascii="Tahoma" w:hAnsi="Tahoma" w:cs="Tahoma"/>
          <w:b/>
          <w:bCs/>
          <w:sz w:val="22"/>
          <w:szCs w:val="22"/>
        </w:rPr>
        <w:t>ATA DA ASSEMBLEIA GERAL DOS DEBENTURISTAS</w:t>
      </w:r>
      <w:r w:rsidR="006E5041" w:rsidRPr="005F1BA6">
        <w:rPr>
          <w:rFonts w:ascii="Tahoma" w:hAnsi="Tahoma" w:cs="Tahoma"/>
          <w:b/>
          <w:bCs/>
          <w:sz w:val="22"/>
          <w:szCs w:val="22"/>
        </w:rPr>
        <w:t xml:space="preserve"> DA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>1ª (PRIMEIRA) EMISSÃO DE DEBÊNTURES SIMPLES, NÃO CONVERSÍVEIS EM AÇÕES, DA ESPÉCIE</w:t>
      </w:r>
      <w:r w:rsidR="005D604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COM GARANTIA REAL E </w:t>
      </w:r>
      <w:r w:rsidR="005D604A">
        <w:rPr>
          <w:rFonts w:ascii="Tahoma" w:hAnsi="Tahoma" w:cs="Tahoma"/>
          <w:b/>
          <w:bCs/>
          <w:sz w:val="22"/>
          <w:szCs w:val="22"/>
        </w:rPr>
        <w:t xml:space="preserve">GARANTIA ADICIONAL 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FIDEJUSSÓRIA, EM SÉRIE ÚNICA, PARA DISTRIBUIÇÃO PÚBLICA, COM ESFORÇOS RESTRITOS DE DISTRIBUIÇÃO, DA </w:t>
      </w:r>
      <w:r w:rsidR="005D604A">
        <w:rPr>
          <w:rFonts w:ascii="Tahoma" w:hAnsi="Tahoma" w:cs="Tahoma"/>
          <w:b/>
          <w:bCs/>
          <w:sz w:val="22"/>
          <w:szCs w:val="22"/>
        </w:rPr>
        <w:t>SAPORE</w:t>
      </w:r>
      <w:r w:rsidR="00D56AD6" w:rsidRPr="00D56AD6">
        <w:rPr>
          <w:rFonts w:ascii="Tahoma" w:hAnsi="Tahoma" w:cs="Tahoma"/>
          <w:b/>
          <w:bCs/>
          <w:sz w:val="22"/>
          <w:szCs w:val="22"/>
        </w:rPr>
        <w:t xml:space="preserve"> S.A</w:t>
      </w:r>
      <w:r w:rsidR="00E03AAE" w:rsidRPr="005F1BA6">
        <w:rPr>
          <w:rFonts w:ascii="Tahoma" w:hAnsi="Tahoma" w:cs="Tahoma"/>
          <w:b/>
          <w:bCs/>
          <w:sz w:val="22"/>
          <w:szCs w:val="22"/>
        </w:rPr>
        <w:t>.</w:t>
      </w:r>
      <w:r w:rsidRPr="005F1BA6">
        <w:rPr>
          <w:rFonts w:ascii="Tahoma" w:hAnsi="Tahoma" w:cs="Tahoma"/>
          <w:b/>
          <w:bCs/>
          <w:sz w:val="22"/>
          <w:szCs w:val="22"/>
        </w:rPr>
        <w:t xml:space="preserve">, REALIZADA EM </w:t>
      </w:r>
      <w:r w:rsidR="00AF26DD" w:rsidRPr="00AF26DD">
        <w:rPr>
          <w:rFonts w:ascii="Tahoma" w:hAnsi="Tahoma" w:cs="Tahoma"/>
          <w:b/>
          <w:bCs/>
          <w:sz w:val="22"/>
          <w:szCs w:val="22"/>
          <w:highlight w:val="yellow"/>
        </w:rPr>
        <w:t>XX DE MARÇO DE 2022</w:t>
      </w:r>
      <w:r w:rsidRPr="005F1BA6">
        <w:rPr>
          <w:rFonts w:ascii="Tahoma" w:hAnsi="Tahoma" w:cs="Tahoma"/>
          <w:b/>
          <w:bCs/>
          <w:sz w:val="22"/>
          <w:szCs w:val="22"/>
        </w:rPr>
        <w:t>.</w:t>
      </w:r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66C0A5BD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AF26DD" w:rsidRPr="00AF26DD">
        <w:rPr>
          <w:rFonts w:ascii="Tahoma" w:hAnsi="Tahoma" w:cs="Tahoma"/>
          <w:sz w:val="22"/>
          <w:szCs w:val="22"/>
          <w:highlight w:val="yellow"/>
        </w:rPr>
        <w:t>XX</w:t>
      </w:r>
      <w:r w:rsidRPr="00AF26DD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AA74B6" w:rsidRPr="00AF26DD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AF26DD" w:rsidRPr="00AF26DD">
        <w:rPr>
          <w:rFonts w:ascii="Tahoma" w:hAnsi="Tahoma" w:cs="Tahoma"/>
          <w:sz w:val="22"/>
          <w:szCs w:val="22"/>
          <w:highlight w:val="yellow"/>
        </w:rPr>
        <w:t>março</w:t>
      </w:r>
      <w:r w:rsidR="00C4330B" w:rsidRPr="00AF26DD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970121" w:rsidRPr="00AF26DD">
        <w:rPr>
          <w:rFonts w:ascii="Tahoma" w:hAnsi="Tahoma" w:cs="Tahoma"/>
          <w:sz w:val="22"/>
          <w:szCs w:val="22"/>
          <w:highlight w:val="yellow"/>
        </w:rPr>
        <w:t xml:space="preserve">de </w:t>
      </w:r>
      <w:r w:rsidR="002A23F5" w:rsidRPr="00AF26DD">
        <w:rPr>
          <w:rFonts w:ascii="Tahoma" w:hAnsi="Tahoma" w:cs="Tahoma"/>
          <w:bCs/>
          <w:sz w:val="22"/>
          <w:szCs w:val="22"/>
          <w:highlight w:val="yellow"/>
        </w:rPr>
        <w:t>20</w:t>
      </w:r>
      <w:r w:rsidR="00B900CC" w:rsidRPr="00AF26DD">
        <w:rPr>
          <w:rFonts w:ascii="Tahoma" w:hAnsi="Tahoma" w:cs="Tahoma"/>
          <w:bCs/>
          <w:sz w:val="22"/>
          <w:szCs w:val="22"/>
          <w:highlight w:val="yellow"/>
        </w:rPr>
        <w:t>2</w:t>
      </w:r>
      <w:r w:rsidR="00AF26DD" w:rsidRPr="00AF26DD">
        <w:rPr>
          <w:rFonts w:ascii="Tahoma" w:hAnsi="Tahoma" w:cs="Tahoma"/>
          <w:bCs/>
          <w:sz w:val="22"/>
          <w:szCs w:val="22"/>
          <w:highlight w:val="yellow"/>
        </w:rPr>
        <w:t>2</w:t>
      </w:r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62B38">
        <w:rPr>
          <w:rFonts w:ascii="Tahoma" w:hAnsi="Tahoma" w:cs="Tahoma"/>
          <w:bCs/>
          <w:sz w:val="22"/>
          <w:szCs w:val="22"/>
        </w:rPr>
        <w:t>10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5D604A">
        <w:rPr>
          <w:rFonts w:ascii="Tahoma" w:hAnsi="Tahoma" w:cs="Tahoma"/>
          <w:sz w:val="22"/>
          <w:szCs w:val="22"/>
        </w:rPr>
        <w:t>SAPORE</w:t>
      </w:r>
      <w:r w:rsidR="00D56AD6" w:rsidRPr="00D56AD6">
        <w:rPr>
          <w:rFonts w:ascii="Tahoma" w:hAnsi="Tahoma" w:cs="Tahoma"/>
          <w:sz w:val="22"/>
          <w:szCs w:val="22"/>
        </w:rPr>
        <w:t xml:space="preserve"> S.A</w:t>
      </w:r>
      <w:r w:rsidR="00E03AAE" w:rsidRPr="005F1BA6">
        <w:rPr>
          <w:rFonts w:ascii="Tahoma" w:hAnsi="Tahoma" w:cs="Tahoma"/>
          <w:sz w:val="22"/>
          <w:szCs w:val="22"/>
        </w:rPr>
        <w:t>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 xml:space="preserve">cidade de </w:t>
      </w:r>
      <w:r w:rsidR="005D604A">
        <w:rPr>
          <w:rFonts w:ascii="Tahoma" w:hAnsi="Tahoma" w:cs="Tahoma"/>
          <w:sz w:val="22"/>
          <w:szCs w:val="22"/>
        </w:rPr>
        <w:t>Campinas</w:t>
      </w:r>
      <w:r w:rsidR="00E03AAE" w:rsidRPr="00962247">
        <w:rPr>
          <w:rFonts w:ascii="Tahoma" w:hAnsi="Tahoma" w:cs="Tahoma"/>
          <w:sz w:val="22"/>
          <w:szCs w:val="22"/>
        </w:rPr>
        <w:t xml:space="preserve">, estado de </w:t>
      </w:r>
      <w:r w:rsidR="005D604A">
        <w:rPr>
          <w:rFonts w:ascii="Tahoma" w:hAnsi="Tahoma" w:cs="Tahoma"/>
          <w:sz w:val="22"/>
          <w:szCs w:val="22"/>
        </w:rPr>
        <w:t>São Paulo</w:t>
      </w:r>
      <w:r w:rsidR="00E03AAE" w:rsidRPr="00962247">
        <w:rPr>
          <w:rFonts w:ascii="Tahoma" w:hAnsi="Tahoma" w:cs="Tahoma"/>
          <w:sz w:val="22"/>
          <w:szCs w:val="22"/>
        </w:rPr>
        <w:t xml:space="preserve">, na </w:t>
      </w:r>
      <w:r w:rsidR="00D56AD6" w:rsidRPr="00D56AD6">
        <w:rPr>
          <w:rFonts w:ascii="Tahoma" w:hAnsi="Tahoma" w:cs="Tahoma"/>
          <w:sz w:val="22"/>
          <w:szCs w:val="22"/>
        </w:rPr>
        <w:t xml:space="preserve">Avenida </w:t>
      </w:r>
      <w:r w:rsidR="005D604A">
        <w:rPr>
          <w:rFonts w:ascii="Tahoma" w:hAnsi="Tahoma" w:cs="Tahoma"/>
          <w:sz w:val="22"/>
          <w:szCs w:val="22"/>
        </w:rPr>
        <w:t>Antônio Artioli</w:t>
      </w:r>
      <w:r w:rsidR="00D56AD6" w:rsidRPr="00D56AD6">
        <w:rPr>
          <w:rFonts w:ascii="Tahoma" w:hAnsi="Tahoma" w:cs="Tahoma"/>
          <w:sz w:val="22"/>
          <w:szCs w:val="22"/>
        </w:rPr>
        <w:t xml:space="preserve">, nº </w:t>
      </w:r>
      <w:r w:rsidR="005D604A">
        <w:rPr>
          <w:rFonts w:ascii="Tahoma" w:hAnsi="Tahoma" w:cs="Tahoma"/>
          <w:sz w:val="22"/>
          <w:szCs w:val="22"/>
        </w:rPr>
        <w:t>570</w:t>
      </w:r>
      <w:r w:rsidR="00D56AD6" w:rsidRPr="00D56AD6">
        <w:rPr>
          <w:rFonts w:ascii="Tahoma" w:hAnsi="Tahoma" w:cs="Tahoma"/>
          <w:sz w:val="22"/>
          <w:szCs w:val="22"/>
        </w:rPr>
        <w:t xml:space="preserve">, </w:t>
      </w:r>
      <w:r w:rsidR="005D604A">
        <w:rPr>
          <w:rFonts w:ascii="Tahoma" w:hAnsi="Tahoma" w:cs="Tahoma"/>
          <w:sz w:val="22"/>
          <w:szCs w:val="22"/>
        </w:rPr>
        <w:t>Edifício Altdorf. Bairro Swiss Park</w:t>
      </w:r>
      <w:r w:rsidR="00D56AD6" w:rsidRPr="00D56AD6">
        <w:rPr>
          <w:rFonts w:ascii="Tahoma" w:hAnsi="Tahoma" w:cs="Tahoma"/>
          <w:sz w:val="22"/>
          <w:szCs w:val="22"/>
        </w:rPr>
        <w:t xml:space="preserve">, CEP </w:t>
      </w:r>
      <w:r w:rsidR="005D604A">
        <w:rPr>
          <w:rFonts w:ascii="Tahoma" w:hAnsi="Tahoma" w:cs="Tahoma"/>
          <w:sz w:val="22"/>
          <w:szCs w:val="22"/>
        </w:rPr>
        <w:t>13</w:t>
      </w:r>
      <w:r w:rsidR="00D56AD6" w:rsidRPr="00D56AD6">
        <w:rPr>
          <w:rFonts w:ascii="Tahoma" w:hAnsi="Tahoma" w:cs="Tahoma"/>
          <w:sz w:val="22"/>
          <w:szCs w:val="22"/>
        </w:rPr>
        <w:t>.</w:t>
      </w:r>
      <w:r w:rsidR="005D604A">
        <w:rPr>
          <w:rFonts w:ascii="Tahoma" w:hAnsi="Tahoma" w:cs="Tahoma"/>
          <w:sz w:val="22"/>
          <w:szCs w:val="22"/>
        </w:rPr>
        <w:t>049</w:t>
      </w:r>
      <w:r w:rsidR="00D56AD6" w:rsidRPr="00D56AD6">
        <w:rPr>
          <w:rFonts w:ascii="Tahoma" w:hAnsi="Tahoma" w:cs="Tahoma"/>
          <w:sz w:val="22"/>
          <w:szCs w:val="22"/>
        </w:rPr>
        <w:t>-</w:t>
      </w:r>
      <w:r w:rsidR="005D604A">
        <w:rPr>
          <w:rFonts w:ascii="Tahoma" w:hAnsi="Tahoma" w:cs="Tahoma"/>
          <w:sz w:val="22"/>
          <w:szCs w:val="22"/>
        </w:rPr>
        <w:t>900</w:t>
      </w:r>
      <w:r w:rsidR="00D56AD6">
        <w:rPr>
          <w:rFonts w:ascii="Tahoma" w:hAnsi="Tahoma" w:cs="Tahoma"/>
          <w:sz w:val="22"/>
          <w:szCs w:val="22"/>
        </w:rPr>
        <w:t xml:space="preserve">.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71E36052" w14:textId="053292F6" w:rsidR="004D6582" w:rsidRPr="005F1BA6" w:rsidRDefault="004D6582" w:rsidP="004D6582">
      <w:pPr>
        <w:tabs>
          <w:tab w:val="left" w:pos="993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r w:rsidR="009A5AEC" w:rsidRPr="005F1BA6">
        <w:rPr>
          <w:rFonts w:ascii="Tahoma" w:hAnsi="Tahoma" w:cs="Tahoma"/>
          <w:sz w:val="22"/>
          <w:szCs w:val="22"/>
        </w:rPr>
        <w:t xml:space="preserve">Dispensada a convocação por edital, nos termos dos artigos 71, §2º e 124 § 4º da Lei nº 6.404 de 15 de dezembro de 1976 conforme alterada (“Lei 6.404/76”), </w:t>
      </w:r>
      <w:r w:rsidR="00B1449D">
        <w:rPr>
          <w:rFonts w:ascii="Tahoma" w:hAnsi="Tahoma" w:cs="Tahoma"/>
          <w:sz w:val="22"/>
          <w:szCs w:val="22"/>
        </w:rPr>
        <w:t xml:space="preserve">bem como do </w:t>
      </w:r>
      <w:r w:rsidR="000C35B0">
        <w:rPr>
          <w:rFonts w:ascii="Tahoma" w:hAnsi="Tahoma" w:cs="Tahoma"/>
          <w:sz w:val="22"/>
          <w:szCs w:val="22"/>
        </w:rPr>
        <w:t>Cláusula</w:t>
      </w:r>
      <w:r w:rsidR="00B1449D">
        <w:rPr>
          <w:rFonts w:ascii="Tahoma" w:hAnsi="Tahoma" w:cs="Tahoma"/>
          <w:sz w:val="22"/>
          <w:szCs w:val="22"/>
        </w:rPr>
        <w:t xml:space="preserve"> </w:t>
      </w:r>
      <w:r w:rsidR="00D56AD6">
        <w:rPr>
          <w:rFonts w:ascii="Tahoma" w:hAnsi="Tahoma" w:cs="Tahoma"/>
          <w:sz w:val="22"/>
          <w:szCs w:val="22"/>
        </w:rPr>
        <w:t>1</w:t>
      </w:r>
      <w:r w:rsidR="0010043E">
        <w:rPr>
          <w:rFonts w:ascii="Tahoma" w:hAnsi="Tahoma" w:cs="Tahoma"/>
          <w:sz w:val="22"/>
          <w:szCs w:val="22"/>
        </w:rPr>
        <w:t>0.1.2</w:t>
      </w:r>
      <w:r w:rsidR="00B1449D">
        <w:rPr>
          <w:rFonts w:ascii="Tahoma" w:hAnsi="Tahoma" w:cs="Tahoma"/>
          <w:sz w:val="22"/>
          <w:szCs w:val="22"/>
        </w:rPr>
        <w:t xml:space="preserve"> do “</w:t>
      </w:r>
      <w:r w:rsidR="00D56AD6" w:rsidRPr="00D56AD6">
        <w:rPr>
          <w:rFonts w:ascii="Tahoma" w:hAnsi="Tahoma" w:cs="Tahoma"/>
          <w:i/>
          <w:sz w:val="22"/>
          <w:szCs w:val="22"/>
        </w:rPr>
        <w:t>Instrumento Particular de Escritura da 1ª (Primeira) Emissão de Debêntures Simples, Não Conversíveis em Ações, da Espécie com Garantia Real e</w:t>
      </w:r>
      <w:r w:rsidR="005D604A">
        <w:rPr>
          <w:rFonts w:ascii="Tahoma" w:hAnsi="Tahoma" w:cs="Tahoma"/>
          <w:i/>
          <w:sz w:val="22"/>
          <w:szCs w:val="22"/>
        </w:rPr>
        <w:t xml:space="preserve"> </w:t>
      </w:r>
      <w:r w:rsidR="00D56AD6" w:rsidRPr="00D56AD6">
        <w:rPr>
          <w:rFonts w:ascii="Tahoma" w:hAnsi="Tahoma" w:cs="Tahoma"/>
          <w:i/>
          <w:sz w:val="22"/>
          <w:szCs w:val="22"/>
        </w:rPr>
        <w:t xml:space="preserve">Garantia Adicional Fidejussória, em Série Única, Para Distribuição Pública, Com Esforços Restritos de Distribuição, da </w:t>
      </w:r>
      <w:r w:rsidR="005D604A">
        <w:rPr>
          <w:rFonts w:ascii="Tahoma" w:hAnsi="Tahoma" w:cs="Tahoma"/>
          <w:i/>
          <w:sz w:val="22"/>
          <w:szCs w:val="22"/>
        </w:rPr>
        <w:t>Sapore</w:t>
      </w:r>
      <w:r w:rsidR="00D56AD6" w:rsidRPr="00D56AD6">
        <w:rPr>
          <w:rFonts w:ascii="Tahoma" w:hAnsi="Tahoma" w:cs="Tahoma"/>
          <w:i/>
          <w:sz w:val="22"/>
          <w:szCs w:val="22"/>
        </w:rPr>
        <w:t xml:space="preserve"> S.A</w:t>
      </w:r>
      <w:r w:rsidR="00B1449D" w:rsidRPr="00B1449D">
        <w:rPr>
          <w:rFonts w:ascii="Tahoma" w:hAnsi="Tahoma" w:cs="Tahoma"/>
          <w:sz w:val="22"/>
          <w:szCs w:val="22"/>
        </w:rPr>
        <w:t>”</w:t>
      </w:r>
      <w:r w:rsidR="00B1449D">
        <w:rPr>
          <w:rFonts w:ascii="Tahoma" w:hAnsi="Tahoma" w:cs="Tahoma"/>
          <w:sz w:val="22"/>
          <w:szCs w:val="22"/>
        </w:rPr>
        <w:t xml:space="preserve"> (“Escritura de Emissão”), </w:t>
      </w:r>
      <w:r w:rsidR="009A5AEC" w:rsidRPr="005F1BA6">
        <w:rPr>
          <w:rFonts w:ascii="Tahoma" w:hAnsi="Tahoma" w:cs="Tahoma"/>
          <w:sz w:val="22"/>
          <w:szCs w:val="22"/>
        </w:rPr>
        <w:t xml:space="preserve">tendo em vista a presença </w:t>
      </w:r>
      <w:r w:rsidR="00962247">
        <w:rPr>
          <w:rFonts w:ascii="Tahoma" w:hAnsi="Tahoma" w:cs="Tahoma"/>
          <w:sz w:val="22"/>
          <w:szCs w:val="22"/>
        </w:rPr>
        <w:t>de</w:t>
      </w:r>
      <w:r w:rsidR="00962247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debenturistas representando 100% (cem por cento) das debêntures em circulação</w:t>
      </w:r>
      <w:r w:rsidR="000C35B0">
        <w:rPr>
          <w:rFonts w:ascii="Tahoma" w:hAnsi="Tahoma" w:cs="Tahoma"/>
          <w:sz w:val="22"/>
          <w:szCs w:val="22"/>
        </w:rPr>
        <w:t>, t</w:t>
      </w:r>
      <w:r w:rsidR="00962247">
        <w:rPr>
          <w:rFonts w:ascii="Tahoma" w:hAnsi="Tahoma" w:cs="Tahoma"/>
          <w:sz w:val="22"/>
          <w:szCs w:val="22"/>
        </w:rPr>
        <w:t xml:space="preserve">ambém presentes à Assembleia (i) </w:t>
      </w:r>
      <w:r w:rsidR="00E176E6" w:rsidRPr="00E176E6">
        <w:rPr>
          <w:rFonts w:ascii="Tahoma" w:hAnsi="Tahoma" w:cs="Tahoma"/>
          <w:sz w:val="22"/>
          <w:szCs w:val="22"/>
        </w:rPr>
        <w:t>o representante da Simplific Pavarini Distribuidora de Títulos e Valores Mobiliários Ltda. (“Agente Fiduciário”);</w:t>
      </w:r>
      <w:r w:rsidR="00962247">
        <w:rPr>
          <w:rFonts w:ascii="Tahoma" w:hAnsi="Tahoma" w:cs="Tahoma"/>
          <w:sz w:val="22"/>
          <w:szCs w:val="22"/>
        </w:rPr>
        <w:t xml:space="preserve">(ii) </w:t>
      </w:r>
      <w:r w:rsidR="00E176E6" w:rsidRPr="00E176E6">
        <w:rPr>
          <w:rFonts w:ascii="Tahoma" w:hAnsi="Tahoma" w:cs="Tahoma"/>
          <w:sz w:val="22"/>
          <w:szCs w:val="22"/>
        </w:rPr>
        <w:t>os representantes da Emissora (“Representantes da Emissora”) conforme folha de assinaturas constante no final desta ata</w:t>
      </w:r>
      <w:r w:rsidR="00E176E6" w:rsidRPr="00E176E6" w:rsidDel="00E176E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a</w:t>
      </w:r>
      <w:r w:rsidR="00E03AAE" w:rsidRPr="005F1BA6">
        <w:rPr>
          <w:rFonts w:ascii="Tahoma" w:hAnsi="Tahoma" w:cs="Tahoma"/>
          <w:sz w:val="22"/>
          <w:szCs w:val="22"/>
        </w:rPr>
        <w:t>; e (i</w:t>
      </w:r>
      <w:r w:rsidR="00962247">
        <w:rPr>
          <w:rFonts w:ascii="Tahoma" w:hAnsi="Tahoma" w:cs="Tahoma"/>
          <w:sz w:val="22"/>
          <w:szCs w:val="22"/>
        </w:rPr>
        <w:t>ii</w:t>
      </w:r>
      <w:r w:rsidR="00E03AAE" w:rsidRPr="005F1BA6">
        <w:rPr>
          <w:rFonts w:ascii="Tahoma" w:hAnsi="Tahoma" w:cs="Tahoma"/>
          <w:sz w:val="22"/>
          <w:szCs w:val="22"/>
        </w:rPr>
        <w:t xml:space="preserve">) e </w:t>
      </w:r>
      <w:r w:rsidR="00962247">
        <w:rPr>
          <w:rFonts w:ascii="Tahoma" w:hAnsi="Tahoma" w:cs="Tahoma"/>
          <w:sz w:val="22"/>
          <w:szCs w:val="22"/>
        </w:rPr>
        <w:t>o</w:t>
      </w:r>
      <w:r w:rsidR="000C35B0">
        <w:rPr>
          <w:rFonts w:ascii="Tahoma" w:hAnsi="Tahoma" w:cs="Tahoma"/>
          <w:sz w:val="22"/>
          <w:szCs w:val="22"/>
        </w:rPr>
        <w:t xml:space="preserve"> </w:t>
      </w:r>
      <w:r w:rsidR="00962247">
        <w:rPr>
          <w:rFonts w:ascii="Tahoma" w:hAnsi="Tahoma" w:cs="Tahoma"/>
          <w:sz w:val="22"/>
          <w:szCs w:val="22"/>
        </w:rPr>
        <w:t>Sr.</w:t>
      </w:r>
      <w:r w:rsidR="005D604A">
        <w:rPr>
          <w:rFonts w:ascii="Tahoma" w:hAnsi="Tahoma" w:cs="Tahoma"/>
          <w:sz w:val="22"/>
          <w:szCs w:val="22"/>
        </w:rPr>
        <w:t xml:space="preserve"> Daniel Eugênio Rivas Mendez,</w:t>
      </w:r>
      <w:r w:rsidR="00962247">
        <w:rPr>
          <w:rFonts w:ascii="Tahoma" w:hAnsi="Tahoma" w:cs="Tahoma"/>
          <w:sz w:val="22"/>
          <w:szCs w:val="22"/>
        </w:rPr>
        <w:t xml:space="preserve"> </w:t>
      </w:r>
      <w:r w:rsidR="005D604A">
        <w:rPr>
          <w:rFonts w:ascii="Tahoma" w:hAnsi="Tahoma" w:cs="Tahoma"/>
          <w:sz w:val="22"/>
          <w:szCs w:val="22"/>
        </w:rPr>
        <w:t>uruguaio</w:t>
      </w:r>
      <w:r w:rsidR="000C35B0" w:rsidRPr="000C35B0">
        <w:rPr>
          <w:rFonts w:ascii="Tahoma" w:hAnsi="Tahoma" w:cs="Tahoma"/>
          <w:sz w:val="22"/>
          <w:szCs w:val="22"/>
        </w:rPr>
        <w:t>, divorciado, empresário, portador da Cédula de Identidade</w:t>
      </w:r>
      <w:r w:rsidR="005D604A">
        <w:rPr>
          <w:rFonts w:ascii="Tahoma" w:hAnsi="Tahoma" w:cs="Tahoma"/>
          <w:sz w:val="22"/>
          <w:szCs w:val="22"/>
        </w:rPr>
        <w:t xml:space="preserve"> para estrangeiros RNE</w:t>
      </w:r>
      <w:r w:rsidR="000C35B0" w:rsidRPr="000C35B0">
        <w:rPr>
          <w:rFonts w:ascii="Tahoma" w:hAnsi="Tahoma" w:cs="Tahoma"/>
          <w:sz w:val="22"/>
          <w:szCs w:val="22"/>
        </w:rPr>
        <w:t xml:space="preserve"> nº </w:t>
      </w:r>
      <w:r w:rsidR="005D604A">
        <w:rPr>
          <w:rFonts w:ascii="Tahoma" w:hAnsi="Tahoma" w:cs="Tahoma"/>
          <w:sz w:val="22"/>
          <w:szCs w:val="22"/>
        </w:rPr>
        <w:t>W639469-V-SE/DPMAF/DPF</w:t>
      </w:r>
      <w:r w:rsidR="000C35B0" w:rsidRPr="000C35B0">
        <w:rPr>
          <w:rFonts w:ascii="Tahoma" w:hAnsi="Tahoma" w:cs="Tahoma"/>
          <w:sz w:val="22"/>
          <w:szCs w:val="22"/>
        </w:rPr>
        <w:t xml:space="preserve">, e inscrito no CPF sob nº </w:t>
      </w:r>
      <w:r w:rsidR="00FE642F">
        <w:rPr>
          <w:rFonts w:ascii="Tahoma" w:hAnsi="Tahoma" w:cs="Tahoma"/>
          <w:sz w:val="22"/>
          <w:szCs w:val="22"/>
        </w:rPr>
        <w:t>369</w:t>
      </w:r>
      <w:r w:rsidR="000C35B0" w:rsidRPr="000C35B0">
        <w:rPr>
          <w:rFonts w:ascii="Tahoma" w:hAnsi="Tahoma" w:cs="Tahoma"/>
          <w:sz w:val="22"/>
          <w:szCs w:val="22"/>
        </w:rPr>
        <w:t>.</w:t>
      </w:r>
      <w:r w:rsidR="00FE642F">
        <w:rPr>
          <w:rFonts w:ascii="Tahoma" w:hAnsi="Tahoma" w:cs="Tahoma"/>
          <w:sz w:val="22"/>
          <w:szCs w:val="22"/>
        </w:rPr>
        <w:t>819</w:t>
      </w:r>
      <w:r w:rsidR="000C35B0" w:rsidRPr="000C35B0">
        <w:rPr>
          <w:rFonts w:ascii="Tahoma" w:hAnsi="Tahoma" w:cs="Tahoma"/>
          <w:sz w:val="22"/>
          <w:szCs w:val="22"/>
        </w:rPr>
        <w:t>.</w:t>
      </w:r>
      <w:r w:rsidR="00FE642F">
        <w:rPr>
          <w:rFonts w:ascii="Tahoma" w:hAnsi="Tahoma" w:cs="Tahoma"/>
          <w:sz w:val="22"/>
          <w:szCs w:val="22"/>
        </w:rPr>
        <w:t>820</w:t>
      </w:r>
      <w:r w:rsidR="000C35B0" w:rsidRPr="000C35B0">
        <w:rPr>
          <w:rFonts w:ascii="Tahoma" w:hAnsi="Tahoma" w:cs="Tahoma"/>
          <w:sz w:val="22"/>
          <w:szCs w:val="22"/>
        </w:rPr>
        <w:t>-</w:t>
      </w:r>
      <w:r w:rsidR="00FE642F">
        <w:rPr>
          <w:rFonts w:ascii="Tahoma" w:hAnsi="Tahoma" w:cs="Tahoma"/>
          <w:sz w:val="22"/>
          <w:szCs w:val="22"/>
        </w:rPr>
        <w:t>72</w:t>
      </w:r>
      <w:r w:rsidR="000C35B0" w:rsidRPr="000C35B0">
        <w:rPr>
          <w:rFonts w:ascii="Tahoma" w:hAnsi="Tahoma" w:cs="Tahoma"/>
          <w:sz w:val="22"/>
          <w:szCs w:val="22"/>
        </w:rPr>
        <w:t xml:space="preserve">, </w:t>
      </w:r>
      <w:r w:rsidR="00FE642F">
        <w:rPr>
          <w:rFonts w:ascii="Tahoma" w:hAnsi="Tahoma" w:cs="Tahoma"/>
          <w:sz w:val="22"/>
          <w:szCs w:val="22"/>
        </w:rPr>
        <w:t xml:space="preserve">com endereço comercial na cidade de Campinas, Estado de São Paulo, na Avenida Antonio Artioli, 570, Edifício Altdorf, Bloco G, Condomínio Swiss Park Office (“Daniel” ou “Interveniente Garantidor”), </w:t>
      </w:r>
      <w:r w:rsidR="000C35B0" w:rsidRPr="000C35B0">
        <w:rPr>
          <w:rFonts w:ascii="Tahoma" w:hAnsi="Tahoma" w:cs="Tahoma"/>
          <w:sz w:val="22"/>
          <w:szCs w:val="22"/>
        </w:rPr>
        <w:t xml:space="preserve">identificado na respectiva página de assinatura deste instrumento </w:t>
      </w:r>
      <w:r w:rsidR="00FE642F">
        <w:rPr>
          <w:rFonts w:ascii="Tahoma" w:hAnsi="Tahoma" w:cs="Tahoma"/>
          <w:sz w:val="22"/>
          <w:szCs w:val="22"/>
        </w:rPr>
        <w:t>(</w:t>
      </w:r>
      <w:r w:rsidR="000C35B0" w:rsidRPr="000C35B0">
        <w:rPr>
          <w:rFonts w:ascii="Tahoma" w:hAnsi="Tahoma" w:cs="Tahoma"/>
          <w:sz w:val="22"/>
          <w:szCs w:val="22"/>
        </w:rPr>
        <w:t>“Fiador”);</w:t>
      </w:r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55BC5069" w:rsidR="00E46D18" w:rsidRPr="005F1BA6" w:rsidRDefault="004D6582" w:rsidP="00FE52CB">
      <w:pPr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" w:name="OLE_LINK3"/>
      <w:bookmarkStart w:id="2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r w:rsidR="00295BF4" w:rsidRPr="00CB592C">
        <w:rPr>
          <w:rFonts w:ascii="Tahoma" w:hAnsi="Tahoma" w:cs="Tahoma"/>
          <w:sz w:val="22"/>
          <w:szCs w:val="22"/>
        </w:rPr>
        <w:t>Sr.</w:t>
      </w:r>
      <w:r w:rsidR="00375DC9" w:rsidRPr="00CB592C">
        <w:rPr>
          <w:rFonts w:ascii="Tahoma" w:hAnsi="Tahoma" w:cs="Tahoma"/>
          <w:sz w:val="22"/>
          <w:szCs w:val="22"/>
        </w:rPr>
        <w:t xml:space="preserve"> </w:t>
      </w:r>
      <w:r w:rsidR="00AF26DD" w:rsidRPr="00AF26DD">
        <w:rPr>
          <w:rFonts w:ascii="Tahoma" w:hAnsi="Tahoma" w:cs="Tahoma"/>
          <w:sz w:val="22"/>
          <w:szCs w:val="22"/>
          <w:highlight w:val="yellow"/>
        </w:rPr>
        <w:t>[REPRESENTANTE DO INVESTIDOR]</w:t>
      </w:r>
      <w:r w:rsidR="00FE642F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"/>
      <w:bookmarkEnd w:id="2"/>
      <w:r w:rsidR="001813E6" w:rsidRPr="005F1BA6">
        <w:rPr>
          <w:rFonts w:ascii="Tahoma" w:hAnsi="Tahoma" w:cs="Tahoma"/>
          <w:sz w:val="22"/>
          <w:szCs w:val="22"/>
        </w:rPr>
        <w:t xml:space="preserve"> Sr</w:t>
      </w:r>
      <w:r w:rsidR="001813E6" w:rsidRPr="00AF26DD">
        <w:rPr>
          <w:rFonts w:ascii="Tahoma" w:hAnsi="Tahoma" w:cs="Tahoma"/>
          <w:sz w:val="22"/>
          <w:szCs w:val="22"/>
          <w:highlight w:val="yellow"/>
        </w:rPr>
        <w:t>.</w:t>
      </w:r>
      <w:r w:rsidR="00AF26DD" w:rsidRPr="00AF26DD">
        <w:rPr>
          <w:rFonts w:ascii="Tahoma" w:hAnsi="Tahoma" w:cs="Tahoma"/>
          <w:sz w:val="22"/>
          <w:szCs w:val="22"/>
          <w:highlight w:val="yellow"/>
        </w:rPr>
        <w:t xml:space="preserve"> [REPRESENTANTE DA EMISSORA OU AGENTE FIDUCIÁRIO]</w:t>
      </w:r>
      <w:r w:rsidR="001813E6" w:rsidRPr="00AF26DD">
        <w:rPr>
          <w:rFonts w:ascii="Tahoma" w:hAnsi="Tahoma" w:cs="Tahoma"/>
          <w:sz w:val="22"/>
          <w:szCs w:val="22"/>
          <w:highlight w:val="yellow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724EF108" w14:textId="6AB51BBC" w:rsidR="000C35B0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2A75BFA1" w14:textId="77777777" w:rsidR="000C35B0" w:rsidRPr="005F1BA6" w:rsidRDefault="000C35B0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419E94A4" w14:textId="77777777" w:rsidR="003C59B5" w:rsidRPr="003C59B5" w:rsidRDefault="00AF26DD" w:rsidP="00AF26DD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sz w:val="22"/>
          <w:szCs w:val="22"/>
        </w:rPr>
      </w:pPr>
      <w:r w:rsidRPr="003C59B5">
        <w:rPr>
          <w:rFonts w:ascii="Tahoma" w:hAnsi="Tahoma" w:cs="Tahoma"/>
          <w:sz w:val="22"/>
          <w:szCs w:val="22"/>
        </w:rPr>
        <w:t xml:space="preserve"> </w:t>
      </w:r>
      <w:r w:rsidRPr="003C59B5">
        <w:rPr>
          <w:rFonts w:ascii="Tahoma" w:hAnsi="Tahoma" w:cs="Tahoma"/>
          <w:b/>
          <w:bCs/>
          <w:sz w:val="22"/>
          <w:szCs w:val="22"/>
        </w:rPr>
        <w:t>Deliberar s</w:t>
      </w:r>
      <w:r w:rsidRPr="003C59B5">
        <w:rPr>
          <w:rFonts w:ascii="Tahoma" w:hAnsi="Tahoma" w:cs="Tahoma"/>
          <w:sz w:val="22"/>
          <w:szCs w:val="22"/>
        </w:rPr>
        <w:t xml:space="preserve">obre: (i) </w:t>
      </w:r>
      <w:r w:rsidR="00800A36" w:rsidRPr="003C59B5">
        <w:rPr>
          <w:rFonts w:ascii="Tahoma" w:hAnsi="Tahoma" w:cs="Tahoma"/>
          <w:sz w:val="22"/>
          <w:szCs w:val="22"/>
        </w:rPr>
        <w:t xml:space="preserve">waiver </w:t>
      </w:r>
      <w:r w:rsidRPr="003C59B5">
        <w:rPr>
          <w:rFonts w:ascii="Tahoma" w:hAnsi="Tahoma" w:cs="Tahoma"/>
          <w:sz w:val="22"/>
          <w:szCs w:val="22"/>
        </w:rPr>
        <w:t>pelos Debenturistas</w:t>
      </w:r>
      <w:r w:rsidRPr="003C59B5">
        <w:rPr>
          <w:rFonts w:ascii="Tahoma" w:hAnsi="Tahoma" w:cs="Tahoma"/>
          <w:sz w:val="22"/>
          <w:szCs w:val="22"/>
        </w:rPr>
        <w:t>, com base nas deliberações ocorridas na Assembleia Geral Extraordinária da Emissora ocorrida em 22 de fevereiro de 2022</w:t>
      </w:r>
      <w:r w:rsidR="00800A36" w:rsidRPr="003C59B5">
        <w:rPr>
          <w:rFonts w:ascii="Tahoma" w:hAnsi="Tahoma" w:cs="Tahoma"/>
          <w:sz w:val="22"/>
          <w:szCs w:val="22"/>
        </w:rPr>
        <w:t xml:space="preserve"> e na cláusula 7.1.1. (g) da Escritura de Emissão</w:t>
      </w:r>
      <w:r w:rsidRPr="003C59B5">
        <w:rPr>
          <w:rFonts w:ascii="Tahoma" w:hAnsi="Tahoma" w:cs="Tahoma"/>
          <w:sz w:val="22"/>
          <w:szCs w:val="22"/>
        </w:rPr>
        <w:t>,</w:t>
      </w:r>
      <w:r w:rsidRPr="003C59B5">
        <w:rPr>
          <w:rFonts w:ascii="Tahoma" w:hAnsi="Tahoma" w:cs="Tahoma"/>
          <w:sz w:val="22"/>
          <w:szCs w:val="22"/>
        </w:rPr>
        <w:t xml:space="preserve"> que a Emissora realize redução de capital, </w:t>
      </w:r>
      <w:r w:rsidRPr="003C59B5">
        <w:rPr>
          <w:rFonts w:ascii="Tahoma" w:hAnsi="Tahoma" w:cs="Tahoma"/>
          <w:sz w:val="22"/>
          <w:szCs w:val="22"/>
        </w:rPr>
        <w:t xml:space="preserve">no montante </w:t>
      </w:r>
      <w:r w:rsidRPr="003C59B5">
        <w:rPr>
          <w:rFonts w:ascii="Tahoma" w:hAnsi="Tahoma" w:cs="Tahoma"/>
          <w:sz w:val="22"/>
          <w:szCs w:val="22"/>
        </w:rPr>
        <w:t xml:space="preserve">de R$ </w:t>
      </w:r>
      <w:r w:rsidRPr="003C59B5">
        <w:rPr>
          <w:rFonts w:ascii="Tahoma" w:hAnsi="Tahoma" w:cs="Tahoma"/>
          <w:sz w:val="22"/>
          <w:szCs w:val="22"/>
        </w:rPr>
        <w:t>20.862.442,53</w:t>
      </w:r>
      <w:r w:rsidRPr="003C59B5">
        <w:rPr>
          <w:rFonts w:ascii="Tahoma" w:hAnsi="Tahoma" w:cs="Tahoma"/>
          <w:sz w:val="22"/>
          <w:szCs w:val="22"/>
        </w:rPr>
        <w:t xml:space="preserve"> (</w:t>
      </w:r>
      <w:r w:rsidR="0028713A" w:rsidRPr="003C59B5">
        <w:rPr>
          <w:rFonts w:ascii="Tahoma" w:hAnsi="Tahoma" w:cs="Tahoma"/>
          <w:sz w:val="22"/>
          <w:szCs w:val="22"/>
        </w:rPr>
        <w:t>vinte milhões, oitocentos e sessenta e dois ml, quatrocentos e quarenta e dois reais e cinquenta e três centavos)</w:t>
      </w:r>
      <w:r w:rsidRPr="003C59B5">
        <w:rPr>
          <w:rFonts w:ascii="Tahoma" w:hAnsi="Tahoma" w:cs="Tahoma"/>
          <w:sz w:val="22"/>
          <w:szCs w:val="22"/>
        </w:rPr>
        <w:t xml:space="preserve">, </w:t>
      </w:r>
      <w:r w:rsidR="0028713A" w:rsidRPr="003C59B5">
        <w:rPr>
          <w:rFonts w:ascii="Tahoma" w:hAnsi="Tahoma" w:cs="Tahoma"/>
          <w:sz w:val="22"/>
          <w:szCs w:val="22"/>
        </w:rPr>
        <w:t>passando o capital social da Emissora de R$ 68.769.818,73 (sessenta e oito milhões, setecentos e sessenta e nove, oitocentos e dezoito reais e setenta e três centavos) para R$ 47.907.376,20 (quarenta e sete milhões, novecentos e sete mil, trezentos e setenta e seis reais e vinte centavos), sem o cancelamento de ações da Emissora, de forma que a quantidade total de ações de emissão da Emissora permanecerá inalterada, a saber 12.500.000 ações.</w:t>
      </w:r>
      <w:r w:rsidRPr="003C59B5">
        <w:rPr>
          <w:rFonts w:ascii="Tahoma" w:hAnsi="Tahoma" w:cs="Tahoma"/>
          <w:sz w:val="22"/>
          <w:szCs w:val="22"/>
        </w:rPr>
        <w:t xml:space="preserve"> (“</w:t>
      </w:r>
      <w:r w:rsidRPr="003C59B5">
        <w:rPr>
          <w:rFonts w:ascii="Tahoma" w:hAnsi="Tahoma" w:cs="Tahoma"/>
          <w:sz w:val="22"/>
          <w:szCs w:val="22"/>
          <w:u w:val="single"/>
        </w:rPr>
        <w:t>Redução do Capital Social</w:t>
      </w:r>
      <w:r w:rsidRPr="003C59B5">
        <w:rPr>
          <w:rFonts w:ascii="Tahoma" w:hAnsi="Tahoma" w:cs="Tahoma"/>
          <w:sz w:val="22"/>
          <w:szCs w:val="22"/>
        </w:rPr>
        <w:t xml:space="preserve">”), </w:t>
      </w:r>
      <w:bookmarkStart w:id="3" w:name="_Hlk64024694"/>
      <w:r w:rsidRPr="003C59B5">
        <w:rPr>
          <w:rFonts w:ascii="Tahoma" w:hAnsi="Tahoma" w:cs="Tahoma"/>
          <w:sz w:val="22"/>
          <w:szCs w:val="22"/>
          <w:highlight w:val="yellow"/>
        </w:rPr>
        <w:t>nos termos do artigo 231 da Lei das Sociedades por Ações</w:t>
      </w:r>
      <w:bookmarkEnd w:id="3"/>
      <w:r w:rsidRPr="003C59B5">
        <w:rPr>
          <w:rFonts w:ascii="Tahoma" w:hAnsi="Tahoma" w:cs="Tahoma"/>
          <w:sz w:val="22"/>
          <w:szCs w:val="22"/>
        </w:rPr>
        <w:t xml:space="preserve">; e (ii) autorização para o Agente Fiduciário, em conjunto com a </w:t>
      </w:r>
      <w:r w:rsidRPr="003C59B5">
        <w:rPr>
          <w:rFonts w:ascii="Tahoma" w:hAnsi="Tahoma" w:cs="Tahoma"/>
          <w:sz w:val="22"/>
          <w:szCs w:val="22"/>
        </w:rPr>
        <w:lastRenderedPageBreak/>
        <w:t>Emissora, para implementar as deliberações a serem aprovadas nesta Assembleia Geral de Debenturistas.</w:t>
      </w:r>
    </w:p>
    <w:p w14:paraId="5C14E889" w14:textId="08A9FE91" w:rsidR="005F1BA6" w:rsidRPr="003C59B5" w:rsidRDefault="00AF26DD" w:rsidP="003C59B5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sz w:val="22"/>
          <w:szCs w:val="22"/>
        </w:rPr>
      </w:pPr>
      <w:r w:rsidRPr="003C59B5">
        <w:rPr>
          <w:rFonts w:ascii="Tahoma" w:hAnsi="Tahoma" w:cs="Tahoma"/>
          <w:sz w:val="22"/>
          <w:szCs w:val="22"/>
        </w:rPr>
        <w:br/>
      </w: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7A72C83D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D56AD6">
        <w:rPr>
          <w:rFonts w:ascii="Tahoma" w:hAnsi="Tahoma" w:cs="Tahoma"/>
          <w:sz w:val="22"/>
          <w:szCs w:val="22"/>
        </w:rPr>
        <w:t xml:space="preserve">os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</w:t>
      </w:r>
      <w:r w:rsidR="00BF4DC6">
        <w:rPr>
          <w:rFonts w:ascii="Tahoma" w:hAnsi="Tahoma" w:cs="Tahoma"/>
          <w:sz w:val="22"/>
          <w:szCs w:val="22"/>
        </w:rPr>
        <w:t>representando a totalidade das Debêntures</w:t>
      </w:r>
      <w:r w:rsidR="0010043E">
        <w:rPr>
          <w:rFonts w:ascii="Tahoma" w:hAnsi="Tahoma" w:cs="Tahoma"/>
          <w:sz w:val="22"/>
          <w:szCs w:val="22"/>
        </w:rPr>
        <w:t xml:space="preserve"> em circulação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24F86F2" w14:textId="14A0A481" w:rsidR="00AF2BB2" w:rsidRPr="00800A36" w:rsidRDefault="00800A36" w:rsidP="00955B4E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800A36">
        <w:rPr>
          <w:rFonts w:ascii="Tahoma" w:hAnsi="Tahoma" w:cs="Tahoma"/>
          <w:sz w:val="22"/>
          <w:szCs w:val="22"/>
        </w:rPr>
        <w:t>Waiver referente à redução do capital social descrito na cláusula 7.1.1. (g) da Escritura de Emissão</w:t>
      </w:r>
      <w:r w:rsidR="003C59B5">
        <w:rPr>
          <w:rFonts w:ascii="Tahoma" w:hAnsi="Tahoma" w:cs="Tahoma"/>
          <w:sz w:val="22"/>
          <w:szCs w:val="22"/>
        </w:rPr>
        <w:t xml:space="preserve"> </w:t>
      </w:r>
      <w:r w:rsidR="003C59B5" w:rsidRPr="003C59B5">
        <w:rPr>
          <w:rFonts w:ascii="Tahoma" w:hAnsi="Tahoma" w:cs="Tahoma"/>
          <w:sz w:val="22"/>
          <w:szCs w:val="22"/>
          <w:highlight w:val="yellow"/>
        </w:rPr>
        <w:t xml:space="preserve">e </w:t>
      </w:r>
      <w:r w:rsidR="003C59B5" w:rsidRPr="003C59B5">
        <w:rPr>
          <w:rFonts w:ascii="Tahoma" w:hAnsi="Tahoma" w:cs="Tahoma"/>
          <w:sz w:val="22"/>
          <w:szCs w:val="22"/>
          <w:highlight w:val="yellow"/>
        </w:rPr>
        <w:t>nos termos do artigo 231 da Lei das Sociedades por Ações;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7D5A029B" w14:textId="77777777" w:rsidR="00207A51" w:rsidRPr="005F1BA6" w:rsidRDefault="00207A51" w:rsidP="00BF4DC6">
      <w:pPr>
        <w:pStyle w:val="PargrafodaLista"/>
      </w:pPr>
    </w:p>
    <w:p w14:paraId="0122F963" w14:textId="12D9A70F" w:rsidR="004D6582" w:rsidRPr="005F1BA6" w:rsidRDefault="004D6582" w:rsidP="004D6582">
      <w:pPr>
        <w:pStyle w:val="Corpodetexto"/>
        <w:tabs>
          <w:tab w:val="left" w:pos="567"/>
        </w:tabs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5F1BA6">
        <w:rPr>
          <w:rFonts w:ascii="Tahoma" w:hAnsi="Tahoma" w:cs="Tahoma"/>
          <w:smallCaps/>
          <w:color w:val="auto"/>
          <w:sz w:val="22"/>
          <w:szCs w:val="22"/>
        </w:rPr>
        <w:t>6.</w:t>
      </w:r>
      <w:r w:rsidRPr="005F1BA6">
        <w:rPr>
          <w:rFonts w:ascii="Tahoma" w:hAnsi="Tahoma" w:cs="Tahoma"/>
          <w:smallCaps/>
          <w:color w:val="auto"/>
          <w:sz w:val="22"/>
          <w:szCs w:val="22"/>
        </w:rPr>
        <w:tab/>
      </w:r>
      <w:r w:rsidRPr="005F1BA6">
        <w:rPr>
          <w:rFonts w:ascii="Tahoma" w:hAnsi="Tahoma" w:cs="Tahoma"/>
          <w:smallCaps/>
          <w:color w:val="auto"/>
          <w:sz w:val="22"/>
          <w:szCs w:val="22"/>
          <w:u w:val="single"/>
        </w:rPr>
        <w:t>Lavratura, Encerramento e Aprovação da Ata</w:t>
      </w:r>
      <w:r w:rsidRPr="005F1BA6">
        <w:rPr>
          <w:rFonts w:ascii="Tahoma" w:hAnsi="Tahoma" w:cs="Tahoma"/>
          <w:b w:val="0"/>
          <w:color w:val="auto"/>
          <w:sz w:val="22"/>
          <w:szCs w:val="22"/>
        </w:rPr>
        <w:t xml:space="preserve">: </w:t>
      </w:r>
      <w:r w:rsidR="00D56AD6" w:rsidRPr="00D56AD6">
        <w:rPr>
          <w:rFonts w:ascii="Tahoma" w:hAnsi="Tahoma" w:cs="Tahoma"/>
          <w:b w:val="0"/>
          <w:color w:val="auto"/>
          <w:sz w:val="22"/>
          <w:szCs w:val="22"/>
        </w:rPr>
        <w:t>nada mais havendo a ser tratado, foi a presente ata lavrada, lida, aprovada e assinada por todos os presentes.</w:t>
      </w:r>
    </w:p>
    <w:bookmarkEnd w:id="0"/>
    <w:p w14:paraId="35C5EEDB" w14:textId="77777777" w:rsidR="009F501F" w:rsidRPr="005F1BA6" w:rsidRDefault="009F501F" w:rsidP="004D6582">
      <w:pPr>
        <w:pStyle w:val="Corpodetexto"/>
        <w:spacing w:line="300" w:lineRule="exact"/>
        <w:jc w:val="both"/>
        <w:rPr>
          <w:rFonts w:ascii="Tahoma" w:hAnsi="Tahoma" w:cs="Tahoma"/>
          <w:b w:val="0"/>
          <w:color w:val="auto"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368D3BB5" w:rsidR="004D6582" w:rsidRPr="005F1BA6" w:rsidRDefault="005D604A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Campinas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r w:rsidR="003C59B5">
        <w:rPr>
          <w:rFonts w:ascii="Tahoma" w:hAnsi="Tahoma" w:cs="Tahoma"/>
          <w:sz w:val="22"/>
          <w:szCs w:val="22"/>
        </w:rPr>
        <w:t>xx</w:t>
      </w:r>
      <w:r w:rsidR="00AA74B6" w:rsidRPr="005F1BA6">
        <w:rPr>
          <w:rFonts w:ascii="Tahoma" w:hAnsi="Tahoma" w:cs="Tahoma"/>
          <w:sz w:val="22"/>
          <w:szCs w:val="22"/>
        </w:rPr>
        <w:t xml:space="preserve"> de </w:t>
      </w:r>
      <w:r w:rsidR="003C59B5">
        <w:rPr>
          <w:rFonts w:ascii="Tahoma" w:hAnsi="Tahoma" w:cs="Tahoma"/>
          <w:sz w:val="22"/>
          <w:szCs w:val="22"/>
        </w:rPr>
        <w:t>março</w:t>
      </w:r>
      <w:r w:rsidR="00B900CC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</w:t>
      </w:r>
      <w:r w:rsidR="00B900CC">
        <w:rPr>
          <w:rFonts w:ascii="Tahoma" w:hAnsi="Tahoma" w:cs="Tahoma"/>
          <w:sz w:val="22"/>
          <w:szCs w:val="22"/>
        </w:rPr>
        <w:t>2</w:t>
      </w:r>
      <w:r w:rsidR="003C59B5">
        <w:rPr>
          <w:rFonts w:ascii="Tahoma" w:hAnsi="Tahoma" w:cs="Tahoma"/>
          <w:sz w:val="22"/>
          <w:szCs w:val="22"/>
        </w:rPr>
        <w:t>2</w:t>
      </w:r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7B27B625" w:rsidR="004D6582" w:rsidRPr="005F1BA6" w:rsidRDefault="003C59B5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6DD">
              <w:rPr>
                <w:rFonts w:ascii="Tahoma" w:hAnsi="Tahoma" w:cs="Tahoma"/>
                <w:sz w:val="22"/>
                <w:szCs w:val="22"/>
                <w:highlight w:val="yellow"/>
              </w:rPr>
              <w:t>[REPRESENTANTE DO INVESTIDOR]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600865C5" w14:textId="18C95287" w:rsidR="004D6582" w:rsidRPr="005F1BA6" w:rsidRDefault="003C59B5" w:rsidP="003C59B5">
            <w:pPr>
              <w:tabs>
                <w:tab w:val="left" w:pos="567"/>
              </w:tabs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6DD">
              <w:rPr>
                <w:rFonts w:ascii="Tahoma" w:hAnsi="Tahoma" w:cs="Tahoma"/>
                <w:sz w:val="22"/>
                <w:szCs w:val="22"/>
                <w:highlight w:val="yellow"/>
              </w:rPr>
              <w:t>[REPRESENTANTE DA EMISSORA OU AGENTE FIDUCIÁRIO].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96CEF"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 w:rsidR="00CB592C">
              <w:rPr>
                <w:rFonts w:ascii="Tahoma" w:hAnsi="Tahoma" w:cs="Tahoma"/>
                <w:sz w:val="22"/>
                <w:szCs w:val="22"/>
              </w:rPr>
              <w:t>o</w:t>
            </w:r>
          </w:p>
        </w:tc>
      </w:tr>
      <w:tr w:rsidR="003C59B5" w:rsidRPr="005F1BA6" w14:paraId="3BBE5289" w14:textId="77777777" w:rsidTr="00747BF3">
        <w:tc>
          <w:tcPr>
            <w:tcW w:w="4484" w:type="dxa"/>
            <w:shd w:val="clear" w:color="auto" w:fill="auto"/>
          </w:tcPr>
          <w:p w14:paraId="433604D4" w14:textId="77777777" w:rsidR="003C59B5" w:rsidRPr="005F1BA6" w:rsidRDefault="003C59B5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85" w:type="dxa"/>
            <w:shd w:val="clear" w:color="auto" w:fill="auto"/>
          </w:tcPr>
          <w:p w14:paraId="0A640FC9" w14:textId="77777777" w:rsidR="003C59B5" w:rsidRPr="005F1BA6" w:rsidRDefault="003C59B5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3348E376" w:rsidR="004D6582" w:rsidRPr="005F1BA6" w:rsidRDefault="004D6582" w:rsidP="004D6582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>(</w:t>
      </w:r>
      <w:r w:rsidR="0037695A" w:rsidRPr="005F1BA6">
        <w:rPr>
          <w:rFonts w:ascii="Tahoma" w:hAnsi="Tahoma" w:cs="Tahoma"/>
          <w:i/>
          <w:sz w:val="22"/>
          <w:szCs w:val="22"/>
        </w:rPr>
        <w:t>PÁGINA 1/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="0037695A" w:rsidRPr="005F1BA6">
        <w:rPr>
          <w:rFonts w:ascii="Tahoma" w:hAnsi="Tahoma" w:cs="Tahoma"/>
          <w:i/>
          <w:sz w:val="22"/>
          <w:szCs w:val="22"/>
        </w:rPr>
        <w:t xml:space="preserve"> DE ASSINATURAS DA </w:t>
      </w:r>
      <w:r w:rsidR="006E5041" w:rsidRPr="005F1BA6">
        <w:rPr>
          <w:rFonts w:ascii="Tahoma" w:hAnsi="Tahoma" w:cs="Tahoma"/>
          <w:i/>
          <w:sz w:val="22"/>
          <w:szCs w:val="22"/>
        </w:rPr>
        <w:t xml:space="preserve">ATA DA </w:t>
      </w:r>
      <w:r w:rsidR="00CB27C3" w:rsidRPr="00CB27C3">
        <w:rPr>
          <w:rFonts w:ascii="Tahoma" w:hAnsi="Tahoma" w:cs="Tahoma"/>
          <w:i/>
          <w:sz w:val="22"/>
          <w:szCs w:val="22"/>
        </w:rPr>
        <w:t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</w:t>
      </w:r>
      <w:r w:rsidR="00162B38">
        <w:rPr>
          <w:rFonts w:ascii="Tahoma" w:hAnsi="Tahoma" w:cs="Tahoma"/>
          <w:i/>
          <w:sz w:val="22"/>
          <w:szCs w:val="22"/>
        </w:rPr>
        <w:t xml:space="preserve"> </w:t>
      </w:r>
      <w:r w:rsidR="003C59B5">
        <w:rPr>
          <w:rFonts w:ascii="Tahoma" w:hAnsi="Tahoma" w:cs="Tahoma"/>
          <w:i/>
          <w:sz w:val="22"/>
          <w:szCs w:val="22"/>
        </w:rPr>
        <w:t>XX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 DE </w:t>
      </w:r>
      <w:r w:rsidR="003C59B5">
        <w:rPr>
          <w:rFonts w:ascii="Tahoma" w:hAnsi="Tahoma" w:cs="Tahoma"/>
          <w:i/>
          <w:sz w:val="22"/>
          <w:szCs w:val="22"/>
        </w:rPr>
        <w:t xml:space="preserve">MARÇO </w:t>
      </w:r>
      <w:r w:rsidR="00CB27C3" w:rsidRPr="00CB27C3">
        <w:rPr>
          <w:rFonts w:ascii="Tahoma" w:hAnsi="Tahoma" w:cs="Tahoma"/>
          <w:i/>
          <w:sz w:val="22"/>
          <w:szCs w:val="22"/>
        </w:rPr>
        <w:t>DE 20</w:t>
      </w:r>
      <w:r w:rsidR="00B900CC">
        <w:rPr>
          <w:rFonts w:ascii="Tahoma" w:hAnsi="Tahoma" w:cs="Tahoma"/>
          <w:i/>
          <w:sz w:val="22"/>
          <w:szCs w:val="22"/>
        </w:rPr>
        <w:t>2</w:t>
      </w:r>
      <w:r w:rsidR="003C59B5">
        <w:rPr>
          <w:rFonts w:ascii="Tahoma" w:hAnsi="Tahoma" w:cs="Tahoma"/>
          <w:i/>
          <w:sz w:val="22"/>
          <w:szCs w:val="22"/>
        </w:rPr>
        <w:t>2</w:t>
      </w:r>
      <w:r w:rsidR="00CB27C3" w:rsidRPr="00CB27C3">
        <w:rPr>
          <w:rFonts w:ascii="Tahoma" w:hAnsi="Tahoma" w:cs="Tahoma"/>
          <w:i/>
          <w:sz w:val="22"/>
          <w:szCs w:val="22"/>
        </w:rPr>
        <w:t>.)</w:t>
      </w:r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15BCECAE" w14:textId="0416334E" w:rsidR="00CB27C3" w:rsidRPr="005F1BA6" w:rsidRDefault="00214DF2" w:rsidP="00CB27C3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2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</w:t>
      </w:r>
      <w:r w:rsidR="00CB27C3" w:rsidRPr="005F1BA6">
        <w:rPr>
          <w:rFonts w:ascii="Tahoma" w:hAnsi="Tahoma" w:cs="Tahoma"/>
          <w:i/>
          <w:sz w:val="22"/>
          <w:szCs w:val="22"/>
        </w:rPr>
        <w:t xml:space="preserve">DA ATA DA </w:t>
      </w:r>
      <w:r w:rsidR="00CB27C3" w:rsidRPr="00CB27C3">
        <w:rPr>
          <w:rFonts w:ascii="Tahoma" w:hAnsi="Tahoma" w:cs="Tahoma"/>
          <w:i/>
          <w:sz w:val="22"/>
          <w:szCs w:val="22"/>
        </w:rPr>
        <w:t xml:space="preserve"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 </w:t>
      </w:r>
      <w:r w:rsidR="003C59B5">
        <w:rPr>
          <w:rFonts w:ascii="Tahoma" w:hAnsi="Tahoma" w:cs="Tahoma"/>
          <w:i/>
          <w:sz w:val="22"/>
          <w:szCs w:val="22"/>
        </w:rPr>
        <w:t>XX</w:t>
      </w:r>
      <w:r w:rsidR="003C59B5" w:rsidRPr="00CB27C3">
        <w:rPr>
          <w:rFonts w:ascii="Tahoma" w:hAnsi="Tahoma" w:cs="Tahoma"/>
          <w:i/>
          <w:sz w:val="22"/>
          <w:szCs w:val="22"/>
        </w:rPr>
        <w:t xml:space="preserve"> DE </w:t>
      </w:r>
      <w:r w:rsidR="003C59B5">
        <w:rPr>
          <w:rFonts w:ascii="Tahoma" w:hAnsi="Tahoma" w:cs="Tahoma"/>
          <w:i/>
          <w:sz w:val="22"/>
          <w:szCs w:val="22"/>
        </w:rPr>
        <w:t xml:space="preserve">MARÇO </w:t>
      </w:r>
      <w:r w:rsidR="003C59B5" w:rsidRPr="00CB27C3">
        <w:rPr>
          <w:rFonts w:ascii="Tahoma" w:hAnsi="Tahoma" w:cs="Tahoma"/>
          <w:i/>
          <w:sz w:val="22"/>
          <w:szCs w:val="22"/>
        </w:rPr>
        <w:t>DE 20</w:t>
      </w:r>
      <w:r w:rsidR="003C59B5">
        <w:rPr>
          <w:rFonts w:ascii="Tahoma" w:hAnsi="Tahoma" w:cs="Tahoma"/>
          <w:i/>
          <w:sz w:val="22"/>
          <w:szCs w:val="22"/>
        </w:rPr>
        <w:t>22</w:t>
      </w:r>
      <w:r w:rsidR="00CB27C3" w:rsidRPr="00CB27C3">
        <w:rPr>
          <w:rFonts w:ascii="Tahoma" w:hAnsi="Tahoma" w:cs="Tahoma"/>
          <w:i/>
          <w:sz w:val="22"/>
          <w:szCs w:val="22"/>
        </w:rPr>
        <w:t>.)</w:t>
      </w:r>
    </w:p>
    <w:p w14:paraId="0A599B78" w14:textId="07B0691B" w:rsidR="004D6582" w:rsidRPr="005F1BA6" w:rsidRDefault="004D6582" w:rsidP="00CB27C3">
      <w:pPr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56EBC9D7" w14:textId="24551A89" w:rsidR="006261CF" w:rsidRPr="005F1BA6" w:rsidRDefault="00FE642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  <w:szCs w:val="22"/>
        </w:rPr>
        <w:t>SAPORE</w:t>
      </w:r>
      <w:r w:rsidR="000C35B0" w:rsidRPr="000C35B0">
        <w:rPr>
          <w:rFonts w:ascii="Tahoma" w:hAnsi="Tahoma" w:cs="Tahoma"/>
          <w:b/>
          <w:sz w:val="20"/>
          <w:szCs w:val="22"/>
        </w:rPr>
        <w:t xml:space="preserve"> S.A</w:t>
      </w: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272A4D56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152E091" w14:textId="6C5A21DC" w:rsidR="006261CF" w:rsidRPr="005F1BA6" w:rsidRDefault="00FE642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  <w:szCs w:val="22"/>
        </w:rPr>
        <w:t>DANIEL MENDEZ</w:t>
      </w:r>
    </w:p>
    <w:p w14:paraId="437E17E2" w14:textId="394156D7" w:rsidR="004D6582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1AAD5797" w14:textId="77777777" w:rsidR="000C35B0" w:rsidRDefault="000C35B0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21A7325B" w14:textId="77777777" w:rsidR="00FE642F" w:rsidRDefault="00FE642F">
      <w:pPr>
        <w:rPr>
          <w:rFonts w:ascii="Tahoma" w:hAnsi="Tahoma" w:cs="Tahoma"/>
          <w:sz w:val="22"/>
          <w:szCs w:val="22"/>
        </w:rPr>
      </w:pPr>
    </w:p>
    <w:p w14:paraId="57670095" w14:textId="6D4C42AF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9F302F1" w14:textId="0710119C" w:rsidR="00CB27C3" w:rsidRPr="005F1BA6" w:rsidRDefault="00214DF2" w:rsidP="00CB27C3">
      <w:pPr>
        <w:jc w:val="both"/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lastRenderedPageBreak/>
        <w:t xml:space="preserve">(PÁGINA </w:t>
      </w:r>
      <w:r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>/</w:t>
      </w:r>
      <w:r w:rsidR="000C35B0">
        <w:rPr>
          <w:rFonts w:ascii="Tahoma" w:hAnsi="Tahoma" w:cs="Tahoma"/>
          <w:i/>
          <w:sz w:val="22"/>
          <w:szCs w:val="22"/>
        </w:rPr>
        <w:t>3</w:t>
      </w:r>
      <w:r w:rsidRPr="005F1BA6">
        <w:rPr>
          <w:rFonts w:ascii="Tahoma" w:hAnsi="Tahoma" w:cs="Tahoma"/>
          <w:i/>
          <w:sz w:val="22"/>
          <w:szCs w:val="22"/>
        </w:rPr>
        <w:t xml:space="preserve"> DE ASSINATURAS </w:t>
      </w:r>
      <w:r w:rsidR="00CB27C3" w:rsidRPr="005F1BA6">
        <w:rPr>
          <w:rFonts w:ascii="Tahoma" w:hAnsi="Tahoma" w:cs="Tahoma"/>
          <w:i/>
          <w:sz w:val="22"/>
          <w:szCs w:val="22"/>
        </w:rPr>
        <w:t xml:space="preserve">DA ATA DA </w:t>
      </w:r>
      <w:r w:rsidR="00CB27C3" w:rsidRPr="00CB27C3">
        <w:rPr>
          <w:rFonts w:ascii="Tahoma" w:hAnsi="Tahoma" w:cs="Tahoma"/>
          <w:i/>
          <w:sz w:val="22"/>
          <w:szCs w:val="22"/>
        </w:rPr>
        <w:t>ASSEMBLEIA GERAL DOS DEBENTURISTAS DA 1ª (PRIMEIRA) EMISSÃO DE DEBÊNTURES SIMPLES, NÃO CONVERSÍVEIS EM AÇÕES, DA ESPÉCIE COM GARANTIA REAL E GARANTIA ADICIONAL FIDEJUSSÓRIA, EM SÉRIE ÚNICA, PARA DISTRIBUIÇÃO PÚBLICA, COM ESFORÇOS RESTRITOS DE DISTRIBUIÇÃO, DA SAPORE S.A., REALIZADA EM</w:t>
      </w:r>
      <w:r w:rsidR="00162B38">
        <w:rPr>
          <w:rFonts w:ascii="Tahoma" w:hAnsi="Tahoma" w:cs="Tahoma"/>
          <w:i/>
          <w:sz w:val="22"/>
          <w:szCs w:val="22"/>
        </w:rPr>
        <w:t xml:space="preserve"> </w:t>
      </w:r>
      <w:r w:rsidR="003C59B5">
        <w:rPr>
          <w:rFonts w:ascii="Tahoma" w:hAnsi="Tahoma" w:cs="Tahoma"/>
          <w:i/>
          <w:sz w:val="22"/>
          <w:szCs w:val="22"/>
        </w:rPr>
        <w:t>XX</w:t>
      </w:r>
      <w:r w:rsidR="003C59B5" w:rsidRPr="00CB27C3">
        <w:rPr>
          <w:rFonts w:ascii="Tahoma" w:hAnsi="Tahoma" w:cs="Tahoma"/>
          <w:i/>
          <w:sz w:val="22"/>
          <w:szCs w:val="22"/>
        </w:rPr>
        <w:t xml:space="preserve"> DE </w:t>
      </w:r>
      <w:r w:rsidR="003C59B5">
        <w:rPr>
          <w:rFonts w:ascii="Tahoma" w:hAnsi="Tahoma" w:cs="Tahoma"/>
          <w:i/>
          <w:sz w:val="22"/>
          <w:szCs w:val="22"/>
        </w:rPr>
        <w:t xml:space="preserve">MARÇO </w:t>
      </w:r>
      <w:r w:rsidR="003C59B5" w:rsidRPr="00CB27C3">
        <w:rPr>
          <w:rFonts w:ascii="Tahoma" w:hAnsi="Tahoma" w:cs="Tahoma"/>
          <w:i/>
          <w:sz w:val="22"/>
          <w:szCs w:val="22"/>
        </w:rPr>
        <w:t>DE 20</w:t>
      </w:r>
      <w:r w:rsidR="003C59B5">
        <w:rPr>
          <w:rFonts w:ascii="Tahoma" w:hAnsi="Tahoma" w:cs="Tahoma"/>
          <w:i/>
          <w:sz w:val="22"/>
          <w:szCs w:val="22"/>
        </w:rPr>
        <w:t>22</w:t>
      </w:r>
      <w:r w:rsidR="003C59B5">
        <w:rPr>
          <w:rFonts w:ascii="Tahoma" w:hAnsi="Tahoma" w:cs="Tahoma"/>
          <w:i/>
          <w:sz w:val="22"/>
          <w:szCs w:val="22"/>
        </w:rPr>
        <w:t>.)</w:t>
      </w:r>
    </w:p>
    <w:p w14:paraId="55DA6318" w14:textId="0BD087B6" w:rsidR="00214DF2" w:rsidRPr="005F1BA6" w:rsidRDefault="00214DF2" w:rsidP="00214DF2">
      <w:pPr>
        <w:jc w:val="both"/>
        <w:rPr>
          <w:rFonts w:ascii="Tahoma" w:hAnsi="Tahoma" w:cs="Tahoma"/>
          <w:i/>
          <w:sz w:val="22"/>
          <w:szCs w:val="22"/>
        </w:rPr>
      </w:pPr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5CF9D639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69050284" w:rsidR="004D6582" w:rsidRPr="00942719" w:rsidRDefault="000C35B0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BANCO BRADESCO S.A.</w:t>
      </w:r>
    </w:p>
    <w:p w14:paraId="545E4084" w14:textId="6E0C91C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145A13" w:rsidRPr="00145A13">
        <w:rPr>
          <w:rFonts w:ascii="Tahoma" w:hAnsi="Tahoma" w:cs="Tahoma"/>
          <w:sz w:val="20"/>
          <w:szCs w:val="22"/>
        </w:rPr>
        <w:t>60.746.948/0001-12</w:t>
      </w:r>
    </w:p>
    <w:p w14:paraId="5261A52F" w14:textId="7EEE879C" w:rsidR="006E5041" w:rsidRPr="005F1BA6" w:rsidRDefault="006E5041" w:rsidP="000C35B0">
      <w:pPr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D308" w14:textId="77777777" w:rsidR="00072F44" w:rsidRDefault="00072F44">
      <w:r>
        <w:separator/>
      </w:r>
    </w:p>
  </w:endnote>
  <w:endnote w:type="continuationSeparator" w:id="0">
    <w:p w14:paraId="180CFFC4" w14:textId="77777777" w:rsidR="00072F44" w:rsidRDefault="00072F44">
      <w:r>
        <w:continuationSeparator/>
      </w:r>
    </w:p>
  </w:endnote>
  <w:endnote w:type="continuationNotice" w:id="1">
    <w:p w14:paraId="7361C814" w14:textId="77777777" w:rsidR="00072F44" w:rsidRDefault="00072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6AECB7EB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61CABA1D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0D97" w14:textId="77777777" w:rsidR="00072F44" w:rsidRDefault="00072F44">
      <w:r>
        <w:separator/>
      </w:r>
    </w:p>
  </w:footnote>
  <w:footnote w:type="continuationSeparator" w:id="0">
    <w:p w14:paraId="7CC46EEB" w14:textId="77777777" w:rsidR="00072F44" w:rsidRDefault="00072F44">
      <w:r>
        <w:continuationSeparator/>
      </w:r>
    </w:p>
  </w:footnote>
  <w:footnote w:type="continuationNotice" w:id="1">
    <w:p w14:paraId="31E50AB4" w14:textId="77777777" w:rsidR="00072F44" w:rsidRDefault="00072F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55A9" w14:textId="77777777" w:rsidR="0075387E" w:rsidRDefault="007538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5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2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7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5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"/>
  </w:num>
  <w:num w:numId="18">
    <w:abstractNumId w:val="18"/>
  </w:num>
  <w:num w:numId="19">
    <w:abstractNumId w:val="6"/>
  </w:num>
  <w:num w:numId="20">
    <w:abstractNumId w:val="22"/>
  </w:num>
  <w:num w:numId="21">
    <w:abstractNumId w:val="13"/>
  </w:num>
  <w:num w:numId="22">
    <w:abstractNumId w:val="14"/>
  </w:num>
  <w:num w:numId="23">
    <w:abstractNumId w:val="19"/>
  </w:num>
  <w:num w:numId="24">
    <w:abstractNumId w:val="20"/>
  </w:num>
  <w:num w:numId="2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5653"/>
    <w:rsid w:val="0004606F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2F44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35B0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0F77B8"/>
    <w:rsid w:val="00100016"/>
    <w:rsid w:val="0010043E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5A13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B38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8713A"/>
    <w:rsid w:val="0029071E"/>
    <w:rsid w:val="00292164"/>
    <w:rsid w:val="002921A4"/>
    <w:rsid w:val="00293A74"/>
    <w:rsid w:val="0029436D"/>
    <w:rsid w:val="00295BF4"/>
    <w:rsid w:val="00296478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44C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C59B5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03EA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6F6F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153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D604A"/>
    <w:rsid w:val="005E0E6E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87E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0A36"/>
    <w:rsid w:val="0080388A"/>
    <w:rsid w:val="00803C0D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2A3F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26DD"/>
    <w:rsid w:val="00AF2BB2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00CC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4A4F"/>
    <w:rsid w:val="00CA6379"/>
    <w:rsid w:val="00CA6F27"/>
    <w:rsid w:val="00CA79E6"/>
    <w:rsid w:val="00CB090B"/>
    <w:rsid w:val="00CB1399"/>
    <w:rsid w:val="00CB1EFB"/>
    <w:rsid w:val="00CB27C3"/>
    <w:rsid w:val="00CB592C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6AD6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14E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4A6"/>
    <w:rsid w:val="00E42CA4"/>
    <w:rsid w:val="00E45E9A"/>
    <w:rsid w:val="00E465C2"/>
    <w:rsid w:val="00E46D18"/>
    <w:rsid w:val="00E4746D"/>
    <w:rsid w:val="00E51040"/>
    <w:rsid w:val="00E51C5B"/>
    <w:rsid w:val="00E52F74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1C41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52CB"/>
    <w:rsid w:val="00FE642F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FAA8-05FB-4B54-AAF9-BE40C440F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053B2-1329-4012-95F3-7DA1EED1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877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Renato Penna Magoulas Bacha</cp:lastModifiedBy>
  <cp:revision>6</cp:revision>
  <cp:lastPrinted>2019-08-15T14:50:00Z</cp:lastPrinted>
  <dcterms:created xsi:type="dcterms:W3CDTF">2021-04-30T12:52:00Z</dcterms:created>
  <dcterms:modified xsi:type="dcterms:W3CDTF">2022-03-21T18:13:00Z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  <property fmtid="{D5CDD505-2E9C-101B-9397-08002B2CF9AE}" pid="8" name="MSIP_Label_d3fed9c9-9e02-402c-91c6-79672c367b2e_Enabled">
    <vt:lpwstr>True</vt:lpwstr>
  </property>
  <property fmtid="{D5CDD505-2E9C-101B-9397-08002B2CF9AE}" pid="9" name="MSIP_Label_d3fed9c9-9e02-402c-91c6-79672c367b2e_SiteId">
    <vt:lpwstr>ccd25372-eb59-436a-ad74-78a49d784cf3</vt:lpwstr>
  </property>
  <property fmtid="{D5CDD505-2E9C-101B-9397-08002B2CF9AE}" pid="10" name="MSIP_Label_d3fed9c9-9e02-402c-91c6-79672c367b2e_Owner">
    <vt:lpwstr>rebeca.valderamos@bradesco.com.br</vt:lpwstr>
  </property>
  <property fmtid="{D5CDD505-2E9C-101B-9397-08002B2CF9AE}" pid="11" name="MSIP_Label_d3fed9c9-9e02-402c-91c6-79672c367b2e_SetDate">
    <vt:lpwstr>2021-04-27T19:16:55.2858267Z</vt:lpwstr>
  </property>
  <property fmtid="{D5CDD505-2E9C-101B-9397-08002B2CF9AE}" pid="12" name="MSIP_Label_d3fed9c9-9e02-402c-91c6-79672c367b2e_Name">
    <vt:lpwstr>INTERNA</vt:lpwstr>
  </property>
  <property fmtid="{D5CDD505-2E9C-101B-9397-08002B2CF9AE}" pid="13" name="MSIP_Label_d3fed9c9-9e02-402c-91c6-79672c367b2e_Application">
    <vt:lpwstr>Microsoft Azure Information Protection</vt:lpwstr>
  </property>
  <property fmtid="{D5CDD505-2E9C-101B-9397-08002B2CF9AE}" pid="14" name="MSIP_Label_d3fed9c9-9e02-402c-91c6-79672c367b2e_ActionId">
    <vt:lpwstr>762fa1b6-597a-431c-a313-4e2861712ea3</vt:lpwstr>
  </property>
  <property fmtid="{D5CDD505-2E9C-101B-9397-08002B2CF9AE}" pid="15" name="MSIP_Label_d3fed9c9-9e02-402c-91c6-79672c367b2e_Extended_MSFT_Method">
    <vt:lpwstr>Automatic</vt:lpwstr>
  </property>
  <property fmtid="{D5CDD505-2E9C-101B-9397-08002B2CF9AE}" pid="16" name="Sensitivity">
    <vt:lpwstr>INTERNA</vt:lpwstr>
  </property>
</Properties>
</file>