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D241E4">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10CBF928"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Empréstimo Ponte</w:t>
      </w:r>
      <w:r>
        <w:t>”);</w:t>
      </w:r>
    </w:p>
    <w:p w14:paraId="2DC82A95" w14:textId="77777777" w:rsidR="00D3488E" w:rsidRDefault="00D3488E" w:rsidP="00D3488E">
      <w:pPr>
        <w:spacing w:line="320" w:lineRule="exact"/>
        <w:jc w:val="both"/>
      </w:pPr>
    </w:p>
    <w:p w14:paraId="023BAB7A" w14:textId="74085BCA"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Debêntures, conforme definido abaixo (“</w:t>
      </w:r>
      <w:r>
        <w:rPr>
          <w:u w:val="single"/>
        </w:rPr>
        <w:t>Agente Fiduciário</w:t>
      </w:r>
      <w:r>
        <w:t>”, em conjunto com Credor</w:t>
      </w:r>
      <w:r w:rsidR="00B90731">
        <w:t xml:space="preserve"> Empréstimo Ponte</w:t>
      </w:r>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77777777"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Empréstimo Ponte</w:t>
      </w:r>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Credor Empréstimo Ponte</w:t>
      </w:r>
      <w:r w:rsidRPr="000F6357">
        <w:rPr>
          <w:lang w:val="pt-BR"/>
        </w:rPr>
        <w:t xml:space="preserve">, </w:t>
      </w:r>
      <w:r w:rsidRPr="00D3488E">
        <w:rPr>
          <w:lang w:val="pt-BR"/>
        </w:rPr>
        <w:t>conforme</w:t>
      </w:r>
      <w:r w:rsidRPr="00317DA7">
        <w:rPr>
          <w:color w:val="000000"/>
          <w:lang w:val="pt-BR" w:eastAsia="pt-BR"/>
        </w:rPr>
        <w:t xml:space="preserve"> aditada de tempos em tempos (as “</w:t>
      </w:r>
      <w:r w:rsidRPr="00317DA7">
        <w:rPr>
          <w:color w:val="000000"/>
          <w:u w:val="single"/>
          <w:lang w:val="pt-BR" w:eastAsia="pt-BR"/>
        </w:rPr>
        <w:t>CCBs</w:t>
      </w:r>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A82F95">
        <w:rPr>
          <w:lang w:val="pt-BR"/>
        </w:rPr>
        <w:t xml:space="preserve">., </w:t>
      </w:r>
      <w:r w:rsidR="00A82F95">
        <w:rPr>
          <w:lang w:val="pt-BR"/>
        </w:rPr>
        <w:lastRenderedPageBreak/>
        <w:t>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sendo o Contrato de Prestação de Fiança, a Escritura de Emissão e as CCBs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D2429B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CCBs;</w:t>
      </w:r>
    </w:p>
    <w:p w14:paraId="72205325" w14:textId="77777777" w:rsidR="00226659" w:rsidRPr="007F51CC" w:rsidRDefault="00226659" w:rsidP="000E13BC">
      <w:pPr>
        <w:spacing w:line="320" w:lineRule="exact"/>
        <w:rPr>
          <w:iCs/>
          <w:highlight w:val="yellow"/>
        </w:rPr>
      </w:pPr>
    </w:p>
    <w:p w14:paraId="57156B0F" w14:textId="518A0CB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CCBs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477A81D4"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4AD675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 </w:t>
      </w:r>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3" w:name="_DV_M37"/>
      <w:bookmarkStart w:id="14" w:name="_DV_M40"/>
      <w:bookmarkStart w:id="15" w:name="_DV_M41"/>
      <w:bookmarkEnd w:id="13"/>
      <w:bookmarkEnd w:id="14"/>
      <w:bookmarkEnd w:id="15"/>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6" w:name="_DV_M45"/>
      <w:bookmarkStart w:id="17" w:name="_DV_M46"/>
      <w:bookmarkEnd w:id="16"/>
      <w:bookmarkEnd w:id="17"/>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8" w:name="_DV_M48"/>
      <w:bookmarkStart w:id="19" w:name="_DV_M49"/>
      <w:bookmarkStart w:id="20" w:name="_DV_M50"/>
      <w:bookmarkEnd w:id="18"/>
      <w:bookmarkEnd w:id="19"/>
      <w:bookmarkEnd w:id="2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w:t>
      </w:r>
      <w:r w:rsidR="006655E9" w:rsidRPr="00861F54">
        <w:lastRenderedPageBreak/>
        <w:t xml:space="preserve">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1" w:name="_DV_M56"/>
      <w:bookmarkEnd w:id="2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2" w:name="_Hlk1507589"/>
      <w:bookmarkStart w:id="23"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4" w:name="_DV_M35"/>
      <w:bookmarkEnd w:id="24"/>
    </w:p>
    <w:bookmarkEnd w:id="22"/>
    <w:bookmarkEnd w:id="2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25" w:name="_DV_M143"/>
      <w:bookmarkStart w:id="26" w:name="_DV_M152"/>
      <w:bookmarkStart w:id="27" w:name="_DV_M176"/>
      <w:bookmarkStart w:id="28" w:name="_DV_M137"/>
      <w:bookmarkStart w:id="29" w:name="_DV_M158"/>
      <w:bookmarkStart w:id="30" w:name="_DV_M161"/>
      <w:bookmarkStart w:id="31" w:name="_DV_M164"/>
      <w:bookmarkStart w:id="32" w:name="_DV_M166"/>
      <w:bookmarkStart w:id="33" w:name="_DV_M167"/>
      <w:bookmarkStart w:id="34" w:name="_DV_M173"/>
      <w:bookmarkEnd w:id="25"/>
      <w:bookmarkEnd w:id="26"/>
      <w:bookmarkEnd w:id="27"/>
      <w:bookmarkEnd w:id="28"/>
      <w:bookmarkEnd w:id="29"/>
      <w:bookmarkEnd w:id="30"/>
      <w:bookmarkEnd w:id="31"/>
      <w:bookmarkEnd w:id="32"/>
      <w:bookmarkEnd w:id="33"/>
      <w:bookmarkEnd w:id="34"/>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lastRenderedPageBreak/>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6"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F3CE120"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00B01356" w:rsidRPr="00847319">
        <w:rPr>
          <w:lang w:val="pt-PT"/>
        </w:rPr>
        <w:t xml:space="preserve"> </w:t>
      </w:r>
      <w:r w:rsidRPr="00847319">
        <w:rPr>
          <w:lang w:val="pt-PT"/>
        </w:rPr>
        <w:t xml:space="preserve"> 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w:t>
      </w:r>
      <w:r w:rsidRPr="00847319">
        <w:rPr>
          <w:lang w:val="pt-PT"/>
        </w:rPr>
        <w:lastRenderedPageBreak/>
        <w:t xml:space="preserve">(ou de terceiros), de natureza igual ou diversa da natureza dos Direitos Creditórios Cedidos Fiduciariamente.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t>.</w:t>
      </w:r>
    </w:p>
    <w:p w14:paraId="20DF234A" w14:textId="5C4F9B82" w:rsidR="005760A2" w:rsidRDefault="005760A2" w:rsidP="00AB1C32">
      <w:pPr>
        <w:pStyle w:val="PargrafodaLista"/>
        <w:spacing w:line="320" w:lineRule="exact"/>
        <w:ind w:left="0"/>
        <w:jc w:val="both"/>
      </w:pPr>
    </w:p>
    <w:bookmarkEnd w:id="35"/>
    <w:bookmarkEnd w:id="36"/>
    <w:p w14:paraId="309E2EF9" w14:textId="01DB45A0"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de Garantia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291EEA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 (ii)</w:t>
      </w:r>
      <w:r w:rsidR="00226659">
        <w:t xml:space="preserve"> que seja quitado o valor integral das </w:t>
      </w:r>
      <w:r w:rsidR="002E01A6">
        <w:t xml:space="preserve"> CCBs</w:t>
      </w:r>
      <w:r w:rsidR="00226659">
        <w:t>, incluindo principal, juros remuneratórios e quaisquer encargos incidentes sobre o saldo devedor, conforme aplicável; (iii)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r w:rsidR="00B2734D">
        <w:t>i</w:t>
      </w:r>
      <w:r w:rsidR="00226659">
        <w:t>v</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796A56B" w14:textId="2211AF9A" w:rsidR="005E577D" w:rsidRDefault="00A54AFE" w:rsidP="00056999">
      <w:pPr>
        <w:pStyle w:val="PargrafodaLista"/>
        <w:numPr>
          <w:ilvl w:val="1"/>
          <w:numId w:val="8"/>
        </w:numPr>
        <w:spacing w:line="320" w:lineRule="exact"/>
        <w:ind w:left="0" w:hanging="11"/>
        <w:jc w:val="both"/>
      </w:pPr>
      <w:r w:rsidRPr="00861F54">
        <w:rPr>
          <w:b/>
          <w:bCs/>
        </w:rPr>
        <w:lastRenderedPageBreak/>
        <w:t>Liberação da Garantia</w:t>
      </w:r>
      <w:r w:rsidR="00056999">
        <w:rPr>
          <w:b/>
          <w:bCs/>
        </w:rPr>
        <w:t xml:space="preserve"> pelos Credores Empréstimo Ponte</w:t>
      </w:r>
      <w:r w:rsidRPr="00861F54">
        <w:t xml:space="preserve">. </w:t>
      </w:r>
      <w:bookmarkStart w:id="37" w:name="_Hlk85211932"/>
      <w:bookmarkStart w:id="38" w:name="_Hlk42175934"/>
      <w:bookmarkStart w:id="39" w:name="_Hlk39600160"/>
      <w:r w:rsidR="00056999">
        <w:t>Mediante a ocorrência do quanto previsto na Cláusula 2.4. (ii) acima</w:t>
      </w:r>
      <w:r w:rsidR="005E577D" w:rsidRPr="00593EBB">
        <w:t>,</w:t>
      </w:r>
      <w:r w:rsidR="00056999">
        <w:t xml:space="preserve"> os Credores Empréstimo Ponte</w:t>
      </w:r>
      <w:r w:rsidR="005E577D" w:rsidRPr="00593EBB">
        <w:t xml:space="preserve"> liberarão 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37"/>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21634ACE"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lastRenderedPageBreak/>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5"/>
      <w:r w:rsidR="00C15DC8">
        <w:t>, o qual</w:t>
      </w:r>
      <w:r w:rsidR="00CB4D5C">
        <w:t xml:space="preserve"> será registrado no prazo de</w:t>
      </w:r>
      <w:r w:rsidR="00932478">
        <w:t xml:space="preserve"> [</w:t>
      </w:r>
      <w:r w:rsidR="00932478" w:rsidRPr="00932478">
        <w:rPr>
          <w:highlight w:val="yellow"/>
        </w:rPr>
        <w:t>--</w:t>
      </w:r>
      <w:r w:rsidR="00932478">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 xml:space="preserve">obriga-se a dar cumprimento imediato a qualquer exigência legal resultante de mudança na lei aplicável que venha a ocorrer no futuro, necessária à preservação, </w:t>
      </w:r>
      <w:r w:rsidRPr="00861F54">
        <w:lastRenderedPageBreak/>
        <w:t>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49"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49"/>
      <w:r w:rsidR="001D2379" w:rsidRPr="001D2379">
        <w:rPr>
          <w:i/>
          <w:lang w:eastAsia="pt-BR"/>
        </w:rPr>
        <w:t xml:space="preserve"> ao</w:t>
      </w:r>
      <w:r w:rsidRPr="001D2379">
        <w:rPr>
          <w:i/>
          <w:lang w:eastAsia="pt-BR"/>
        </w:rPr>
        <w:t xml:space="preserve"> </w:t>
      </w:r>
      <w:bookmarkStart w:id="50" w:name="_Hlk43251606"/>
      <w:r w:rsidR="001D2379" w:rsidRPr="001D2379">
        <w:rPr>
          <w:i/>
          <w:lang w:eastAsia="pt-BR"/>
        </w:rPr>
        <w:t>(i) Banco Santander (Brasil) S.A.; (ii) Itaú Unibanco S.A.; (iii) Banco Sumitomo Mitsui Brasileiro S.A.</w:t>
      </w:r>
      <w:r w:rsidR="0077743C">
        <w:rPr>
          <w:i/>
          <w:lang w:eastAsia="pt-BR"/>
        </w:rPr>
        <w:t xml:space="preserve">; e </w:t>
      </w:r>
      <w:r w:rsidR="0077743C" w:rsidRPr="000A6D10">
        <w:rPr>
          <w:i/>
          <w:iCs/>
        </w:rPr>
        <w:t>(iv)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0"/>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xml:space="preserve">, </w:t>
      </w:r>
      <w:r w:rsidR="00FA1AC4" w:rsidRPr="001D2379">
        <w:rPr>
          <w:i/>
          <w:iCs/>
        </w:rPr>
        <w:lastRenderedPageBreak/>
        <w:t>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72BCABE"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160DD95B"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1B224C">
        <w:t xml:space="preserve"> (c) qualquer Evento de Inadimplemento nas CCBs ou na Escritura</w:t>
      </w:r>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w:t>
      </w:r>
      <w:r w:rsidRPr="00861F54">
        <w:lastRenderedPageBreak/>
        <w:t xml:space="preserve">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4C94EB5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9D222F4"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 xml:space="preserve">deste Contrato </w:t>
      </w:r>
      <w:r w:rsidRPr="00861F54">
        <w:rPr>
          <w:color w:val="000000"/>
        </w:rPr>
        <w:lastRenderedPageBreak/>
        <w:t xml:space="preserve">ou da lei;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EDB91CA"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foi solucionado,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 xml:space="preserve">Direitos </w:t>
      </w:r>
      <w:r w:rsidRPr="00412DCF">
        <w:lastRenderedPageBreak/>
        <w:t>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xml:space="preserve">; e/ou (ii)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7A1B0D67"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113ECFF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cumprir e fazer com suas controladas, afiliadas, 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E1CB6A0"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2235206A" w14:textId="053778DF"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 e membros do conselho,</w:t>
      </w:r>
      <w:r w:rsidR="001B224C">
        <w:t xml:space="preserve"> bem como</w:t>
      </w:r>
      <w:r w:rsidRPr="005B3B4B">
        <w:t xml:space="preserve"> contratados e subcontratados que atuem a mando ou em </w:t>
      </w:r>
      <w:r w:rsidR="00FF3E25">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5B3B4B">
        <w:lastRenderedPageBreak/>
        <w:t>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77777777"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CD0C4CE"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de Evento de 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lastRenderedPageBreak/>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 xml:space="preserve">firmar quaisquer documentos e praticar quaisquer atos em nome da Cedente relativos à Cessão Fiduciária em Garantia, na medida em que sejam os referidos atos ou documentos necessários para constituir, aditar, conservar, manter, formalizar, validar ou </w:t>
      </w:r>
      <w:r w:rsidRPr="00861F54">
        <w:rPr>
          <w:color w:val="000000"/>
          <w:w w:val="0"/>
        </w:rPr>
        <w:lastRenderedPageBreak/>
        <w:t>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w:t>
      </w:r>
      <w:r w:rsidRPr="00861F54">
        <w:lastRenderedPageBreak/>
        <w:t xml:space="preserve">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 xml:space="preserve">as penalidades dispostas na Cláusula </w:t>
      </w:r>
      <w:r w:rsidR="001220F8">
        <w:t>8</w:t>
      </w:r>
      <w:r w:rsidR="004F6CDD">
        <w:t>.7</w:t>
      </w:r>
      <w:r w:rsidRPr="00861F54">
        <w:t>.</w:t>
      </w:r>
    </w:p>
    <w:bookmarkEnd w:id="9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861F54">
        <w:lastRenderedPageBreak/>
        <w:t>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Sr(a).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2D87F6FD" w:rsidR="005C4533" w:rsidRDefault="005C4533" w:rsidP="005C4533">
      <w:pPr>
        <w:spacing w:line="320" w:lineRule="exact"/>
        <w:rPr>
          <w:b/>
          <w:bCs/>
        </w:rPr>
      </w:pPr>
      <w:r>
        <w:rPr>
          <w:b/>
          <w:bCs/>
        </w:rPr>
        <w:t>Se para o Credor Empréstimo Ponte:</w:t>
      </w:r>
    </w:p>
    <w:p w14:paraId="33A8C347" w14:textId="2868F530" w:rsidR="005C4533" w:rsidRDefault="005C4533" w:rsidP="00317DA7">
      <w:pPr>
        <w:spacing w:line="320" w:lineRule="exact"/>
      </w:pPr>
      <w:r w:rsidRPr="008E70C3">
        <w:t>[•]</w:t>
      </w:r>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lastRenderedPageBreak/>
        <w:t xml:space="preserve">E-mail: </w:t>
      </w:r>
      <w:hyperlink r:id="rId18"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3" w:name="_Hlk86058349"/>
      <w:r>
        <w:rPr>
          <w:smallCaps/>
          <w:color w:val="000000"/>
        </w:rPr>
        <w:t>Contrato de Prestação de Fiança</w:t>
      </w:r>
    </w:p>
    <w:bookmarkEnd w:id="12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2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2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2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558D83B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A82F95">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26" w:name="_Hlk86058393"/>
      <w:r>
        <w:rPr>
          <w:smallCaps/>
          <w:color w:val="000000"/>
        </w:rPr>
        <w:lastRenderedPageBreak/>
        <w:t>2.</w:t>
      </w:r>
      <w:r>
        <w:rPr>
          <w:smallCaps/>
          <w:color w:val="000000"/>
        </w:rPr>
        <w:tab/>
        <w:t>CCBs</w:t>
      </w:r>
    </w:p>
    <w:p w14:paraId="515858E4" w14:textId="4557098E" w:rsidR="00856E6D" w:rsidRDefault="00856E6D"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77777777"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77777777" w:rsidR="00BD4B83" w:rsidRPr="00861F54" w:rsidRDefault="00BD4B83" w:rsidP="006E252F">
            <w:pPr>
              <w:spacing w:line="320" w:lineRule="exact"/>
              <w:jc w:val="both"/>
            </w:pPr>
            <w:r>
              <w:t>13 de agosto de 2021.</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w:t>
            </w:r>
            <w:r w:rsidRPr="00861F54">
              <w:rPr>
                <w:color w:val="000000"/>
              </w:rPr>
              <w:lastRenderedPageBreak/>
              <w:t>mora não compensatórios, à taxa de 1% (um por cento) ao mês ou fração de mês, ambos calculados sobre o montante devido e não pago, e (iii)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 xml:space="preserve"> 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4866C94"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F335F4" w:rsidRPr="00F335F4">
        <w:rPr>
          <w:b/>
          <w:bCs/>
        </w:rPr>
        <w:t xml:space="preserv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F335F4" w:rsidRPr="00F335F4">
        <w:t xml:space="preserve">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7"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7"/>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28"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29"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29"/>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8"/>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130"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0"/>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1"/>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r>
        <w:t xml:space="preserve"> </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 xml:space="preserve">”), </w:t>
      </w:r>
      <w:r>
        <w:t xml:space="preserve"> </w:t>
      </w:r>
      <w:bookmarkStart w:id="132"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132"/>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3"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3"/>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34" w:name="_DV_M298"/>
      <w:bookmarkStart w:id="135" w:name="_DV_M300"/>
      <w:bookmarkStart w:id="136" w:name="_DV_M301"/>
      <w:bookmarkStart w:id="137" w:name="_DV_M302"/>
      <w:bookmarkStart w:id="138" w:name="_DV_M303"/>
      <w:bookmarkStart w:id="139" w:name="_DV_M304"/>
      <w:bookmarkStart w:id="140" w:name="_DV_M305"/>
      <w:bookmarkStart w:id="141" w:name="_DV_M306"/>
      <w:bookmarkStart w:id="142" w:name="_DV_M307"/>
      <w:bookmarkStart w:id="143" w:name="_DV_M308"/>
      <w:bookmarkStart w:id="144" w:name="_DV_M309"/>
      <w:bookmarkStart w:id="145" w:name="_DV_M310"/>
      <w:bookmarkStart w:id="146" w:name="_DV_M311"/>
      <w:bookmarkStart w:id="147" w:name="_DV_M313"/>
      <w:bookmarkStart w:id="148" w:name="_DV_M314"/>
      <w:bookmarkStart w:id="149" w:name="_DV_M315"/>
      <w:bookmarkStart w:id="150" w:name="_DV_M31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51"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1"/>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52"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2"/>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19"/>
      <w:footerReference w:type="even" r:id="rId20"/>
      <w:footerReference w:type="default" r:id="rId21"/>
      <w:head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42F6156B" w:rsidR="00701BE5" w:rsidRPr="00701BE5" w:rsidRDefault="00701BE5" w:rsidP="00701BE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gZ81Yq0CAABHBQAADgAAAAAAAAAA&#10;AAAAAAAuAgAAZHJzL2Uyb0RvYy54bWxQSwECLQAUAAYACAAAACEADCMl1tsAAAAHAQAADwAAAAAA&#10;AAAAAAAAAAAHBQAAZHJzL2Rvd25yZXYueG1sUEsFBgAAAAAEAAQA8wAAAA8GAAAAAA==&#10;" o:allowincell="f" filled="f" stroked="f" strokeweight=".5pt">
              <v:textbox inset="20pt,0,,0">
                <w:txbxContent>
                  <w:p w14:paraId="72951295" w14:textId="42F6156B" w:rsidR="00701BE5" w:rsidRPr="00701BE5" w:rsidRDefault="00701BE5" w:rsidP="00701BE5">
                    <w:pPr>
                      <w:rPr>
                        <w:rFonts w:ascii="Calibri" w:hAnsi="Calibri" w:cs="Calibri"/>
                        <w:color w:val="000000"/>
                        <w:sz w:val="20"/>
                      </w:rPr>
                    </w:pPr>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89C0A2E" w:rsidR="00A82F95" w:rsidRPr="00D46D6A" w:rsidRDefault="00A82F95" w:rsidP="00D46D6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5"/>
  </w:num>
  <w:num w:numId="7">
    <w:abstractNumId w:val="10"/>
  </w:num>
  <w:num w:numId="8">
    <w:abstractNumId w:val="16"/>
  </w:num>
  <w:num w:numId="9">
    <w:abstractNumId w:val="14"/>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3"/>
  </w:num>
  <w:num w:numId="18">
    <w:abstractNumId w:val="12"/>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241E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yperlink" Target="mailto:spgarantia@simplificpavarini.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yperlink" Target="mailto:marcos_correa@smbcgroup.com.br" TargetMode="External"/><Relationship Id="rId2" Type="http://schemas.openxmlformats.org/officeDocument/2006/relationships/customXml" Target="../customXml/item2.xml"/><Relationship Id="rId16" Type="http://schemas.openxmlformats.org/officeDocument/2006/relationships/hyperlink" Target="mailto:julio_brunetti@smbcgroup.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green@santander.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41DD9-E78E-4636-B204-785B66B69458}">
  <ds:schemaRefs>
    <ds:schemaRef ds:uri="http://schemas.openxmlformats.org/officeDocument/2006/bibliography"/>
  </ds:schemaRefs>
</ds:datastoreItem>
</file>

<file path=customXml/itemProps3.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17182</Words>
  <Characters>98283</Characters>
  <Application>Microsoft Office Word</Application>
  <DocSecurity>0</DocSecurity>
  <Lines>1927</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6</cp:revision>
  <cp:lastPrinted>2021-08-26T15:02:00Z</cp:lastPrinted>
  <dcterms:created xsi:type="dcterms:W3CDTF">2021-12-01T13:58:00Z</dcterms:created>
  <dcterms:modified xsi:type="dcterms:W3CDTF">2021-12-01T20:24:00Z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2021-09-06T23:36:34Z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e297e3b8-6378-4615-8dd9-38b6fbba2b80</vt:lpwstr>
  </property>
  <property fmtid="{D5CDD505-2E9C-101B-9397-08002B2CF9AE}" pid="15" name="MSIP_Label_3c41c091-3cbc-4dba-8b59-ce62f19500db_ContentBits">
    <vt:lpwstr>1</vt:lpwstr>
  </property>
</Properties>
</file>