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62E7AE79"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 xml:space="preserve">SIMÕES TRANSMISSORA DE ENERGIA ELÉTRICA S.A., sociedade anônima com sede na </w:t>
      </w:r>
      <w:r w:rsidRPr="00DE6B3C">
        <w:rPr>
          <w:rFonts w:ascii="Garamond" w:hAnsi="Garamond"/>
          <w:szCs w:val="24"/>
        </w:rPr>
        <w:t xml:space="preserve">cidade de </w:t>
      </w:r>
      <w:r w:rsidRPr="00023BED">
        <w:rPr>
          <w:rFonts w:ascii="Garamond" w:hAnsi="Garamond"/>
          <w:szCs w:val="24"/>
        </w:rPr>
        <w:t xml:space="preserve">São Paulo, Estado de São Paulo Avenida Presidente Juscelino Kubitschek 2041, Torre D, andar 23, sala </w:t>
      </w:r>
      <w:r w:rsidR="00967B5B">
        <w:rPr>
          <w:rFonts w:ascii="Garamond" w:hAnsi="Garamond"/>
          <w:szCs w:val="24"/>
        </w:rPr>
        <w:t>9</w:t>
      </w:r>
      <w:r w:rsidRPr="00023BED">
        <w:rPr>
          <w:rFonts w:ascii="Garamond" w:hAnsi="Garamond"/>
          <w:szCs w:val="24"/>
        </w:rPr>
        <w:t>, Vila Nova Conceição, CEP 04543-011, inscrita no CNPJ/ME sob o nº 31.326.865/0001-76</w:t>
      </w:r>
      <w:r w:rsidRPr="00DE6B3C">
        <w:rPr>
          <w:rFonts w:ascii="Garamond" w:hAnsi="Garamond"/>
          <w:szCs w:val="24"/>
        </w:rPr>
        <w:t xml:space="preserve"> (“</w:t>
      </w:r>
      <w:r w:rsidR="00525A60" w:rsidRPr="00DE6B3C">
        <w:rPr>
          <w:rFonts w:ascii="Garamond" w:hAnsi="Garamond"/>
          <w:szCs w:val="24"/>
          <w:u w:val="single"/>
        </w:rPr>
        <w:t>Devedora</w:t>
      </w:r>
      <w:r w:rsidRPr="00DE6B3C">
        <w:rPr>
          <w:rFonts w:ascii="Garamond" w:hAnsi="Garamond"/>
          <w:szCs w:val="24"/>
        </w:rPr>
        <w:t>”)</w:t>
      </w:r>
      <w:r w:rsidR="00DE4F4E">
        <w:rPr>
          <w:rFonts w:ascii="Garamond" w:hAnsi="Garamond"/>
          <w:szCs w:val="24"/>
        </w:rPr>
        <w:t xml:space="preserve"> </w:t>
      </w:r>
      <w:r w:rsidR="003B03F6">
        <w:rPr>
          <w:rFonts w:ascii="Garamond" w:hAnsi="Garamond"/>
          <w:szCs w:val="24"/>
        </w:rPr>
        <w:t>realizou</w:t>
      </w:r>
      <w:r w:rsidRPr="00B36DDB">
        <w:rPr>
          <w:rFonts w:ascii="Garamond" w:hAnsi="Garamond"/>
          <w:szCs w:val="24"/>
        </w:rPr>
        <w:t xml:space="preserve"> a emissão de até </w:t>
      </w:r>
      <w:r w:rsidR="00F219A9" w:rsidRPr="00023BED">
        <w:rPr>
          <w:rFonts w:ascii="Garamond" w:hAnsi="Garamond"/>
        </w:rPr>
        <w:t>65.000 (sessenta e cinco mil)</w:t>
      </w:r>
      <w:r w:rsidRPr="00B36DDB">
        <w:rPr>
          <w:rFonts w:ascii="Garamond" w:hAnsi="Garamond"/>
          <w:szCs w:val="24"/>
        </w:rPr>
        <w:t xml:space="preserve"> debêntures simples, não conversíveis em ações, cada uma no valor unitário de R$ 1.000,00 (mil reais),</w:t>
      </w:r>
      <w:r w:rsidRPr="00525A60">
        <w:rPr>
          <w:rFonts w:ascii="Garamond" w:hAnsi="Garamond"/>
          <w:szCs w:val="24"/>
        </w:rPr>
        <w:t xml:space="preserve"> da espécie quirografária, com garantias reais e garantia fidejussória adicionais, em série única, para distribuição pública, com esforços restritos, por meio do </w:t>
      </w:r>
      <w:r w:rsidR="00B36DDB">
        <w:rPr>
          <w:rFonts w:ascii="Garamond" w:hAnsi="Garamond"/>
          <w:szCs w:val="24"/>
        </w:rPr>
        <w:t>“</w:t>
      </w:r>
      <w:r w:rsidRPr="00023BED">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E6B3C">
        <w:rPr>
          <w:rFonts w:ascii="Garamond" w:hAnsi="Garamond"/>
          <w:i/>
          <w:szCs w:val="24"/>
        </w:rPr>
        <w:t>Simões</w:t>
      </w:r>
      <w:r w:rsidR="00B36DDB" w:rsidRPr="00023BED">
        <w:rPr>
          <w:rFonts w:ascii="Garamond" w:hAnsi="Garamond"/>
          <w:i/>
          <w:szCs w:val="24"/>
        </w:rPr>
        <w:t xml:space="preserve"> Transmissora de Energia Elétrica S.A.</w:t>
      </w:r>
      <w:r w:rsidR="00B36DDB">
        <w:rPr>
          <w:rFonts w:ascii="Garamond" w:hAnsi="Garamond"/>
          <w:szCs w:val="24"/>
        </w:rPr>
        <w:t>”</w:t>
      </w:r>
      <w:r w:rsidRPr="00525A60">
        <w:rPr>
          <w:rFonts w:ascii="Garamond" w:hAnsi="Garamond"/>
          <w:szCs w:val="24"/>
        </w:rPr>
        <w:t xml:space="preserve">,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0664F8A2"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B36DDB">
        <w:rPr>
          <w:rFonts w:ascii="Garamond" w:hAnsi="Garamond"/>
          <w:szCs w:val="24"/>
        </w:rPr>
        <w:t>2</w:t>
      </w:r>
      <w:r w:rsidR="0042517E">
        <w:rPr>
          <w:rFonts w:ascii="Garamond" w:hAnsi="Garamond"/>
          <w:szCs w:val="24"/>
        </w:rPr>
        <w:t>8</w:t>
      </w:r>
      <w:r w:rsidR="00673328" w:rsidRPr="00673328">
        <w:rPr>
          <w:rFonts w:ascii="Garamond" w:hAnsi="Garamond"/>
          <w:szCs w:val="24"/>
        </w:rPr>
        <w:t xml:space="preserve"> de </w:t>
      </w:r>
      <w:r w:rsidR="00B36DDB">
        <w:rPr>
          <w:rFonts w:ascii="Garamond" w:hAnsi="Garamond"/>
          <w:szCs w:val="24"/>
        </w:rPr>
        <w:t>setembro</w:t>
      </w:r>
      <w:r w:rsidR="00673328" w:rsidRPr="00673328">
        <w:rPr>
          <w:rFonts w:ascii="Garamond" w:hAnsi="Garamond"/>
          <w:szCs w:val="24"/>
        </w:rPr>
        <w:t xml:space="preserve"> de 2020, em favor do Santander, a “</w:t>
      </w:r>
      <w:r w:rsidR="00673328" w:rsidRPr="00525A60">
        <w:rPr>
          <w:rFonts w:ascii="Garamond" w:hAnsi="Garamond"/>
          <w:i/>
          <w:iCs/>
          <w:szCs w:val="24"/>
        </w:rPr>
        <w:t xml:space="preserve">Cédula de Crédito Bancário nº </w:t>
      </w:r>
      <w:r w:rsidR="00B36DDB" w:rsidRPr="00023BED">
        <w:rPr>
          <w:rFonts w:ascii="Garamond" w:hAnsi="Garamond"/>
          <w:i/>
          <w:iCs/>
          <w:szCs w:val="24"/>
        </w:rPr>
        <w:t>000270391</w:t>
      </w:r>
      <w:r w:rsidR="00DE6B3C">
        <w:rPr>
          <w:rFonts w:ascii="Garamond" w:hAnsi="Garamond"/>
          <w:i/>
          <w:iCs/>
          <w:szCs w:val="24"/>
        </w:rPr>
        <w:t>1</w:t>
      </w:r>
      <w:r w:rsidR="00B36DDB" w:rsidRPr="00023BED">
        <w:rPr>
          <w:rFonts w:ascii="Garamond" w:hAnsi="Garamond"/>
          <w:i/>
          <w:iCs/>
          <w:szCs w:val="24"/>
        </w:rPr>
        <w:t>20</w:t>
      </w:r>
      <w:r w:rsidR="00673328" w:rsidRPr="00673328">
        <w:rPr>
          <w:rFonts w:ascii="Garamond" w:hAnsi="Garamond"/>
          <w:szCs w:val="24"/>
        </w:rPr>
        <w:t xml:space="preserve">”, no valor de </w:t>
      </w:r>
      <w:r w:rsidR="00B36DDB">
        <w:rPr>
          <w:rFonts w:ascii="Garamond" w:hAnsi="Garamond"/>
          <w:szCs w:val="24"/>
        </w:rPr>
        <w:t>R$1</w:t>
      </w:r>
      <w:r w:rsidR="00DE6B3C">
        <w:rPr>
          <w:rFonts w:ascii="Garamond" w:hAnsi="Garamond"/>
          <w:szCs w:val="24"/>
        </w:rPr>
        <w:t>0</w:t>
      </w:r>
      <w:r w:rsidR="00B36DDB">
        <w:rPr>
          <w:rFonts w:ascii="Garamond" w:hAnsi="Garamond"/>
          <w:szCs w:val="24"/>
        </w:rPr>
        <w:t xml:space="preserve">.000.000,00 </w:t>
      </w:r>
      <w:r w:rsidR="00DE6B3C">
        <w:rPr>
          <w:rFonts w:ascii="Garamond" w:hAnsi="Garamond"/>
          <w:szCs w:val="24"/>
        </w:rPr>
        <w:lastRenderedPageBreak/>
        <w:t>(d</w:t>
      </w:r>
      <w:r w:rsidR="00B36DDB">
        <w:rPr>
          <w:rFonts w:ascii="Garamond" w:hAnsi="Garamond"/>
          <w:szCs w:val="24"/>
        </w:rPr>
        <w:t>e</w:t>
      </w:r>
      <w:r w:rsidR="00DE6B3C">
        <w:rPr>
          <w:rFonts w:ascii="Garamond" w:hAnsi="Garamond"/>
          <w:szCs w:val="24"/>
        </w:rPr>
        <w:t>z</w:t>
      </w:r>
      <w:r w:rsidR="00B36DDB">
        <w:rPr>
          <w:rFonts w:ascii="Garamond" w:hAnsi="Garamond"/>
          <w:szCs w:val="24"/>
        </w:rPr>
        <w:t xml:space="preserve"> milhões de reais)</w:t>
      </w:r>
      <w:r w:rsidR="00673328" w:rsidRPr="00673328">
        <w:rPr>
          <w:rFonts w:ascii="Garamond" w:hAnsi="Garamond"/>
          <w:szCs w:val="24"/>
        </w:rPr>
        <w:t xml:space="preserve">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10861DAA"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2</w:t>
      </w:r>
      <w:r w:rsidR="00B36DDB">
        <w:rPr>
          <w:rFonts w:ascii="Garamond" w:hAnsi="Garamond"/>
          <w:szCs w:val="24"/>
        </w:rPr>
        <w:t>4</w:t>
      </w:r>
      <w:r>
        <w:rPr>
          <w:rFonts w:ascii="Garamond" w:hAnsi="Garamond"/>
          <w:szCs w:val="24"/>
        </w:rPr>
        <w:t xml:space="preserve">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PargrafodaLista"/>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w:t>
      </w:r>
      <w:r w:rsidR="00826089" w:rsidRPr="00826089">
        <w:rPr>
          <w:rFonts w:ascii="Garamond" w:hAnsi="Garamond"/>
          <w:szCs w:val="24"/>
        </w:rPr>
        <w:lastRenderedPageBreak/>
        <w:t>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023BED">
      <w:pPr>
        <w:keepNext/>
        <w:keepLines/>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023BED">
      <w:pPr>
        <w:pStyle w:val="Ttulo2"/>
        <w:keepLines/>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3403BB70" w14:textId="77777777" w:rsidR="00423A39" w:rsidRPr="00C2178C" w:rsidRDefault="00423A39"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023BED">
      <w:pPr>
        <w:pStyle w:val="5"/>
        <w:keepNext/>
        <w:keepLines/>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023BED">
      <w:pPr>
        <w:keepNext/>
        <w:keepLines/>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023BED">
      <w:pPr>
        <w:keepNext/>
        <w:keepLines/>
        <w:spacing w:line="320" w:lineRule="exact"/>
        <w:ind w:hanging="1"/>
        <w:rPr>
          <w:rFonts w:ascii="Garamond" w:hAnsi="Garamond"/>
          <w:color w:val="000000"/>
          <w:szCs w:val="24"/>
        </w:rPr>
      </w:pPr>
    </w:p>
    <w:p w14:paraId="7F6B8029" w14:textId="77777777" w:rsidR="00D9083C" w:rsidRPr="00C2178C" w:rsidRDefault="00D3362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2548148F"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0" w:name="_DV_M70"/>
      <w:bookmarkEnd w:id="0"/>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F6FE13F" w14:textId="0128D4E8" w:rsidR="0052237B" w:rsidRPr="00CB6621" w:rsidRDefault="00B71A74">
      <w:pPr>
        <w:pStyle w:val="Recuodecorpodetexto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Recuodecorpodetexto2"/>
        <w:tabs>
          <w:tab w:val="left" w:pos="4820"/>
        </w:tabs>
        <w:spacing w:line="320" w:lineRule="exact"/>
        <w:rPr>
          <w:rFonts w:ascii="Garamond" w:hAnsi="Garamond"/>
          <w:color w:val="000000"/>
          <w:szCs w:val="24"/>
        </w:rPr>
      </w:pPr>
    </w:p>
    <w:p w14:paraId="29D8C93C" w14:textId="77777777" w:rsidR="0052237B"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lastRenderedPageBreak/>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Recuodecorpodetexto2"/>
        <w:tabs>
          <w:tab w:val="left" w:pos="4820"/>
        </w:tabs>
        <w:spacing w:line="320" w:lineRule="exact"/>
        <w:rPr>
          <w:rFonts w:ascii="Garamond" w:hAnsi="Garamond"/>
          <w:bCs/>
          <w:szCs w:val="24"/>
        </w:rPr>
      </w:pPr>
    </w:p>
    <w:p w14:paraId="09FBC00B" w14:textId="77777777" w:rsidR="0082318C" w:rsidRPr="00023BED" w:rsidRDefault="0082318C">
      <w:pPr>
        <w:pStyle w:val="Recuodecorpodetexto2"/>
        <w:tabs>
          <w:tab w:val="left" w:pos="4820"/>
        </w:tabs>
        <w:spacing w:line="320" w:lineRule="exact"/>
        <w:rPr>
          <w:rFonts w:ascii="Garamond" w:hAnsi="Garamond"/>
          <w:bCs/>
          <w:szCs w:val="24"/>
          <w:u w:val="single"/>
        </w:rPr>
      </w:pPr>
      <w:r>
        <w:rPr>
          <w:rFonts w:ascii="Garamond" w:hAnsi="Garamond"/>
          <w:bCs/>
          <w:szCs w:val="24"/>
        </w:rPr>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Recuodecorpodetexto2"/>
        <w:tabs>
          <w:tab w:val="left" w:pos="4820"/>
        </w:tabs>
        <w:spacing w:line="320" w:lineRule="exact"/>
        <w:rPr>
          <w:rFonts w:ascii="Garamond" w:hAnsi="Garamond"/>
          <w:bCs/>
          <w:szCs w:val="24"/>
        </w:rPr>
      </w:pPr>
    </w:p>
    <w:p w14:paraId="04C3FF52" w14:textId="4A35910E"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w:t>
      </w:r>
      <w:r w:rsidR="003B03F6">
        <w:rPr>
          <w:rFonts w:ascii="Garamond" w:hAnsi="Garamond"/>
          <w:szCs w:val="24"/>
        </w:rPr>
        <w:t xml:space="preserve">considerando o valor integralizado das Debêntures e o valor desembolsado sob a CCB e conforme </w:t>
      </w:r>
      <w:r w:rsidR="0050670E" w:rsidRPr="00C2178C">
        <w:rPr>
          <w:rFonts w:ascii="Garamond" w:hAnsi="Garamond"/>
          <w:bCs/>
          <w:color w:val="000000"/>
          <w:szCs w:val="24"/>
        </w:rPr>
        <w:t xml:space="preserve">atualizado </w:t>
      </w:r>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r w:rsidR="0002481A" w:rsidRPr="00C2178C">
        <w:rPr>
          <w:rFonts w:ascii="Garamond" w:hAnsi="Garamond"/>
          <w:bCs/>
          <w:color w:val="000000"/>
          <w:szCs w:val="24"/>
        </w:rPr>
        <w:t>:</w:t>
      </w:r>
      <w:r w:rsidR="00867B5E">
        <w:rPr>
          <w:rFonts w:ascii="Garamond" w:hAnsi="Garamond"/>
          <w:bCs/>
          <w:color w:val="000000"/>
          <w:szCs w:val="24"/>
        </w:rPr>
        <w:t xml:space="preserve"> </w:t>
      </w:r>
    </w:p>
    <w:p w14:paraId="6E26AA01"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023BED">
        <w:tc>
          <w:tcPr>
            <w:tcW w:w="2891" w:type="dxa"/>
            <w:shd w:val="clear" w:color="auto" w:fill="auto"/>
            <w:vAlign w:val="center"/>
          </w:tcPr>
          <w:p w14:paraId="2AF63DCC" w14:textId="77777777" w:rsidR="00F25C6A" w:rsidRPr="00C2178C" w:rsidRDefault="005C0990" w:rsidP="00023BED">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vAlign w:val="center"/>
          </w:tcPr>
          <w:p w14:paraId="43AD82F8" w14:textId="37CCC7F9" w:rsidR="00F25C6A" w:rsidRPr="00C2178C" w:rsidRDefault="00B36DDB">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Pr>
                <w:rFonts w:ascii="Garamond" w:hAnsi="Garamond"/>
                <w:color w:val="000000"/>
                <w:szCs w:val="24"/>
              </w:rPr>
              <w:t>1</w:t>
            </w:r>
            <w:r w:rsidR="00DE6B3C">
              <w:rPr>
                <w:rFonts w:ascii="Garamond" w:hAnsi="Garamond"/>
                <w:color w:val="000000"/>
                <w:szCs w:val="24"/>
              </w:rPr>
              <w:t>0</w:t>
            </w:r>
            <w:r>
              <w:rPr>
                <w:rFonts w:ascii="Garamond" w:hAnsi="Garamond"/>
                <w:color w:val="000000"/>
                <w:szCs w:val="24"/>
              </w:rPr>
              <w:t>.000.000,00</w:t>
            </w:r>
          </w:p>
        </w:tc>
        <w:tc>
          <w:tcPr>
            <w:tcW w:w="3014" w:type="dxa"/>
            <w:shd w:val="clear" w:color="auto" w:fill="auto"/>
            <w:vAlign w:val="center"/>
          </w:tcPr>
          <w:p w14:paraId="72862A7C" w14:textId="2119AA59" w:rsidR="00F25C6A"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4531C8" w:rsidRPr="00C2178C" w14:paraId="599D511A" w14:textId="77777777" w:rsidTr="00023BED">
        <w:tc>
          <w:tcPr>
            <w:tcW w:w="2891" w:type="dxa"/>
            <w:shd w:val="clear" w:color="auto" w:fill="auto"/>
            <w:vAlign w:val="center"/>
          </w:tcPr>
          <w:p w14:paraId="74E3D9F6" w14:textId="77777777" w:rsidR="004531C8" w:rsidRPr="00C2178C" w:rsidRDefault="005C0990" w:rsidP="00023BED">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4D5DF482" w:rsidR="004531C8" w:rsidRPr="00C2178C" w:rsidRDefault="006B1A2F">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00B36DDB">
              <w:rPr>
                <w:rFonts w:ascii="Garamond" w:hAnsi="Garamond"/>
                <w:color w:val="000000"/>
                <w:szCs w:val="24"/>
              </w:rPr>
              <w:t>1</w:t>
            </w:r>
            <w:r w:rsidR="00DE6B3C">
              <w:rPr>
                <w:rFonts w:ascii="Garamond" w:hAnsi="Garamond"/>
                <w:color w:val="000000"/>
                <w:szCs w:val="24"/>
              </w:rPr>
              <w:t>0</w:t>
            </w:r>
            <w:r w:rsidR="00B36DDB">
              <w:rPr>
                <w:rFonts w:ascii="Garamond" w:hAnsi="Garamond"/>
                <w:color w:val="000000"/>
                <w:szCs w:val="24"/>
              </w:rPr>
              <w:t>.000.000,00</w:t>
            </w:r>
          </w:p>
        </w:tc>
        <w:tc>
          <w:tcPr>
            <w:tcW w:w="3014" w:type="dxa"/>
            <w:shd w:val="clear" w:color="auto" w:fill="auto"/>
            <w:vAlign w:val="center"/>
          </w:tcPr>
          <w:p w14:paraId="46878F9D" w14:textId="5D47AE13" w:rsidR="004531C8"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F25C6A" w:rsidRPr="00C2178C" w14:paraId="0D45DEED" w14:textId="77777777" w:rsidTr="00023BED">
        <w:tc>
          <w:tcPr>
            <w:tcW w:w="2891" w:type="dxa"/>
            <w:shd w:val="clear" w:color="auto" w:fill="auto"/>
            <w:vAlign w:val="center"/>
          </w:tcPr>
          <w:p w14:paraId="033D2ED6" w14:textId="77777777" w:rsidR="00F25C6A" w:rsidRPr="00C2178C" w:rsidRDefault="00F25C6A" w:rsidP="00023BED">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01D22050" w:rsidR="00F25C6A" w:rsidRPr="00023BED" w:rsidRDefault="006B1A2F">
            <w:pPr>
              <w:pStyle w:val="Recuodecorpodetexto2"/>
              <w:tabs>
                <w:tab w:val="left" w:pos="4820"/>
              </w:tabs>
              <w:spacing w:line="320" w:lineRule="exact"/>
              <w:ind w:firstLine="0"/>
              <w:jc w:val="center"/>
              <w:rPr>
                <w:rFonts w:ascii="Garamond" w:hAnsi="Garamond"/>
                <w:b/>
                <w:szCs w:val="24"/>
              </w:rPr>
            </w:pPr>
            <w:r w:rsidRPr="00C2178C">
              <w:rPr>
                <w:rFonts w:ascii="Garamond" w:hAnsi="Garamond"/>
                <w:b/>
                <w:szCs w:val="24"/>
              </w:rPr>
              <w:t xml:space="preserve">R$ </w:t>
            </w:r>
            <w:r w:rsidR="00B36DDB">
              <w:rPr>
                <w:rFonts w:ascii="Garamond" w:hAnsi="Garamond"/>
                <w:b/>
                <w:szCs w:val="24"/>
              </w:rPr>
              <w:t>2</w:t>
            </w:r>
            <w:r w:rsidR="00DE6B3C">
              <w:rPr>
                <w:rFonts w:ascii="Garamond" w:hAnsi="Garamond"/>
                <w:b/>
                <w:szCs w:val="24"/>
              </w:rPr>
              <w:t>0</w:t>
            </w:r>
            <w:r w:rsidR="00B36DDB">
              <w:rPr>
                <w:rFonts w:ascii="Garamond" w:hAnsi="Garamond"/>
                <w:b/>
                <w:szCs w:val="24"/>
              </w:rPr>
              <w:t>.000.000,00</w:t>
            </w:r>
          </w:p>
        </w:tc>
        <w:tc>
          <w:tcPr>
            <w:tcW w:w="3014" w:type="dxa"/>
            <w:shd w:val="clear" w:color="auto" w:fill="auto"/>
            <w:vAlign w:val="center"/>
          </w:tcPr>
          <w:p w14:paraId="275F477A"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s 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 xml:space="preserve">Credor não </w:t>
      </w:r>
      <w:r w:rsidR="00317D27" w:rsidRPr="00C2178C">
        <w:rPr>
          <w:rFonts w:ascii="Garamond" w:hAnsi="Garamond"/>
          <w:bCs/>
          <w:color w:val="000000"/>
          <w:szCs w:val="24"/>
        </w:rPr>
        <w:lastRenderedPageBreak/>
        <w:t>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4B96B415"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r w:rsidR="003B03F6">
        <w:rPr>
          <w:rFonts w:ascii="Garamond" w:hAnsi="Garamond"/>
          <w:szCs w:val="24"/>
        </w:rPr>
        <w:t xml:space="preserve"> (considerando o valor integralizado das Debêntures e o valor desembolsado sob a CCB)</w:t>
      </w:r>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01C76E26"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r w:rsidR="003B03F6">
        <w:rPr>
          <w:rFonts w:ascii="Garamond" w:hAnsi="Garamond"/>
          <w:szCs w:val="24"/>
        </w:rPr>
        <w:t xml:space="preserve"> (considerando o valor integralizado das Debêntures e o valor desembolsado sob a CCB)</w:t>
      </w:r>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PargrafodaLista"/>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PargrafodaLista"/>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lastRenderedPageBreak/>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PargrafodaLista"/>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PargrafodaLista"/>
        <w:spacing w:line="320" w:lineRule="exact"/>
        <w:ind w:left="1421"/>
        <w:rPr>
          <w:rFonts w:ascii="Garamond" w:hAnsi="Garamond"/>
        </w:rPr>
      </w:pPr>
    </w:p>
    <w:p w14:paraId="394F9289" w14:textId="77777777"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PargrafodaLista"/>
        <w:spacing w:line="320" w:lineRule="exact"/>
        <w:ind w:left="1421"/>
        <w:rPr>
          <w:rFonts w:ascii="Garamond" w:hAnsi="Garamond"/>
        </w:rPr>
      </w:pPr>
    </w:p>
    <w:p w14:paraId="36582D80" w14:textId="77777777"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PargrafodaLista"/>
        <w:rPr>
          <w:rFonts w:ascii="Garamond" w:hAnsi="Garamond"/>
        </w:rPr>
      </w:pPr>
    </w:p>
    <w:p w14:paraId="0D4D24B2" w14:textId="77777777"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lastRenderedPageBreak/>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PargrafodaLista"/>
        <w:rPr>
          <w:rFonts w:ascii="Garamond" w:hAnsi="Garamond"/>
        </w:rPr>
      </w:pPr>
    </w:p>
    <w:p w14:paraId="1385C694" w14:textId="166C42FF"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PargrafodaLista"/>
        <w:spacing w:line="320" w:lineRule="exact"/>
        <w:ind w:left="1421"/>
        <w:rPr>
          <w:rFonts w:ascii="Garamond" w:hAnsi="Garamond"/>
        </w:rPr>
      </w:pPr>
    </w:p>
    <w:p w14:paraId="3081F2EE" w14:textId="5252F100" w:rsidR="006D7966" w:rsidRPr="005C35DA" w:rsidRDefault="003E3D7C" w:rsidP="00362B1F">
      <w:pPr>
        <w:pStyle w:val="PargrafodaLista"/>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1"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w:t>
      </w:r>
      <w:r w:rsidRPr="00362B1F">
        <w:rPr>
          <w:rFonts w:ascii="Garamond" w:hAnsi="Garamond"/>
          <w:color w:val="000000"/>
          <w:szCs w:val="24"/>
        </w:rPr>
        <w:lastRenderedPageBreak/>
        <w:t>requeridas imediatamente pelos Credores e que, em qualquer caso, deverão ser informadas aos demais Credores em até 48 (quarenta e oito) horas após a sua propositura. Nesses casos, os demais Credores se comprometem a cooperar na 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69954D5F"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r w:rsidR="003B03F6" w:rsidRPr="0082318C">
        <w:rPr>
          <w:rFonts w:ascii="Garamond" w:hAnsi="Garamond"/>
          <w:bCs/>
          <w:szCs w:val="24"/>
        </w:rPr>
        <w:t xml:space="preserve">proporcionalmente ao valor do crédito de cada Credor </w:t>
      </w:r>
      <w:r w:rsidR="003B03F6">
        <w:rPr>
          <w:rFonts w:ascii="Garamond" w:hAnsi="Garamond"/>
          <w:bCs/>
          <w:szCs w:val="24"/>
        </w:rPr>
        <w:t>na respectiva data</w:t>
      </w:r>
      <w:r w:rsidR="00B21D3E">
        <w:rPr>
          <w:rFonts w:ascii="Garamond" w:hAnsi="Garamond"/>
          <w:bCs/>
          <w:szCs w:val="24"/>
        </w:rPr>
        <w:t xml:space="preserve"> (incluindo o principal, remuneração e outros encargos financeiros previstos contratualmente)</w:t>
      </w:r>
      <w:r w:rsidR="003B03F6" w:rsidRPr="00C2178C">
        <w:rPr>
          <w:rFonts w:ascii="Garamond" w:hAnsi="Garamond"/>
          <w:bCs/>
          <w:szCs w:val="24"/>
        </w:rPr>
        <w:t xml:space="preserve"> (</w:t>
      </w:r>
      <w:r w:rsidR="003B03F6">
        <w:rPr>
          <w:rFonts w:ascii="Garamond" w:hAnsi="Garamond"/>
          <w:bCs/>
          <w:szCs w:val="24"/>
        </w:rPr>
        <w:t xml:space="preserve">nos termos da </w:t>
      </w:r>
      <w:r w:rsidR="003B03F6" w:rsidRPr="00C2178C">
        <w:rPr>
          <w:rFonts w:ascii="Garamond" w:hAnsi="Garamond"/>
          <w:bCs/>
          <w:szCs w:val="24"/>
        </w:rPr>
        <w:t xml:space="preserve">Cláusula </w:t>
      </w:r>
      <w:r w:rsidR="003B03F6">
        <w:rPr>
          <w:rFonts w:ascii="Garamond" w:hAnsi="Garamond"/>
          <w:bCs/>
          <w:szCs w:val="24"/>
        </w:rPr>
        <w:t>4.2.1 abaixo</w:t>
      </w:r>
      <w:r w:rsidR="003B03F6" w:rsidRPr="00C2178C">
        <w:rPr>
          <w:rFonts w:ascii="Garamond" w:hAnsi="Garamond"/>
          <w:bCs/>
          <w:szCs w:val="24"/>
        </w:rPr>
        <w:t>)</w:t>
      </w:r>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78B7ED18" w:rsidR="006D7966" w:rsidRPr="00362B1F" w:rsidRDefault="006D7966" w:rsidP="00362B1F">
      <w:pPr>
        <w:pStyle w:val="PargrafodaLista"/>
        <w:numPr>
          <w:ilvl w:val="0"/>
          <w:numId w:val="24"/>
        </w:numPr>
        <w:spacing w:line="320" w:lineRule="exact"/>
        <w:rPr>
          <w:rFonts w:ascii="Garamond" w:hAnsi="Garamond"/>
          <w:color w:val="000000"/>
          <w:szCs w:val="24"/>
        </w:rPr>
      </w:pPr>
      <w:bookmarkStart w:id="2"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xml:space="preserve">. </w:t>
      </w:r>
      <w:r w:rsidR="003B03F6">
        <w:rPr>
          <w:rFonts w:ascii="Garamond" w:hAnsi="Garamond"/>
          <w:color w:val="000000"/>
          <w:szCs w:val="24"/>
        </w:rPr>
        <w:t xml:space="preserve">Quaisquer instruções </w:t>
      </w:r>
      <w:r w:rsidR="003B03F6">
        <w:rPr>
          <w:rFonts w:ascii="Garamond" w:hAnsi="Garamond"/>
          <w:color w:val="000000"/>
          <w:szCs w:val="24"/>
        </w:rPr>
        <w:lastRenderedPageBreak/>
        <w:t>que sejam enviadas individualmente por qualquer Credor, com relação à retenção, bloqueio, excussão ou transferência de recursos depositados na Conta Vinculada deverão ser feitas proporcionalmente ao</w:t>
      </w:r>
      <w:r w:rsidR="003B03F6">
        <w:rPr>
          <w:rFonts w:ascii="Garamond" w:hAnsi="Garamond"/>
          <w:bCs/>
          <w:szCs w:val="24"/>
        </w:rPr>
        <w:t xml:space="preserve"> </w:t>
      </w:r>
      <w:r w:rsidR="003B03F6" w:rsidRPr="0082318C">
        <w:rPr>
          <w:rFonts w:ascii="Garamond" w:hAnsi="Garamond"/>
          <w:bCs/>
          <w:szCs w:val="24"/>
        </w:rPr>
        <w:t xml:space="preserve">valor do crédito de cada Credor </w:t>
      </w:r>
      <w:r w:rsidR="003B03F6">
        <w:rPr>
          <w:rFonts w:ascii="Garamond" w:hAnsi="Garamond"/>
          <w:bCs/>
          <w:szCs w:val="24"/>
        </w:rPr>
        <w:t>na respectiva data</w:t>
      </w:r>
      <w:r w:rsidR="00B21D3E">
        <w:rPr>
          <w:rFonts w:ascii="Garamond" w:hAnsi="Garamond"/>
          <w:bCs/>
          <w:szCs w:val="24"/>
        </w:rPr>
        <w:t xml:space="preserve">  (incluindo o principal, remuneração e outros encargos financeiros previstos contratualmente)</w:t>
      </w:r>
      <w:r w:rsidR="003B03F6">
        <w:rPr>
          <w:rFonts w:ascii="Garamond" w:hAnsi="Garamond"/>
          <w:bCs/>
          <w:szCs w:val="24"/>
        </w:rPr>
        <w:t>.</w:t>
      </w:r>
      <w:r w:rsidR="003B03F6">
        <w:rPr>
          <w:rFonts w:ascii="Garamond" w:hAnsi="Garamond"/>
          <w:color w:val="000000"/>
          <w:szCs w:val="24"/>
        </w:rPr>
        <w:t xml:space="preserve"> </w:t>
      </w:r>
      <w:r w:rsidRPr="00362B1F">
        <w:rPr>
          <w:rFonts w:ascii="Garamond" w:hAnsi="Garamond"/>
          <w:color w:val="000000"/>
          <w:szCs w:val="24"/>
        </w:rPr>
        <w:t>A retenção, transferência, bloqueio e excussão dos recursos da referida conta estão limitadas e reguladas de acordo com as disposições do Contrato de Cessão Fiduciária.</w:t>
      </w:r>
      <w:bookmarkEnd w:id="2"/>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6C038EF2" w14:textId="000F16D8" w:rsidR="003B03F6" w:rsidRDefault="006D7966" w:rsidP="003B03F6">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w:t>
      </w:r>
      <w:r w:rsidR="003B03F6" w:rsidRPr="0082318C">
        <w:rPr>
          <w:rFonts w:ascii="Garamond" w:hAnsi="Garamond"/>
          <w:bCs/>
          <w:szCs w:val="24"/>
        </w:rPr>
        <w:t xml:space="preserve">proporcionalmente ao valor do crédito de cada Credor </w:t>
      </w:r>
      <w:r w:rsidR="003B03F6">
        <w:rPr>
          <w:rFonts w:ascii="Garamond" w:hAnsi="Garamond"/>
          <w:bCs/>
          <w:szCs w:val="24"/>
        </w:rPr>
        <w:t>na respectiva data</w:t>
      </w:r>
      <w:r w:rsidR="003B03F6" w:rsidRPr="00C2178C">
        <w:rPr>
          <w:rFonts w:ascii="Garamond" w:hAnsi="Garamond"/>
          <w:bCs/>
          <w:szCs w:val="24"/>
        </w:rPr>
        <w:t xml:space="preserve"> </w:t>
      </w:r>
      <w:r w:rsidR="00B21D3E">
        <w:rPr>
          <w:rFonts w:ascii="Garamond" w:hAnsi="Garamond"/>
          <w:bCs/>
          <w:szCs w:val="24"/>
        </w:rPr>
        <w:t xml:space="preserve"> (incluindo o principal, remuneração e outros encargos financeiros previstos contratualmente)</w:t>
      </w:r>
      <w:r w:rsidR="00B21D3E" w:rsidRPr="00C2178C">
        <w:rPr>
          <w:rFonts w:ascii="Garamond" w:hAnsi="Garamond"/>
          <w:bCs/>
          <w:szCs w:val="24"/>
        </w:rPr>
        <w:t xml:space="preserve"> </w:t>
      </w:r>
      <w:r w:rsidR="003B03F6" w:rsidRPr="00C2178C">
        <w:rPr>
          <w:rFonts w:ascii="Garamond" w:hAnsi="Garamond"/>
          <w:bCs/>
          <w:szCs w:val="24"/>
        </w:rPr>
        <w:t>(</w:t>
      </w:r>
      <w:r w:rsidR="003B03F6">
        <w:rPr>
          <w:rFonts w:ascii="Garamond" w:hAnsi="Garamond"/>
          <w:bCs/>
          <w:szCs w:val="24"/>
        </w:rPr>
        <w:t xml:space="preserve">nos termos da </w:t>
      </w:r>
      <w:r w:rsidR="003B03F6" w:rsidRPr="00C2178C">
        <w:rPr>
          <w:rFonts w:ascii="Garamond" w:hAnsi="Garamond"/>
          <w:bCs/>
          <w:szCs w:val="24"/>
        </w:rPr>
        <w:t xml:space="preserve">Cláusula </w:t>
      </w:r>
      <w:r w:rsidR="003B03F6">
        <w:rPr>
          <w:rFonts w:ascii="Garamond" w:hAnsi="Garamond"/>
          <w:bCs/>
          <w:szCs w:val="24"/>
        </w:rPr>
        <w:t>4.2.1 abaixo</w:t>
      </w:r>
      <w:r w:rsidR="003B03F6" w:rsidRPr="00C2178C">
        <w:rPr>
          <w:rFonts w:ascii="Garamond" w:hAnsi="Garamond"/>
          <w:bCs/>
          <w:szCs w:val="24"/>
        </w:rPr>
        <w:t>)</w:t>
      </w:r>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5F8FBD6B" w14:textId="77777777" w:rsidR="003B03F6" w:rsidRPr="006627A1" w:rsidRDefault="003B03F6" w:rsidP="003B03F6">
      <w:pPr>
        <w:pStyle w:val="PargrafodaLista"/>
        <w:rPr>
          <w:rFonts w:ascii="Garamond" w:hAnsi="Garamond"/>
          <w:color w:val="000000"/>
          <w:szCs w:val="24"/>
        </w:rPr>
      </w:pPr>
    </w:p>
    <w:p w14:paraId="462B7ABD" w14:textId="2862941B" w:rsidR="006D7966" w:rsidRPr="00362B1F" w:rsidRDefault="003B03F6" w:rsidP="003B03F6">
      <w:pPr>
        <w:pStyle w:val="PargrafodaLista"/>
        <w:numPr>
          <w:ilvl w:val="1"/>
          <w:numId w:val="24"/>
        </w:numPr>
        <w:spacing w:line="320" w:lineRule="exact"/>
        <w:rPr>
          <w:rFonts w:ascii="Garamond" w:hAnsi="Garamond"/>
          <w:color w:val="000000"/>
          <w:szCs w:val="24"/>
        </w:rPr>
      </w:pPr>
      <w:r>
        <w:rPr>
          <w:rFonts w:ascii="Garamond" w:hAnsi="Garamond"/>
          <w:color w:val="000000"/>
          <w:szCs w:val="24"/>
        </w:rPr>
        <w:t>fica acordado que, para fins das instruções de liberação de recursos depositados na Conta Vinculada, nos termos da Cláusula 4.5 do Contrato de Cessão Fiduciária, o Santander terá a prerrogativa exclusiva de enviar referidas instruções, com relação à liberação de recursos oriundos da CCB; e o Agente Fiduciário terá a prerrogativa exclusiva de enviar referidas instruções, com relação à liberação de recursos oriundos das Debêntures.</w:t>
      </w:r>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967FEA">
      <w:pPr>
        <w:pStyle w:val="5"/>
        <w:keepNext/>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967FEA">
      <w:pPr>
        <w:keepNext/>
        <w:tabs>
          <w:tab w:val="left" w:pos="4820"/>
        </w:tabs>
        <w:spacing w:line="320" w:lineRule="exact"/>
        <w:rPr>
          <w:rFonts w:ascii="Garamond" w:hAnsi="Garamond"/>
          <w:color w:val="000000"/>
          <w:highlight w:val="lightGray"/>
        </w:rPr>
      </w:pPr>
    </w:p>
    <w:p w14:paraId="6E1CC86C" w14:textId="71049813" w:rsidR="00F348AD" w:rsidRPr="00C2178C" w:rsidRDefault="00306303" w:rsidP="00967FEA">
      <w:pPr>
        <w:pStyle w:val="5"/>
        <w:keepNext/>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w:t>
      </w:r>
      <w:r w:rsidR="00B21D3E">
        <w:rPr>
          <w:rFonts w:ascii="Garamond" w:hAnsi="Garamond"/>
          <w:bCs/>
          <w:sz w:val="24"/>
          <w:szCs w:val="24"/>
        </w:rPr>
        <w:t xml:space="preserve"> </w:t>
      </w:r>
      <w:r w:rsidR="00B21D3E" w:rsidRPr="00967FEA">
        <w:rPr>
          <w:rFonts w:ascii="Garamond" w:hAnsi="Garamond"/>
          <w:bCs/>
          <w:sz w:val="24"/>
          <w:szCs w:val="24"/>
        </w:rPr>
        <w:t xml:space="preserve"> (incluindo o principal, remuneração e outros encargos financeiros previstos contratualmente)</w:t>
      </w:r>
      <w:r w:rsidR="0082318C" w:rsidRPr="0082318C">
        <w:rPr>
          <w:rFonts w:ascii="Garamond" w:hAnsi="Garamond"/>
          <w:bCs/>
          <w:sz w:val="24"/>
          <w:szCs w:val="24"/>
        </w:rPr>
        <w:t>,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141CE85" w14:textId="77777777" w:rsidR="00E924E0" w:rsidRDefault="00E924E0" w:rsidP="00C2178C">
      <w:pPr>
        <w:pStyle w:val="A"/>
        <w:spacing w:line="320" w:lineRule="exact"/>
        <w:rPr>
          <w:rFonts w:ascii="Garamond" w:hAnsi="Garamond"/>
        </w:rPr>
      </w:pP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s 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3"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3"/>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4"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4"/>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967FEA">
      <w:pPr>
        <w:keepNext/>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lastRenderedPageBreak/>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967FEA">
      <w:pPr>
        <w:keepNext/>
        <w:tabs>
          <w:tab w:val="left" w:pos="4820"/>
        </w:tabs>
        <w:spacing w:line="320" w:lineRule="exact"/>
        <w:rPr>
          <w:rFonts w:ascii="Garamond" w:hAnsi="Garamond"/>
          <w:b/>
          <w:szCs w:val="24"/>
        </w:rPr>
      </w:pPr>
    </w:p>
    <w:p w14:paraId="7B00A240" w14:textId="77777777" w:rsidR="00D9083C" w:rsidRPr="00C2178C" w:rsidRDefault="00F45590" w:rsidP="00967FEA">
      <w:pPr>
        <w:keepNext/>
        <w:tabs>
          <w:tab w:val="left" w:pos="4820"/>
        </w:tabs>
        <w:spacing w:line="320" w:lineRule="exact"/>
        <w:rPr>
          <w:rFonts w:ascii="Garamond" w:hAnsi="Garamond"/>
          <w:b/>
          <w:szCs w:val="24"/>
        </w:rPr>
      </w:pPr>
      <w:r w:rsidRPr="00C2178C">
        <w:rPr>
          <w:rFonts w:ascii="Garamond" w:hAnsi="Garamond"/>
          <w:b/>
          <w:szCs w:val="24"/>
        </w:rPr>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68F0B9B8" w14:textId="77777777" w:rsidR="00D9083C" w:rsidRPr="00C2178C" w:rsidRDefault="00892491" w:rsidP="00023BED">
      <w:pPr>
        <w:keepNext/>
        <w:keepLines/>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7611C23C" w14:textId="77777777" w:rsidR="00782251" w:rsidRPr="00C2178C" w:rsidRDefault="00782251" w:rsidP="00023BED">
      <w:pPr>
        <w:keepNext/>
        <w:keepLines/>
        <w:tabs>
          <w:tab w:val="left" w:pos="4820"/>
        </w:tabs>
        <w:spacing w:line="320" w:lineRule="exact"/>
        <w:rPr>
          <w:rFonts w:ascii="Garamond" w:hAnsi="Garamond"/>
          <w:b/>
          <w:color w:val="000000"/>
          <w:szCs w:val="24"/>
        </w:rPr>
      </w:pPr>
    </w:p>
    <w:p w14:paraId="22558005" w14:textId="77777777" w:rsidR="00D9083C" w:rsidRPr="00C2178C" w:rsidRDefault="00892491" w:rsidP="00023BED">
      <w:pPr>
        <w:keepNext/>
        <w:keepLines/>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lastRenderedPageBreak/>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0840B9">
      <w:pPr>
        <w:keepNext/>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lastRenderedPageBreak/>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0840B9">
      <w:pPr>
        <w:keepNext/>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3C7D0E96" w:rsidR="00D9083C" w:rsidRPr="00C2178C" w:rsidRDefault="00D9083C" w:rsidP="000840B9">
      <w:pPr>
        <w:keepNext/>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 xml:space="preserve">irmam o presente Contrato </w:t>
      </w:r>
      <w:r w:rsidR="000840B9">
        <w:rPr>
          <w:rFonts w:ascii="Garamond" w:hAnsi="Garamond" w:cs="Tahoma"/>
        </w:rPr>
        <w:t>em 2 (duas) vias de igual forma e teor</w:t>
      </w:r>
      <w:r w:rsidR="00EF6A7D">
        <w:rPr>
          <w:rFonts w:ascii="Garamond" w:hAnsi="Garamond" w:cs="Tahoma"/>
        </w:rPr>
        <w:t>, juntamente com as duas testemunhas abaixo assinadas</w:t>
      </w:r>
      <w:r w:rsidRPr="00C2178C">
        <w:rPr>
          <w:rFonts w:ascii="Garamond" w:hAnsi="Garamond"/>
          <w:color w:val="000000"/>
          <w:szCs w:val="24"/>
        </w:rPr>
        <w:t>.</w:t>
      </w:r>
    </w:p>
    <w:p w14:paraId="6B003C97" w14:textId="77777777" w:rsidR="00D9083C" w:rsidRPr="00C2178C" w:rsidRDefault="00D9083C" w:rsidP="000840B9">
      <w:pPr>
        <w:keepNext/>
        <w:tabs>
          <w:tab w:val="left" w:pos="4820"/>
        </w:tabs>
        <w:spacing w:line="320" w:lineRule="exact"/>
        <w:rPr>
          <w:rFonts w:ascii="Garamond" w:hAnsi="Garamond"/>
          <w:color w:val="000000"/>
          <w:szCs w:val="24"/>
        </w:rPr>
      </w:pPr>
    </w:p>
    <w:p w14:paraId="03216425" w14:textId="77777777" w:rsidR="00D9083C" w:rsidRPr="00C2178C" w:rsidRDefault="00D9083C" w:rsidP="000840B9">
      <w:pPr>
        <w:keepNext/>
        <w:tabs>
          <w:tab w:val="left" w:pos="4820"/>
        </w:tabs>
        <w:spacing w:line="320" w:lineRule="exact"/>
        <w:jc w:val="center"/>
        <w:rPr>
          <w:rFonts w:ascii="Garamond" w:hAnsi="Garamond"/>
          <w:color w:val="000000"/>
          <w:szCs w:val="24"/>
        </w:rPr>
      </w:pPr>
    </w:p>
    <w:p w14:paraId="330B9983" w14:textId="420C762D" w:rsidR="00D9083C" w:rsidRPr="00C2178C" w:rsidRDefault="00EF6A7D" w:rsidP="000840B9">
      <w:pPr>
        <w:keepNext/>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w:t>
      </w:r>
      <w:r w:rsidR="0063637B">
        <w:rPr>
          <w:rFonts w:ascii="Garamond" w:hAnsi="Garamond"/>
          <w:color w:val="000000"/>
          <w:szCs w:val="24"/>
        </w:rPr>
        <w:t>8</w:t>
      </w:r>
      <w:r>
        <w:rPr>
          <w:rFonts w:ascii="Garamond" w:hAnsi="Garamond"/>
          <w:color w:val="000000"/>
          <w:szCs w:val="24"/>
        </w:rPr>
        <w:t xml:space="preserve"> de setembro de 2020</w:t>
      </w:r>
      <w:r w:rsidR="00D9083C" w:rsidRPr="00C2178C">
        <w:rPr>
          <w:rFonts w:ascii="Garamond" w:hAnsi="Garamond"/>
          <w:color w:val="000000"/>
          <w:szCs w:val="24"/>
        </w:rPr>
        <w:t>.</w:t>
      </w:r>
    </w:p>
    <w:p w14:paraId="5F0D07AA" w14:textId="77777777" w:rsidR="00D9083C" w:rsidRPr="00C2178C" w:rsidRDefault="00D9083C" w:rsidP="000840B9">
      <w:pPr>
        <w:pStyle w:val="TextosemFormatao"/>
        <w:keepNext/>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696EA511" w14:textId="0B2007EB"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w:t>
      </w:r>
      <w:r w:rsidR="00967FEA">
        <w:rPr>
          <w:rFonts w:ascii="Garamond" w:hAnsi="Garamond" w:cs="Arial"/>
          <w:i/>
          <w:szCs w:val="24"/>
        </w:rPr>
        <w:t xml:space="preserve">1 de 2 </w:t>
      </w:r>
      <w:r w:rsidR="00F90CAA" w:rsidRPr="00C2178C">
        <w:rPr>
          <w:rFonts w:ascii="Garamond" w:hAnsi="Garamond" w:cs="Arial"/>
          <w:i/>
          <w:szCs w:val="24"/>
        </w:rPr>
        <w:t xml:space="preserve">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w:t>
      </w:r>
      <w:r w:rsidR="0042517E">
        <w:rPr>
          <w:rFonts w:ascii="Garamond" w:hAnsi="Garamond" w:cs="Arial"/>
          <w:i/>
          <w:szCs w:val="24"/>
        </w:rPr>
        <w:t>8</w:t>
      </w:r>
      <w:r w:rsidR="00EF6A7D">
        <w:rPr>
          <w:rFonts w:ascii="Garamond" w:hAnsi="Garamond" w:cs="Arial"/>
          <w:i/>
          <w:szCs w:val="24"/>
        </w:rPr>
        <w:t xml:space="preserve">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Banco Santander (Brasil) S.A</w:t>
      </w:r>
      <w:r w:rsidR="00F90CAA" w:rsidRPr="00C2178C">
        <w:rPr>
          <w:rFonts w:ascii="Garamond" w:hAnsi="Garamond" w:cs="Arial"/>
          <w:i/>
          <w:szCs w:val="24"/>
        </w:rPr>
        <w:t>.</w:t>
      </w:r>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967B5B" w:rsidRPr="00C2178C" w14:paraId="1399921A" w14:textId="77777777" w:rsidTr="00CB6621">
        <w:tc>
          <w:tcPr>
            <w:tcW w:w="4751" w:type="dxa"/>
          </w:tcPr>
          <w:p w14:paraId="1E47F55C" w14:textId="77777777" w:rsidR="00967B5B" w:rsidRPr="00C2178C" w:rsidRDefault="00967B5B" w:rsidP="00C2178C">
            <w:pPr>
              <w:spacing w:line="320" w:lineRule="exact"/>
              <w:rPr>
                <w:rFonts w:ascii="Garamond" w:hAnsi="Garamond" w:cs="Arial"/>
                <w:szCs w:val="24"/>
              </w:rPr>
            </w:pPr>
            <w:r w:rsidRPr="00C2178C">
              <w:rPr>
                <w:rFonts w:ascii="Garamond" w:hAnsi="Garamond" w:cs="Arial"/>
                <w:szCs w:val="24"/>
              </w:rPr>
              <w:t>________________________</w:t>
            </w:r>
          </w:p>
        </w:tc>
      </w:tr>
      <w:tr w:rsidR="00967B5B" w:rsidRPr="00C2178C" w14:paraId="761F78D6" w14:textId="77777777" w:rsidTr="00CB6621">
        <w:tc>
          <w:tcPr>
            <w:tcW w:w="4751" w:type="dxa"/>
          </w:tcPr>
          <w:p w14:paraId="099558B2" w14:textId="77777777" w:rsidR="00967B5B" w:rsidRDefault="00967B5B" w:rsidP="00C2178C">
            <w:pPr>
              <w:spacing w:line="320" w:lineRule="exact"/>
              <w:rPr>
                <w:rFonts w:ascii="Garamond" w:hAnsi="Garamond" w:cs="Arial"/>
                <w:szCs w:val="24"/>
              </w:rPr>
            </w:pPr>
            <w:r w:rsidRPr="00C2178C">
              <w:rPr>
                <w:rFonts w:ascii="Garamond" w:hAnsi="Garamond" w:cs="Arial"/>
                <w:szCs w:val="24"/>
              </w:rPr>
              <w:t>Nome:</w:t>
            </w:r>
            <w:r>
              <w:rPr>
                <w:rFonts w:ascii="Garamond" w:hAnsi="Garamond" w:cs="Arial"/>
                <w:szCs w:val="24"/>
              </w:rPr>
              <w:t xml:space="preserve"> </w:t>
            </w:r>
          </w:p>
          <w:p w14:paraId="05869E5B" w14:textId="70A4730E" w:rsidR="00967FEA" w:rsidRPr="00C2178C" w:rsidRDefault="00967FEA" w:rsidP="00C2178C">
            <w:pPr>
              <w:spacing w:line="320" w:lineRule="exact"/>
              <w:rPr>
                <w:rFonts w:ascii="Garamond" w:hAnsi="Garamond" w:cs="Arial"/>
                <w:szCs w:val="24"/>
              </w:rPr>
            </w:pPr>
            <w:r>
              <w:rPr>
                <w:rFonts w:ascii="Garamond" w:hAnsi="Garamond" w:cs="Arial"/>
                <w:szCs w:val="24"/>
              </w:rPr>
              <w:t>Cargo:</w:t>
            </w:r>
          </w:p>
        </w:tc>
      </w:tr>
      <w:tr w:rsidR="00967B5B" w:rsidRPr="00C2178C" w14:paraId="42B30811" w14:textId="77777777" w:rsidTr="00CB6621">
        <w:tc>
          <w:tcPr>
            <w:tcW w:w="4751" w:type="dxa"/>
          </w:tcPr>
          <w:p w14:paraId="306BADD8" w14:textId="2631AE6F" w:rsidR="00967B5B" w:rsidRPr="00C2178C" w:rsidRDefault="00967B5B" w:rsidP="00C2178C">
            <w:pPr>
              <w:spacing w:line="320" w:lineRule="exact"/>
              <w:rPr>
                <w:rFonts w:ascii="Garamond" w:hAnsi="Garamond" w:cs="Arial"/>
                <w:szCs w:val="24"/>
              </w:rPr>
            </w:pPr>
          </w:p>
        </w:tc>
      </w:tr>
    </w:tbl>
    <w:p w14:paraId="694951C2" w14:textId="22C8CE45" w:rsidR="00967FEA" w:rsidRDefault="00967FEA" w:rsidP="00C2178C">
      <w:pPr>
        <w:spacing w:line="320" w:lineRule="exact"/>
        <w:rPr>
          <w:rFonts w:ascii="Garamond" w:hAnsi="Garamond" w:cs="Arial"/>
          <w:szCs w:val="24"/>
        </w:rPr>
      </w:pPr>
    </w:p>
    <w:p w14:paraId="0C9DF24E" w14:textId="77777777" w:rsidR="00967FEA" w:rsidRDefault="00967FEA">
      <w:pPr>
        <w:jc w:val="left"/>
        <w:rPr>
          <w:rFonts w:ascii="Garamond" w:hAnsi="Garamond" w:cs="Arial"/>
          <w:szCs w:val="24"/>
        </w:rPr>
      </w:pPr>
      <w:r>
        <w:rPr>
          <w:rFonts w:ascii="Garamond" w:hAnsi="Garamond" w:cs="Arial"/>
          <w:szCs w:val="24"/>
        </w:rPr>
        <w:br w:type="page"/>
      </w:r>
    </w:p>
    <w:p w14:paraId="5A5FA84F" w14:textId="47AF1F37" w:rsidR="00AC5CA5" w:rsidRDefault="00967FEA" w:rsidP="00C2178C">
      <w:pPr>
        <w:spacing w:line="320" w:lineRule="exact"/>
        <w:rPr>
          <w:rFonts w:ascii="Garamond" w:hAnsi="Garamond" w:cs="Arial"/>
          <w:i/>
          <w:szCs w:val="24"/>
        </w:rPr>
      </w:pPr>
      <w:r w:rsidRPr="00C2178C">
        <w:rPr>
          <w:rFonts w:ascii="Garamond" w:hAnsi="Garamond" w:cs="Arial"/>
          <w:i/>
          <w:szCs w:val="24"/>
        </w:rPr>
        <w:lastRenderedPageBreak/>
        <w:t xml:space="preserve">Folha </w:t>
      </w:r>
      <w:r>
        <w:rPr>
          <w:rFonts w:ascii="Garamond" w:hAnsi="Garamond" w:cs="Arial"/>
          <w:i/>
          <w:szCs w:val="24"/>
        </w:rPr>
        <w:t xml:space="preserve">2 de 2 </w:t>
      </w:r>
      <w:r w:rsidRPr="00C2178C">
        <w:rPr>
          <w:rFonts w:ascii="Garamond" w:hAnsi="Garamond" w:cs="Arial"/>
          <w:i/>
          <w:szCs w:val="24"/>
        </w:rPr>
        <w:t xml:space="preserve">de assinaturas do </w:t>
      </w:r>
      <w:r>
        <w:rPr>
          <w:rFonts w:ascii="Garamond" w:hAnsi="Garamond" w:cs="Arial"/>
          <w:i/>
          <w:szCs w:val="24"/>
        </w:rPr>
        <w:t xml:space="preserve">Contrato de </w:t>
      </w:r>
      <w:r w:rsidRPr="00C2178C">
        <w:rPr>
          <w:rFonts w:ascii="Garamond" w:hAnsi="Garamond" w:cs="Arial"/>
          <w:i/>
          <w:szCs w:val="24"/>
        </w:rPr>
        <w:t xml:space="preserve">Compartilhamento de Garantias celebrado em </w:t>
      </w:r>
      <w:r w:rsidR="0042517E">
        <w:rPr>
          <w:rFonts w:ascii="Garamond" w:hAnsi="Garamond" w:cs="Arial"/>
          <w:i/>
          <w:szCs w:val="24"/>
        </w:rPr>
        <w:t>28</w:t>
      </w:r>
      <w:r>
        <w:rPr>
          <w:rFonts w:ascii="Garamond" w:hAnsi="Garamond" w:cs="Arial"/>
          <w:i/>
          <w:szCs w:val="24"/>
        </w:rPr>
        <w:t xml:space="preserve"> de setembro</w:t>
      </w:r>
      <w:r w:rsidRPr="00C2178C">
        <w:rPr>
          <w:rFonts w:ascii="Garamond" w:hAnsi="Garamond" w:cs="Arial"/>
          <w:i/>
          <w:szCs w:val="24"/>
        </w:rPr>
        <w:t xml:space="preserve"> de </w:t>
      </w:r>
      <w:r>
        <w:rPr>
          <w:rFonts w:ascii="Garamond" w:hAnsi="Garamond" w:cs="Arial"/>
          <w:i/>
          <w:szCs w:val="24"/>
        </w:rPr>
        <w:t>2020</w:t>
      </w:r>
      <w:r w:rsidRPr="00C2178C">
        <w:rPr>
          <w:rFonts w:ascii="Garamond" w:hAnsi="Garamond" w:cs="Arial"/>
          <w:i/>
          <w:szCs w:val="24"/>
        </w:rPr>
        <w:t xml:space="preserve"> entre </w:t>
      </w:r>
      <w:r w:rsidRPr="00A832CE">
        <w:rPr>
          <w:rFonts w:ascii="Garamond" w:hAnsi="Garamond" w:cs="Arial"/>
          <w:i/>
          <w:szCs w:val="24"/>
        </w:rPr>
        <w:t>Simplific Pavarini Distribuidora de Títulos e Valores Mobiliários Ltda.</w:t>
      </w:r>
      <w:r w:rsidRPr="00C2178C">
        <w:rPr>
          <w:rFonts w:ascii="Garamond" w:hAnsi="Garamond" w:cs="Arial"/>
          <w:i/>
          <w:szCs w:val="24"/>
        </w:rPr>
        <w:t xml:space="preserve"> e </w:t>
      </w:r>
      <w:r w:rsidRPr="00A832CE">
        <w:rPr>
          <w:rFonts w:ascii="Garamond" w:hAnsi="Garamond" w:cs="Arial"/>
          <w:i/>
          <w:szCs w:val="24"/>
        </w:rPr>
        <w:t>Banco Santander (Brasil) S.A</w:t>
      </w:r>
      <w:r w:rsidRPr="00C2178C">
        <w:rPr>
          <w:rFonts w:ascii="Garamond" w:hAnsi="Garamond" w:cs="Arial"/>
          <w:i/>
          <w:szCs w:val="24"/>
        </w:rPr>
        <w:t>.</w:t>
      </w:r>
    </w:p>
    <w:p w14:paraId="6F772D5D" w14:textId="77777777" w:rsidR="00967FEA" w:rsidRPr="00C2178C" w:rsidRDefault="00967FEA" w:rsidP="00C2178C">
      <w:pPr>
        <w:spacing w:line="320" w:lineRule="exact"/>
        <w:rPr>
          <w:rFonts w:ascii="Garamond" w:hAnsi="Garamond" w:cs="Arial"/>
          <w:szCs w:val="24"/>
        </w:rPr>
      </w:pPr>
    </w:p>
    <w:p w14:paraId="3CD27AA9" w14:textId="77777777" w:rsidR="00FD08D2" w:rsidRPr="00C2178C" w:rsidRDefault="00FD08D2" w:rsidP="00C2178C">
      <w:pPr>
        <w:spacing w:line="320" w:lineRule="exact"/>
        <w:rPr>
          <w:rFonts w:ascii="Garamond" w:hAnsi="Garamond" w:cs="Arial"/>
          <w:szCs w:val="24"/>
        </w:rPr>
      </w:pPr>
    </w:p>
    <w:p w14:paraId="71B8708B" w14:textId="77777777"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9502" w:type="dxa"/>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023BED">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023BED">
        <w:tc>
          <w:tcPr>
            <w:tcW w:w="4751" w:type="dxa"/>
          </w:tcPr>
          <w:p w14:paraId="38CF1771" w14:textId="77777777" w:rsidR="00FD08D2" w:rsidRDefault="00FD08D2" w:rsidP="00C2178C">
            <w:pPr>
              <w:spacing w:line="320" w:lineRule="exact"/>
              <w:rPr>
                <w:rFonts w:ascii="Garamond" w:hAnsi="Garamond" w:cs="Arial"/>
                <w:szCs w:val="24"/>
              </w:rPr>
            </w:pPr>
            <w:r w:rsidRPr="00C2178C">
              <w:rPr>
                <w:rFonts w:ascii="Garamond" w:hAnsi="Garamond" w:cs="Arial"/>
                <w:szCs w:val="24"/>
              </w:rPr>
              <w:t>Nome</w:t>
            </w:r>
            <w:r w:rsidR="00967FEA">
              <w:rPr>
                <w:rFonts w:ascii="Garamond" w:hAnsi="Garamond" w:cs="Arial"/>
                <w:szCs w:val="24"/>
              </w:rPr>
              <w:t>:</w:t>
            </w:r>
          </w:p>
          <w:p w14:paraId="6B7A91C8" w14:textId="53C679D9" w:rsidR="00967FEA" w:rsidRPr="00C2178C" w:rsidRDefault="00967FEA" w:rsidP="00C2178C">
            <w:pPr>
              <w:spacing w:line="320" w:lineRule="exact"/>
              <w:rPr>
                <w:rFonts w:ascii="Garamond" w:hAnsi="Garamond" w:cs="Arial"/>
                <w:szCs w:val="24"/>
              </w:rPr>
            </w:pPr>
            <w:r>
              <w:rPr>
                <w:rFonts w:ascii="Garamond" w:hAnsi="Garamond" w:cs="Arial"/>
                <w:szCs w:val="24"/>
              </w:rPr>
              <w:t>Cargo:</w:t>
            </w:r>
          </w:p>
        </w:tc>
        <w:tc>
          <w:tcPr>
            <w:tcW w:w="4751" w:type="dxa"/>
          </w:tcPr>
          <w:p w14:paraId="7DCD2CDF" w14:textId="77777777" w:rsidR="00FD08D2"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p>
          <w:p w14:paraId="58378B7C" w14:textId="0588E710" w:rsidR="00967FEA" w:rsidRPr="00C2178C" w:rsidRDefault="00967FEA" w:rsidP="00C2178C">
            <w:pPr>
              <w:spacing w:line="320" w:lineRule="exact"/>
              <w:rPr>
                <w:rFonts w:ascii="Garamond" w:hAnsi="Garamond" w:cs="Arial"/>
                <w:szCs w:val="24"/>
              </w:rPr>
            </w:pPr>
            <w:r>
              <w:rPr>
                <w:rFonts w:ascii="Garamond" w:hAnsi="Garamond" w:cs="Arial"/>
                <w:szCs w:val="24"/>
              </w:rPr>
              <w:t>Cargo:</w:t>
            </w: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6DEE4F9D" w14:textId="77777777" w:rsidR="00FF7A73" w:rsidRPr="00C2178C" w:rsidRDefault="00FF7A73" w:rsidP="00C2178C">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967B5B" w:rsidRPr="00C2178C" w14:paraId="16A68F78" w14:textId="77777777" w:rsidTr="00CB6621">
        <w:trPr>
          <w:cantSplit/>
        </w:trPr>
        <w:tc>
          <w:tcPr>
            <w:tcW w:w="4313" w:type="dxa"/>
            <w:tcBorders>
              <w:top w:val="single" w:sz="6" w:space="0" w:color="auto"/>
            </w:tcBorders>
          </w:tcPr>
          <w:p w14:paraId="3EC9078F" w14:textId="77777777" w:rsidR="00967B5B" w:rsidRDefault="00967B5B" w:rsidP="00967B5B">
            <w:pPr>
              <w:spacing w:line="320" w:lineRule="exact"/>
              <w:rPr>
                <w:rFonts w:ascii="Garamond" w:hAnsi="Garamond"/>
              </w:rPr>
            </w:pPr>
            <w:r w:rsidRPr="00A12B9D">
              <w:rPr>
                <w:rFonts w:ascii="Garamond" w:hAnsi="Garamond"/>
              </w:rPr>
              <w:t xml:space="preserve">Nome: </w:t>
            </w:r>
          </w:p>
          <w:p w14:paraId="6A7139C9" w14:textId="5BF912E9" w:rsidR="00967FEA" w:rsidRPr="00C2178C" w:rsidRDefault="00967FEA" w:rsidP="00967B5B">
            <w:pPr>
              <w:spacing w:line="320" w:lineRule="exact"/>
              <w:rPr>
                <w:rFonts w:ascii="Garamond" w:hAnsi="Garamond" w:cs="Arial"/>
                <w:szCs w:val="24"/>
              </w:rPr>
            </w:pPr>
            <w:r>
              <w:rPr>
                <w:rFonts w:ascii="Garamond" w:hAnsi="Garamond"/>
              </w:rPr>
              <w:t>CPF:</w:t>
            </w:r>
          </w:p>
        </w:tc>
        <w:tc>
          <w:tcPr>
            <w:tcW w:w="618" w:type="dxa"/>
          </w:tcPr>
          <w:p w14:paraId="14C2C8B0" w14:textId="77777777" w:rsidR="00967B5B" w:rsidRPr="00C2178C" w:rsidRDefault="00967B5B" w:rsidP="00967B5B">
            <w:pPr>
              <w:spacing w:line="320" w:lineRule="exact"/>
              <w:rPr>
                <w:rFonts w:ascii="Garamond" w:hAnsi="Garamond" w:cs="Arial"/>
                <w:szCs w:val="24"/>
              </w:rPr>
            </w:pPr>
          </w:p>
        </w:tc>
        <w:tc>
          <w:tcPr>
            <w:tcW w:w="4129" w:type="dxa"/>
            <w:tcBorders>
              <w:top w:val="single" w:sz="6" w:space="0" w:color="auto"/>
            </w:tcBorders>
          </w:tcPr>
          <w:p w14:paraId="19F79662" w14:textId="77777777" w:rsidR="00967FEA" w:rsidRDefault="00967B5B" w:rsidP="00967B5B">
            <w:pPr>
              <w:spacing w:line="320" w:lineRule="exact"/>
              <w:rPr>
                <w:rFonts w:ascii="Garamond" w:hAnsi="Garamond"/>
              </w:rPr>
            </w:pPr>
            <w:r w:rsidRPr="00A12B9D">
              <w:rPr>
                <w:rFonts w:ascii="Garamond" w:hAnsi="Garamond"/>
              </w:rPr>
              <w:t>Nome:</w:t>
            </w:r>
          </w:p>
          <w:p w14:paraId="0F99B44C" w14:textId="37F9CC6C" w:rsidR="00967B5B" w:rsidRPr="00C2178C" w:rsidRDefault="00967FEA" w:rsidP="00967B5B">
            <w:pPr>
              <w:spacing w:line="320" w:lineRule="exact"/>
              <w:rPr>
                <w:rFonts w:ascii="Garamond" w:hAnsi="Garamond" w:cs="Arial"/>
                <w:szCs w:val="24"/>
              </w:rPr>
            </w:pPr>
            <w:r>
              <w:rPr>
                <w:rFonts w:ascii="Garamond" w:hAnsi="Garamond"/>
              </w:rPr>
              <w:t>CPF:</w:t>
            </w:r>
            <w:r w:rsidR="00967B5B" w:rsidRPr="00A12B9D">
              <w:rPr>
                <w:rFonts w:ascii="Garamond" w:hAnsi="Garamond"/>
              </w:rPr>
              <w:t xml:space="preserve"> </w:t>
            </w:r>
          </w:p>
        </w:tc>
      </w:tr>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80C1B" w14:textId="77777777" w:rsidR="0060612E" w:rsidRDefault="0060612E">
      <w:r>
        <w:separator/>
      </w:r>
    </w:p>
  </w:endnote>
  <w:endnote w:type="continuationSeparator" w:id="0">
    <w:p w14:paraId="4E3F8E25" w14:textId="77777777" w:rsidR="0060612E" w:rsidRDefault="0060612E">
      <w:r>
        <w:continuationSeparator/>
      </w:r>
    </w:p>
  </w:endnote>
  <w:endnote w:type="continuationNotice" w:id="1">
    <w:p w14:paraId="78CBB2F9" w14:textId="77777777" w:rsidR="0060612E" w:rsidRDefault="00606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0592"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7BA7C24"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A07F" w14:textId="1B1FC094"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6B3C">
      <w:rPr>
        <w:rStyle w:val="Nmerodepgina"/>
        <w:noProof/>
      </w:rPr>
      <w:t>18</w:t>
    </w:r>
    <w:r>
      <w:rPr>
        <w:rStyle w:val="Nmerodepgina"/>
      </w:rPr>
      <w:fldChar w:fldCharType="end"/>
    </w:r>
  </w:p>
  <w:p w14:paraId="6BF2F469" w14:textId="77777777"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3C7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6D494CB8" w:rsidR="00826089" w:rsidRPr="00BB3682" w:rsidRDefault="00826089"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8BB1" w14:textId="77777777" w:rsidR="0060612E" w:rsidRDefault="0060612E">
      <w:r>
        <w:separator/>
      </w:r>
    </w:p>
  </w:footnote>
  <w:footnote w:type="continuationSeparator" w:id="0">
    <w:p w14:paraId="13F0CC07" w14:textId="77777777" w:rsidR="0060612E" w:rsidRDefault="0060612E">
      <w:r>
        <w:continuationSeparator/>
      </w:r>
    </w:p>
  </w:footnote>
  <w:footnote w:type="continuationNotice" w:id="1">
    <w:p w14:paraId="1EAE012B" w14:textId="77777777" w:rsidR="0060612E" w:rsidRDefault="00606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6EC" w14:textId="77777777" w:rsidR="00826089" w:rsidRDefault="00826089">
    <w:pPr>
      <w:pStyle w:val="Cabealho"/>
      <w:rPr>
        <w:rFonts w:ascii="Bookman Old Style" w:hAnsi="Bookman Old Style"/>
        <w:b/>
        <w:snapToGrid w:val="0"/>
      </w:rPr>
    </w:pPr>
  </w:p>
  <w:p w14:paraId="3078BFBB" w14:textId="09DB95BF" w:rsidR="00826089" w:rsidRPr="001906B4" w:rsidRDefault="00826089"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CE07" w14:textId="77777777" w:rsidR="00826089" w:rsidRDefault="00826089">
    <w:pPr>
      <w:pStyle w:val="Cabealho"/>
    </w:pPr>
  </w:p>
  <w:p w14:paraId="4F93C0A7" w14:textId="77777777" w:rsidR="00826089" w:rsidRDefault="00826089">
    <w:pPr>
      <w:pStyle w:val="Cabealho"/>
    </w:pPr>
  </w:p>
  <w:p w14:paraId="7252A5E6" w14:textId="77777777" w:rsidR="00826089" w:rsidRDefault="00826089">
    <w:pPr>
      <w:pStyle w:val="Cabealho"/>
    </w:pPr>
  </w:p>
  <w:p w14:paraId="67B36396"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CF"/>
    <w:rsid w:val="0000201B"/>
    <w:rsid w:val="000100BE"/>
    <w:rsid w:val="00013855"/>
    <w:rsid w:val="00017E9E"/>
    <w:rsid w:val="00023BED"/>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0B9"/>
    <w:rsid w:val="00084797"/>
    <w:rsid w:val="000907AA"/>
    <w:rsid w:val="00092373"/>
    <w:rsid w:val="000A24C3"/>
    <w:rsid w:val="000A24E0"/>
    <w:rsid w:val="000A609C"/>
    <w:rsid w:val="000A77C9"/>
    <w:rsid w:val="000B0319"/>
    <w:rsid w:val="000B50F2"/>
    <w:rsid w:val="000C28E4"/>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03F6"/>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517E"/>
    <w:rsid w:val="00426CCA"/>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612E"/>
    <w:rsid w:val="00607FDF"/>
    <w:rsid w:val="006142ED"/>
    <w:rsid w:val="00620AB4"/>
    <w:rsid w:val="00621721"/>
    <w:rsid w:val="00625E5D"/>
    <w:rsid w:val="0062637A"/>
    <w:rsid w:val="00626683"/>
    <w:rsid w:val="00630F2C"/>
    <w:rsid w:val="00633A6B"/>
    <w:rsid w:val="0063637B"/>
    <w:rsid w:val="00641642"/>
    <w:rsid w:val="006471E2"/>
    <w:rsid w:val="006471E8"/>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52B3"/>
    <w:rsid w:val="008A7E2E"/>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577AF"/>
    <w:rsid w:val="00960648"/>
    <w:rsid w:val="009636A8"/>
    <w:rsid w:val="00963E72"/>
    <w:rsid w:val="009644F3"/>
    <w:rsid w:val="009672CF"/>
    <w:rsid w:val="00967B5B"/>
    <w:rsid w:val="00967B7A"/>
    <w:rsid w:val="00967FEA"/>
    <w:rsid w:val="0098098D"/>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1D3E"/>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4C62"/>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46BA"/>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E6B3C"/>
    <w:rsid w:val="00DF03AE"/>
    <w:rsid w:val="00DF2399"/>
    <w:rsid w:val="00DF3B90"/>
    <w:rsid w:val="00DF5ACA"/>
    <w:rsid w:val="00E019C2"/>
    <w:rsid w:val="00E039CF"/>
    <w:rsid w:val="00E15940"/>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7659"/>
    <w:rsid w:val="00E57F38"/>
    <w:rsid w:val="00E70AAB"/>
    <w:rsid w:val="00E71373"/>
    <w:rsid w:val="00E7158B"/>
    <w:rsid w:val="00E72835"/>
    <w:rsid w:val="00E75DB6"/>
    <w:rsid w:val="00E76853"/>
    <w:rsid w:val="00E84688"/>
    <w:rsid w:val="00E87483"/>
    <w:rsid w:val="00E924E0"/>
    <w:rsid w:val="00E93240"/>
    <w:rsid w:val="00E94797"/>
    <w:rsid w:val="00E95A00"/>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F4B6-CFC3-4CB1-B227-EB897EC8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5856</Words>
  <Characters>31623</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37405</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Suporte SF 3a4</cp:lastModifiedBy>
  <cp:revision>5</cp:revision>
  <cp:lastPrinted>2014-10-03T19:23:00Z</cp:lastPrinted>
  <dcterms:created xsi:type="dcterms:W3CDTF">2020-09-27T20:04:00Z</dcterms:created>
  <dcterms:modified xsi:type="dcterms:W3CDTF">2020-09-27T20:27:00Z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