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Level1"/>
        <w:numPr>
          <w:ilvl w:val="0"/>
          <w:numId w:val="0"/>
        </w:numPr>
        <w:spacing w:after="0" w:line="340" w:lineRule="exact"/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rFonts w:cs="Arial"/>
          <w:b/>
          <w:sz w:val="22"/>
          <w:szCs w:val="22"/>
        </w:rPr>
        <w:t>SRC COMPANHIA SECURITIZADORA DE CRÉDITOS FINANCEIROS</w:t>
      </w:r>
    </w:p>
    <w:p>
      <w:pPr>
        <w:pStyle w:val="Level1"/>
        <w:numPr>
          <w:ilvl w:val="0"/>
          <w:numId w:val="0"/>
        </w:numPr>
        <w:spacing w:after="0" w:line="340" w:lineRule="exact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NIRE 353.005.206-53</w:t>
      </w:r>
    </w:p>
    <w:p>
      <w:pPr>
        <w:pStyle w:val="Level1"/>
        <w:numPr>
          <w:ilvl w:val="0"/>
          <w:numId w:val="0"/>
        </w:numPr>
        <w:spacing w:after="0" w:line="340" w:lineRule="exact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CNPJ/ME Nº 31.345.064/0001-58</w:t>
      </w:r>
    </w:p>
    <w:p>
      <w:pPr>
        <w:pStyle w:val="Head"/>
        <w:spacing w:before="0" w:after="0" w:line="340" w:lineRule="exact"/>
        <w:jc w:val="center"/>
        <w:rPr>
          <w:rFonts w:cs="Arial"/>
          <w:sz w:val="22"/>
          <w:szCs w:val="22"/>
        </w:rPr>
      </w:pPr>
    </w:p>
    <w:p>
      <w:pPr>
        <w:pStyle w:val="Head"/>
        <w:spacing w:before="0" w:after="0" w:line="340" w:lineRule="exact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ATA DA ASSEMBLEIA GERAL EXTRAORDINÁRIA</w:t>
      </w:r>
    </w:p>
    <w:p>
      <w:pPr>
        <w:pStyle w:val="Head"/>
        <w:spacing w:before="0" w:after="0" w:line="340" w:lineRule="exact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REALIZADA EM [●] DE </w:t>
      </w:r>
      <w:proofErr w:type="gramStart"/>
      <w:r>
        <w:rPr>
          <w:rFonts w:cs="Arial"/>
          <w:sz w:val="22"/>
          <w:szCs w:val="22"/>
        </w:rPr>
        <w:t>SETEMBRO</w:t>
      </w:r>
      <w:proofErr w:type="gramEnd"/>
      <w:r>
        <w:rPr>
          <w:rFonts w:cs="Arial"/>
          <w:sz w:val="22"/>
          <w:szCs w:val="22"/>
        </w:rPr>
        <w:t xml:space="preserve"> DE 2021</w:t>
      </w:r>
    </w:p>
    <w:p>
      <w:pPr>
        <w:pStyle w:val="Body"/>
        <w:spacing w:after="0" w:line="340" w:lineRule="exact"/>
        <w:rPr>
          <w:rFonts w:cs="Arial"/>
          <w:sz w:val="22"/>
          <w:szCs w:val="22"/>
        </w:rPr>
      </w:pPr>
    </w:p>
    <w:p>
      <w:pPr>
        <w:pStyle w:val="Level1"/>
        <w:numPr>
          <w:ilvl w:val="0"/>
          <w:numId w:val="0"/>
        </w:numPr>
        <w:spacing w:after="0" w:line="340" w:lineRule="exact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I.</w:t>
      </w:r>
      <w:r>
        <w:rPr>
          <w:rFonts w:cs="Arial"/>
          <w:b/>
          <w:bCs/>
          <w:sz w:val="22"/>
          <w:szCs w:val="22"/>
        </w:rPr>
        <w:tab/>
        <w:t>DATA, HORA E LOCAL</w:t>
      </w:r>
      <w:r>
        <w:rPr>
          <w:rFonts w:cs="Arial"/>
          <w:sz w:val="22"/>
          <w:szCs w:val="22"/>
        </w:rPr>
        <w:t xml:space="preserve">: ao dia [●] do mês de setembro de 2021, às [9:00] horas, na sede social da </w:t>
      </w:r>
      <w:r>
        <w:rPr>
          <w:rFonts w:cs="Arial"/>
          <w:b/>
          <w:sz w:val="22"/>
          <w:szCs w:val="22"/>
        </w:rPr>
        <w:t>SRC COMPANHIA SECURITIZADORA DE CRÉDITOS FINANCEIROS</w:t>
      </w:r>
      <w:r>
        <w:rPr>
          <w:rFonts w:cs="Arial"/>
          <w:sz w:val="22"/>
          <w:szCs w:val="22"/>
        </w:rPr>
        <w:t>, localizada na Rua Joaquim Floriano, nº 1052, 13º andar, Itaim Bibi, CEP: 04534-004, na Cidade de São Paulo, Estado de São Paulo (“</w:t>
      </w:r>
      <w:r>
        <w:rPr>
          <w:rFonts w:cs="Arial"/>
          <w:sz w:val="22"/>
          <w:szCs w:val="22"/>
          <w:u w:val="single"/>
        </w:rPr>
        <w:t>Companhia</w:t>
      </w:r>
      <w:r>
        <w:rPr>
          <w:rFonts w:cs="Arial"/>
          <w:sz w:val="22"/>
          <w:szCs w:val="22"/>
        </w:rPr>
        <w:t>” ou “</w:t>
      </w:r>
      <w:r>
        <w:rPr>
          <w:rFonts w:cs="Arial"/>
          <w:sz w:val="22"/>
          <w:szCs w:val="22"/>
          <w:u w:val="single"/>
        </w:rPr>
        <w:t>Emissora</w:t>
      </w:r>
      <w:r>
        <w:rPr>
          <w:rFonts w:cs="Arial"/>
          <w:sz w:val="22"/>
          <w:szCs w:val="22"/>
        </w:rPr>
        <w:t>”).</w:t>
      </w:r>
    </w:p>
    <w:p>
      <w:pPr>
        <w:pStyle w:val="Level1"/>
        <w:numPr>
          <w:ilvl w:val="0"/>
          <w:numId w:val="0"/>
        </w:numPr>
        <w:spacing w:after="0" w:line="340" w:lineRule="exact"/>
        <w:ind w:left="680"/>
        <w:rPr>
          <w:rFonts w:cs="Arial"/>
          <w:sz w:val="22"/>
          <w:szCs w:val="22"/>
        </w:rPr>
      </w:pPr>
    </w:p>
    <w:p>
      <w:pPr>
        <w:pStyle w:val="Level1"/>
        <w:numPr>
          <w:ilvl w:val="0"/>
          <w:numId w:val="0"/>
        </w:numPr>
        <w:spacing w:after="0" w:line="340" w:lineRule="exact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II.</w:t>
      </w:r>
      <w:r>
        <w:rPr>
          <w:rFonts w:cs="Arial"/>
          <w:b/>
          <w:bCs/>
          <w:sz w:val="22"/>
          <w:szCs w:val="22"/>
        </w:rPr>
        <w:tab/>
        <w:t>CONVOCAÇÃO E PRESENÇA</w:t>
      </w:r>
      <w:r>
        <w:rPr>
          <w:rFonts w:cs="Arial"/>
          <w:bCs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acionistas representando a totalidade do capital social da Companhia, em razão do que fica dispensada a convocação, nos termos do parágrafo 4º, do artigo 124, da Lei nº 6.404 de 15 de dezembro de 1976, conforme alterada (“</w:t>
      </w:r>
      <w:r>
        <w:rPr>
          <w:rFonts w:cs="Arial"/>
          <w:sz w:val="22"/>
          <w:szCs w:val="22"/>
          <w:u w:val="single"/>
        </w:rPr>
        <w:t>Lei das Sociedades por Ações</w:t>
      </w:r>
      <w:r>
        <w:rPr>
          <w:rFonts w:cs="Arial"/>
          <w:sz w:val="22"/>
          <w:szCs w:val="22"/>
        </w:rPr>
        <w:t xml:space="preserve">”), conforme se verifica pela assinatura lançada no Livro de Presença de Acionistas. </w:t>
      </w:r>
    </w:p>
    <w:p>
      <w:pPr>
        <w:pStyle w:val="Level1"/>
        <w:numPr>
          <w:ilvl w:val="0"/>
          <w:numId w:val="0"/>
        </w:numPr>
        <w:spacing w:after="0" w:line="340" w:lineRule="exact"/>
        <w:ind w:left="680" w:hanging="680"/>
        <w:rPr>
          <w:rFonts w:cs="Arial"/>
          <w:sz w:val="22"/>
          <w:szCs w:val="22"/>
        </w:rPr>
      </w:pPr>
    </w:p>
    <w:p>
      <w:pPr>
        <w:pStyle w:val="Level1"/>
        <w:numPr>
          <w:ilvl w:val="0"/>
          <w:numId w:val="0"/>
        </w:numPr>
        <w:spacing w:after="0" w:line="340" w:lineRule="exact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III.</w:t>
      </w:r>
      <w:r>
        <w:rPr>
          <w:rFonts w:cs="Arial"/>
          <w:b/>
          <w:bCs/>
          <w:sz w:val="22"/>
          <w:szCs w:val="22"/>
        </w:rPr>
        <w:tab/>
        <w:t>MESA</w:t>
      </w:r>
      <w:r>
        <w:rPr>
          <w:rFonts w:cs="Arial"/>
          <w:sz w:val="22"/>
          <w:szCs w:val="22"/>
        </w:rPr>
        <w:t>: Presidida pelo Sr. [Antonio Amaro] e secretariada pelo Sr. [Ricardo Lucas Dara da Silva]. [</w:t>
      </w:r>
      <w:r>
        <w:rPr>
          <w:rFonts w:cs="Arial"/>
          <w:b/>
          <w:sz w:val="22"/>
          <w:szCs w:val="22"/>
          <w:highlight w:val="yellow"/>
        </w:rPr>
        <w:t>Nota PNA</w:t>
      </w:r>
      <w:r>
        <w:rPr>
          <w:rFonts w:cs="Arial"/>
          <w:sz w:val="22"/>
          <w:szCs w:val="22"/>
          <w:highlight w:val="yellow"/>
        </w:rPr>
        <w:t>: Companhia, favor confirmar</w:t>
      </w:r>
      <w:r>
        <w:rPr>
          <w:rFonts w:cs="Arial"/>
          <w:sz w:val="22"/>
          <w:szCs w:val="22"/>
        </w:rPr>
        <w:t>]</w:t>
      </w:r>
    </w:p>
    <w:p>
      <w:pPr>
        <w:pStyle w:val="Level1"/>
        <w:numPr>
          <w:ilvl w:val="0"/>
          <w:numId w:val="0"/>
        </w:numPr>
        <w:spacing w:after="0" w:line="340" w:lineRule="exact"/>
        <w:ind w:left="680" w:hanging="680"/>
        <w:rPr>
          <w:rFonts w:cs="Arial"/>
          <w:sz w:val="22"/>
          <w:szCs w:val="22"/>
        </w:rPr>
      </w:pPr>
    </w:p>
    <w:p>
      <w:pPr>
        <w:pStyle w:val="Level1"/>
        <w:numPr>
          <w:ilvl w:val="0"/>
          <w:numId w:val="0"/>
        </w:numPr>
        <w:spacing w:after="0" w:line="340" w:lineRule="exact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IV.</w:t>
      </w:r>
      <w:r>
        <w:rPr>
          <w:rFonts w:cs="Arial"/>
          <w:b/>
          <w:bCs/>
          <w:sz w:val="22"/>
          <w:szCs w:val="22"/>
        </w:rPr>
        <w:tab/>
        <w:t>ORDEM DO DIA</w:t>
      </w:r>
      <w:r>
        <w:rPr>
          <w:rFonts w:cs="Arial"/>
          <w:sz w:val="22"/>
          <w:szCs w:val="22"/>
        </w:rPr>
        <w:t xml:space="preserve">: Deliberar sobre: </w:t>
      </w:r>
      <w:r>
        <w:rPr>
          <w:rFonts w:cs="Arial"/>
          <w:b/>
          <w:sz w:val="22"/>
          <w:szCs w:val="22"/>
        </w:rPr>
        <w:t>(I)</w:t>
      </w:r>
      <w:r>
        <w:rPr>
          <w:rFonts w:cs="Arial"/>
          <w:sz w:val="22"/>
          <w:szCs w:val="22"/>
        </w:rPr>
        <w:t xml:space="preserve"> a alteração da data de vencimento das debêntures da primeira emissão de debêntures da Companhia (“</w:t>
      </w:r>
      <w:r>
        <w:rPr>
          <w:rFonts w:cs="Arial"/>
          <w:sz w:val="22"/>
          <w:szCs w:val="22"/>
          <w:u w:val="single"/>
        </w:rPr>
        <w:t>Debêntures</w:t>
      </w:r>
      <w:r>
        <w:rPr>
          <w:rFonts w:cs="Arial"/>
          <w:sz w:val="22"/>
          <w:szCs w:val="22"/>
        </w:rPr>
        <w:t>”), cujos termos foram aprovados na Assembleia Geral Extraordinária realizada em 20 de setembro de 2018 (“</w:t>
      </w:r>
      <w:r>
        <w:rPr>
          <w:rFonts w:cs="Arial"/>
          <w:sz w:val="22"/>
          <w:szCs w:val="22"/>
          <w:u w:val="single"/>
        </w:rPr>
        <w:t>AGE da Emissão</w:t>
      </w:r>
      <w:r>
        <w:rPr>
          <w:rFonts w:cs="Arial"/>
          <w:sz w:val="22"/>
          <w:szCs w:val="22"/>
        </w:rPr>
        <w:t>”), na Assembleia Geral Extraordinária realizada em 1º de outubro de 2018 (“</w:t>
      </w:r>
      <w:r>
        <w:rPr>
          <w:rFonts w:cs="Arial"/>
          <w:sz w:val="22"/>
          <w:szCs w:val="22"/>
          <w:u w:val="single"/>
        </w:rPr>
        <w:t xml:space="preserve">AGE de </w:t>
      </w:r>
      <w:proofErr w:type="spellStart"/>
      <w:r>
        <w:rPr>
          <w:rFonts w:cs="Arial"/>
          <w:sz w:val="22"/>
          <w:szCs w:val="22"/>
          <w:u w:val="single"/>
        </w:rPr>
        <w:t>Re-ratificação</w:t>
      </w:r>
      <w:proofErr w:type="spellEnd"/>
      <w:r>
        <w:rPr>
          <w:rFonts w:cs="Arial"/>
          <w:sz w:val="22"/>
          <w:szCs w:val="22"/>
          <w:u w:val="single"/>
        </w:rPr>
        <w:t xml:space="preserve"> de 2018</w:t>
      </w:r>
      <w:r>
        <w:rPr>
          <w:rFonts w:cs="Arial"/>
          <w:sz w:val="22"/>
          <w:szCs w:val="22"/>
        </w:rPr>
        <w:t>”) e na Assembleia Geral Extraordinária realizada em 28 de junho de 2019 (“</w:t>
      </w:r>
      <w:r>
        <w:rPr>
          <w:rFonts w:cs="Arial"/>
          <w:sz w:val="22"/>
          <w:szCs w:val="22"/>
          <w:u w:val="single"/>
        </w:rPr>
        <w:t xml:space="preserve">AGE de </w:t>
      </w:r>
      <w:proofErr w:type="spellStart"/>
      <w:r>
        <w:rPr>
          <w:rFonts w:cs="Arial"/>
          <w:sz w:val="22"/>
          <w:szCs w:val="22"/>
          <w:u w:val="single"/>
        </w:rPr>
        <w:t>Re-ratificação</w:t>
      </w:r>
      <w:proofErr w:type="spellEnd"/>
      <w:r>
        <w:rPr>
          <w:rFonts w:cs="Arial"/>
          <w:sz w:val="22"/>
          <w:szCs w:val="22"/>
          <w:u w:val="single"/>
        </w:rPr>
        <w:t xml:space="preserve"> de 2019</w:t>
      </w:r>
      <w:r>
        <w:rPr>
          <w:rFonts w:cs="Arial"/>
          <w:sz w:val="22"/>
          <w:szCs w:val="22"/>
        </w:rPr>
        <w:t xml:space="preserve">”), bem como das datas de amortização programada e das datas de pagamento da remuneração também aprovadas na AGE da Emissão, na AGE de </w:t>
      </w:r>
      <w:proofErr w:type="spellStart"/>
      <w:r>
        <w:rPr>
          <w:rFonts w:cs="Arial"/>
          <w:sz w:val="22"/>
          <w:szCs w:val="22"/>
        </w:rPr>
        <w:t>Re-ratificação</w:t>
      </w:r>
      <w:proofErr w:type="spellEnd"/>
      <w:r>
        <w:rPr>
          <w:rFonts w:cs="Arial"/>
          <w:sz w:val="22"/>
          <w:szCs w:val="22"/>
        </w:rPr>
        <w:t xml:space="preserve"> de 2018 e na AGE de </w:t>
      </w:r>
      <w:proofErr w:type="spellStart"/>
      <w:r>
        <w:rPr>
          <w:rFonts w:cs="Arial"/>
          <w:sz w:val="22"/>
          <w:szCs w:val="22"/>
        </w:rPr>
        <w:t>Re-ratificação</w:t>
      </w:r>
      <w:proofErr w:type="spellEnd"/>
      <w:r>
        <w:rPr>
          <w:rFonts w:cs="Arial"/>
          <w:sz w:val="22"/>
          <w:szCs w:val="22"/>
        </w:rPr>
        <w:t xml:space="preserve"> de 2019; </w:t>
      </w:r>
      <w:r>
        <w:rPr>
          <w:rFonts w:cs="Arial"/>
          <w:b/>
          <w:sz w:val="22"/>
          <w:szCs w:val="22"/>
        </w:rPr>
        <w:t xml:space="preserve">(II) </w:t>
      </w:r>
      <w:r>
        <w:rPr>
          <w:rFonts w:cs="Arial"/>
          <w:sz w:val="22"/>
          <w:szCs w:val="22"/>
        </w:rPr>
        <w:t xml:space="preserve">a alteração da remuneração das Debêntures aprovada na AGE da Emissora, na AGE de </w:t>
      </w:r>
      <w:proofErr w:type="spellStart"/>
      <w:r>
        <w:rPr>
          <w:rFonts w:cs="Arial"/>
          <w:sz w:val="22"/>
          <w:szCs w:val="22"/>
        </w:rPr>
        <w:t>Re-ratificação</w:t>
      </w:r>
      <w:proofErr w:type="spellEnd"/>
      <w:r>
        <w:rPr>
          <w:rFonts w:cs="Arial"/>
          <w:sz w:val="22"/>
          <w:szCs w:val="22"/>
        </w:rPr>
        <w:t xml:space="preserve"> de 2018 e na AGE de </w:t>
      </w:r>
      <w:proofErr w:type="spellStart"/>
      <w:r>
        <w:rPr>
          <w:rFonts w:cs="Arial"/>
          <w:sz w:val="22"/>
          <w:szCs w:val="22"/>
        </w:rPr>
        <w:t>Re-ratificação</w:t>
      </w:r>
      <w:proofErr w:type="spellEnd"/>
      <w:r>
        <w:rPr>
          <w:rFonts w:cs="Arial"/>
          <w:sz w:val="22"/>
          <w:szCs w:val="22"/>
        </w:rPr>
        <w:t xml:space="preserve"> de 2019; </w:t>
      </w:r>
      <w:r>
        <w:rPr>
          <w:rFonts w:cs="Arial"/>
          <w:b/>
          <w:sz w:val="22"/>
          <w:szCs w:val="22"/>
        </w:rPr>
        <w:t>(III)</w:t>
      </w:r>
      <w:r>
        <w:rPr>
          <w:rFonts w:cs="Arial"/>
          <w:sz w:val="22"/>
          <w:szCs w:val="22"/>
        </w:rPr>
        <w:t xml:space="preserve"> a ratificação das demais disposições constantes </w:t>
      </w:r>
      <w:r>
        <w:rPr>
          <w:rFonts w:cs="Arial"/>
          <w:sz w:val="22"/>
          <w:szCs w:val="22"/>
        </w:rPr>
        <w:lastRenderedPageBreak/>
        <w:t xml:space="preserve">da AGE da Emissão, na AGE de </w:t>
      </w:r>
      <w:proofErr w:type="spellStart"/>
      <w:r>
        <w:rPr>
          <w:rFonts w:cs="Arial"/>
          <w:sz w:val="22"/>
          <w:szCs w:val="22"/>
        </w:rPr>
        <w:t>Re-ratificação</w:t>
      </w:r>
      <w:proofErr w:type="spellEnd"/>
      <w:r>
        <w:rPr>
          <w:rFonts w:cs="Arial"/>
          <w:sz w:val="22"/>
          <w:szCs w:val="22"/>
        </w:rPr>
        <w:t xml:space="preserve"> de 2018 e na AGE de </w:t>
      </w:r>
      <w:proofErr w:type="spellStart"/>
      <w:r>
        <w:rPr>
          <w:rFonts w:cs="Arial"/>
          <w:sz w:val="22"/>
          <w:szCs w:val="22"/>
        </w:rPr>
        <w:t>Re-ratificação</w:t>
      </w:r>
      <w:proofErr w:type="spellEnd"/>
      <w:r>
        <w:rPr>
          <w:rFonts w:cs="Arial"/>
          <w:sz w:val="22"/>
          <w:szCs w:val="22"/>
        </w:rPr>
        <w:t xml:space="preserve"> de 2019; </w:t>
      </w:r>
      <w:r>
        <w:rPr>
          <w:rFonts w:cs="Arial"/>
          <w:b/>
          <w:sz w:val="22"/>
          <w:szCs w:val="22"/>
        </w:rPr>
        <w:t>(IV)</w:t>
      </w:r>
      <w:r>
        <w:rPr>
          <w:rFonts w:cs="Arial"/>
          <w:sz w:val="22"/>
          <w:szCs w:val="22"/>
        </w:rPr>
        <w:t xml:space="preserve"> a autorização à Diretoria da Companhia para praticar todos os atos e assinar todos os documentos necessários à realização das deliberações acima; e </w:t>
      </w:r>
      <w:r>
        <w:rPr>
          <w:rFonts w:cs="Arial"/>
          <w:b/>
          <w:sz w:val="22"/>
          <w:szCs w:val="22"/>
        </w:rPr>
        <w:t>(V)</w:t>
      </w:r>
      <w:r>
        <w:rPr>
          <w:rFonts w:cs="Arial"/>
          <w:sz w:val="22"/>
          <w:szCs w:val="22"/>
        </w:rPr>
        <w:t xml:space="preserve"> a autorização para a publicação desta ata na forma prevista no §1°, do artigo 130, da Lei das Sociedades por Ações.</w:t>
      </w:r>
    </w:p>
    <w:p>
      <w:pPr>
        <w:pStyle w:val="Level1"/>
        <w:numPr>
          <w:ilvl w:val="0"/>
          <w:numId w:val="0"/>
        </w:numPr>
        <w:spacing w:after="0" w:line="340" w:lineRule="exact"/>
        <w:rPr>
          <w:rFonts w:cs="Arial"/>
          <w:sz w:val="22"/>
          <w:szCs w:val="22"/>
        </w:rPr>
      </w:pPr>
    </w:p>
    <w:p>
      <w:pPr>
        <w:pStyle w:val="Level1"/>
        <w:numPr>
          <w:ilvl w:val="0"/>
          <w:numId w:val="0"/>
        </w:numPr>
        <w:spacing w:after="0" w:line="340" w:lineRule="exact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V.</w:t>
      </w:r>
      <w:r>
        <w:rPr>
          <w:rFonts w:cs="Arial"/>
          <w:b/>
          <w:bCs/>
          <w:sz w:val="22"/>
          <w:szCs w:val="22"/>
        </w:rPr>
        <w:tab/>
        <w:t>DELIBERAÇÕES</w:t>
      </w:r>
      <w:r>
        <w:rPr>
          <w:rFonts w:cs="Arial"/>
          <w:sz w:val="22"/>
          <w:szCs w:val="22"/>
        </w:rPr>
        <w:t xml:space="preserve">: instalada a Assembleia, foram tomadas as seguintes deliberações, sem quaisquer restrições, aprovadas pela unanimidade dos acionistas titulares da totalidade das ações representativas do capital social da Companhia: </w:t>
      </w:r>
    </w:p>
    <w:p>
      <w:pPr>
        <w:pStyle w:val="Level1"/>
        <w:numPr>
          <w:ilvl w:val="0"/>
          <w:numId w:val="0"/>
        </w:numPr>
        <w:spacing w:after="0" w:line="340" w:lineRule="exact"/>
        <w:rPr>
          <w:rFonts w:cs="Arial"/>
          <w:sz w:val="22"/>
          <w:szCs w:val="22"/>
        </w:rPr>
      </w:pPr>
    </w:p>
    <w:p>
      <w:pPr>
        <w:pStyle w:val="Corpodetexto2"/>
        <w:tabs>
          <w:tab w:val="left" w:pos="-4253"/>
          <w:tab w:val="left" w:pos="0"/>
        </w:tabs>
        <w:spacing w:line="340" w:lineRule="exact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(I)</w:t>
      </w:r>
      <w:r>
        <w:rPr>
          <w:rFonts w:ascii="Arial" w:hAnsi="Arial" w:cs="Arial"/>
          <w:sz w:val="22"/>
          <w:szCs w:val="22"/>
          <w:lang w:val="pt-BR"/>
        </w:rPr>
        <w:tab/>
        <w:t>aprovar a alteração da data de vencimento das Debêntures, bem como as datas de amortização programada e das datas de pagamento da remuneração, por meio da alteração das deliberações constantes dos itens (</w:t>
      </w:r>
      <w:proofErr w:type="gramStart"/>
      <w:r>
        <w:rPr>
          <w:rFonts w:ascii="Arial" w:hAnsi="Arial" w:cs="Arial"/>
          <w:sz w:val="22"/>
          <w:szCs w:val="22"/>
          <w:lang w:val="pt-BR"/>
        </w:rPr>
        <w:t>I)(</w:t>
      </w:r>
      <w:proofErr w:type="gramEnd"/>
      <w:r>
        <w:rPr>
          <w:rFonts w:ascii="Arial" w:hAnsi="Arial" w:cs="Arial"/>
          <w:sz w:val="22"/>
          <w:szCs w:val="22"/>
          <w:lang w:val="pt-BR"/>
        </w:rPr>
        <w:t xml:space="preserve">g), (I)(r) e (I)(s) da AGE da Emissão, que passarão a ter a seguinte redação: </w:t>
      </w:r>
    </w:p>
    <w:p>
      <w:pPr>
        <w:pStyle w:val="Corpodetexto2"/>
        <w:tabs>
          <w:tab w:val="left" w:pos="-4253"/>
          <w:tab w:val="left" w:pos="0"/>
        </w:tabs>
        <w:spacing w:line="340" w:lineRule="exact"/>
        <w:rPr>
          <w:rFonts w:ascii="Arial" w:eastAsia="Arial Unicode MS" w:hAnsi="Arial" w:cs="Arial"/>
          <w:sz w:val="22"/>
          <w:szCs w:val="22"/>
          <w:lang w:val="pt-BR"/>
        </w:rPr>
      </w:pPr>
      <w:bookmarkStart w:id="1" w:name="_Ref130286776"/>
      <w:bookmarkStart w:id="2" w:name="_Ref130611431"/>
      <w:bookmarkStart w:id="3" w:name="_Ref168843122"/>
      <w:bookmarkStart w:id="4" w:name="_Ref278270507"/>
      <w:bookmarkStart w:id="5" w:name="_Ref137548372"/>
      <w:bookmarkStart w:id="6" w:name="_Ref168458019"/>
      <w:bookmarkStart w:id="7" w:name="_Ref191891571"/>
      <w:bookmarkStart w:id="8" w:name="_Ref130363099"/>
    </w:p>
    <w:p>
      <w:pPr>
        <w:pStyle w:val="Corpodetexto2"/>
        <w:tabs>
          <w:tab w:val="left" w:pos="-4253"/>
          <w:tab w:val="left" w:pos="0"/>
        </w:tabs>
        <w:spacing w:line="340" w:lineRule="exact"/>
        <w:ind w:left="709"/>
        <w:rPr>
          <w:rFonts w:ascii="Arial" w:hAnsi="Arial" w:cs="Arial"/>
          <w:i/>
          <w:sz w:val="22"/>
          <w:szCs w:val="22"/>
          <w:lang w:val="pt-BR"/>
        </w:rPr>
      </w:pPr>
      <w:r>
        <w:rPr>
          <w:rFonts w:ascii="Arial" w:hAnsi="Arial" w:cs="Arial"/>
          <w:b/>
          <w:i/>
          <w:sz w:val="22"/>
          <w:szCs w:val="22"/>
          <w:lang w:val="pt-BR"/>
        </w:rPr>
        <w:t>(g)</w:t>
      </w:r>
      <w:r>
        <w:rPr>
          <w:rFonts w:ascii="Arial" w:hAnsi="Arial" w:cs="Arial"/>
          <w:i/>
          <w:sz w:val="22"/>
          <w:szCs w:val="22"/>
          <w:lang w:val="pt-BR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pt-BR"/>
        </w:rPr>
        <w:t>Prazo de Vigência e Data de Vencimento</w:t>
      </w:r>
      <w:r>
        <w:rPr>
          <w:rFonts w:ascii="Arial" w:hAnsi="Arial" w:cs="Arial"/>
          <w:i/>
          <w:sz w:val="22"/>
          <w:szCs w:val="22"/>
          <w:lang w:val="pt-BR"/>
        </w:rPr>
        <w:t>: ressalvadas as hipóteses em que ocorrer o vencimento antecipado das Debêntures, nos termos da Escritura de Emissão, as Debêntures têm prazo de vigência de [●] ([●]) meses contados da Data de Emissão, vencendo-se, portanto, em [●] de [●] de [●</w:t>
      </w:r>
      <w:proofErr w:type="gramStart"/>
      <w:r>
        <w:rPr>
          <w:rFonts w:ascii="Arial" w:hAnsi="Arial" w:cs="Arial"/>
          <w:i/>
          <w:sz w:val="22"/>
          <w:szCs w:val="22"/>
          <w:lang w:val="pt-BR"/>
        </w:rPr>
        <w:t>](</w:t>
      </w:r>
      <w:proofErr w:type="gramEnd"/>
      <w:r>
        <w:rPr>
          <w:rFonts w:ascii="Arial" w:hAnsi="Arial" w:cs="Arial"/>
          <w:i/>
          <w:sz w:val="22"/>
          <w:szCs w:val="22"/>
          <w:lang w:val="pt-BR"/>
        </w:rPr>
        <w:t>“</w:t>
      </w:r>
      <w:r>
        <w:rPr>
          <w:rFonts w:ascii="Arial" w:hAnsi="Arial" w:cs="Arial"/>
          <w:i/>
          <w:sz w:val="22"/>
          <w:szCs w:val="22"/>
          <w:u w:val="single"/>
          <w:lang w:val="pt-BR"/>
        </w:rPr>
        <w:t>Data de Vencimento</w:t>
      </w:r>
      <w:r>
        <w:rPr>
          <w:rFonts w:ascii="Arial" w:hAnsi="Arial" w:cs="Arial"/>
          <w:i/>
          <w:sz w:val="22"/>
          <w:szCs w:val="22"/>
          <w:lang w:val="pt-BR"/>
        </w:rPr>
        <w:t>”);</w:t>
      </w:r>
    </w:p>
    <w:p>
      <w:pPr>
        <w:pStyle w:val="Corpodetexto2"/>
        <w:tabs>
          <w:tab w:val="left" w:pos="-4253"/>
          <w:tab w:val="left" w:pos="0"/>
        </w:tabs>
        <w:spacing w:line="340" w:lineRule="exact"/>
        <w:ind w:left="709"/>
        <w:rPr>
          <w:rFonts w:ascii="Arial" w:hAnsi="Arial" w:cs="Arial"/>
          <w:i/>
          <w:sz w:val="22"/>
          <w:szCs w:val="22"/>
          <w:lang w:val="pt-BR"/>
        </w:rPr>
      </w:pPr>
    </w:p>
    <w:p>
      <w:pPr>
        <w:pStyle w:val="Corpodetexto2"/>
        <w:tabs>
          <w:tab w:val="left" w:pos="-4253"/>
          <w:tab w:val="left" w:pos="0"/>
        </w:tabs>
        <w:spacing w:line="340" w:lineRule="exact"/>
        <w:ind w:left="709"/>
        <w:rPr>
          <w:rFonts w:ascii="Arial" w:hAnsi="Arial" w:cs="Arial"/>
          <w:i/>
          <w:sz w:val="22"/>
          <w:szCs w:val="22"/>
          <w:lang w:val="pt-BR"/>
        </w:rPr>
      </w:pPr>
      <w:r>
        <w:rPr>
          <w:rFonts w:ascii="Arial" w:hAnsi="Arial" w:cs="Arial"/>
          <w:i/>
          <w:sz w:val="22"/>
          <w:szCs w:val="22"/>
          <w:lang w:val="pt-BR"/>
        </w:rPr>
        <w:t>(...)</w:t>
      </w:r>
    </w:p>
    <w:p>
      <w:pPr>
        <w:pStyle w:val="Corpodetexto2"/>
        <w:tabs>
          <w:tab w:val="left" w:pos="-4253"/>
          <w:tab w:val="left" w:pos="0"/>
        </w:tabs>
        <w:spacing w:line="340" w:lineRule="exact"/>
        <w:ind w:left="709"/>
        <w:rPr>
          <w:rFonts w:ascii="Arial" w:hAnsi="Arial" w:cs="Arial"/>
          <w:i/>
          <w:sz w:val="22"/>
          <w:szCs w:val="22"/>
          <w:lang w:val="pt-BR"/>
        </w:rPr>
      </w:pPr>
    </w:p>
    <w:p>
      <w:pPr>
        <w:pStyle w:val="Corpodetexto2"/>
        <w:tabs>
          <w:tab w:val="left" w:pos="-4253"/>
          <w:tab w:val="left" w:pos="0"/>
        </w:tabs>
        <w:spacing w:line="340" w:lineRule="exact"/>
        <w:ind w:left="709"/>
        <w:rPr>
          <w:rFonts w:ascii="Arial" w:eastAsia="Arial Unicode MS" w:hAnsi="Arial" w:cs="Arial"/>
          <w:i/>
          <w:sz w:val="22"/>
          <w:szCs w:val="22"/>
          <w:lang w:val="pt-BR"/>
        </w:rPr>
      </w:pPr>
      <w:r>
        <w:rPr>
          <w:rFonts w:ascii="Arial" w:hAnsi="Arial" w:cs="Arial"/>
          <w:b/>
          <w:i/>
          <w:sz w:val="22"/>
          <w:szCs w:val="22"/>
          <w:lang w:val="pt-BR"/>
        </w:rPr>
        <w:t>(r) Periodicidade do</w:t>
      </w:r>
      <w:r>
        <w:rPr>
          <w:rFonts w:ascii="Arial" w:hAnsi="Arial" w:cs="Arial"/>
          <w:i/>
          <w:sz w:val="22"/>
          <w:szCs w:val="22"/>
          <w:lang w:val="pt-BR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Pagamento da Remuneração: </w:t>
      </w:r>
      <w:bookmarkStart w:id="9" w:name="_Ref453172484"/>
      <w:r>
        <w:rPr>
          <w:rFonts w:ascii="Arial" w:eastAsia="Arial Unicode MS" w:hAnsi="Arial" w:cs="Arial"/>
          <w:i/>
          <w:sz w:val="22"/>
          <w:szCs w:val="22"/>
        </w:rPr>
        <w:t xml:space="preserve">sem prejuízo dos pagamentos em decorrência de vencimento antecipado das Debêntures, nos termos previstos </w:t>
      </w:r>
      <w:r>
        <w:rPr>
          <w:rFonts w:ascii="Arial" w:eastAsia="Arial Unicode MS" w:hAnsi="Arial" w:cs="Arial"/>
          <w:i/>
          <w:sz w:val="22"/>
          <w:szCs w:val="22"/>
          <w:lang w:val="pt-BR"/>
        </w:rPr>
        <w:t>na</w:t>
      </w:r>
      <w:r>
        <w:rPr>
          <w:rFonts w:ascii="Arial" w:eastAsia="Arial Unicode MS" w:hAnsi="Arial" w:cs="Arial"/>
          <w:i/>
          <w:sz w:val="22"/>
          <w:szCs w:val="22"/>
        </w:rPr>
        <w:t xml:space="preserve"> Escritura</w:t>
      </w:r>
      <w:r>
        <w:rPr>
          <w:rFonts w:ascii="Arial" w:eastAsia="Arial Unicode MS" w:hAnsi="Arial" w:cs="Arial"/>
          <w:i/>
          <w:sz w:val="22"/>
          <w:szCs w:val="22"/>
          <w:lang w:val="pt-BR"/>
        </w:rPr>
        <w:t xml:space="preserve"> de Emissão</w:t>
      </w:r>
      <w:r>
        <w:rPr>
          <w:rFonts w:ascii="Arial" w:eastAsia="Arial Unicode MS" w:hAnsi="Arial" w:cs="Arial"/>
          <w:i/>
          <w:sz w:val="22"/>
          <w:szCs w:val="22"/>
        </w:rPr>
        <w:t xml:space="preserve">, a Remuneração das Debêntures será paga </w:t>
      </w:r>
      <w:r>
        <w:rPr>
          <w:rFonts w:ascii="Arial" w:hAnsi="Arial" w:cs="Arial"/>
          <w:bCs/>
          <w:i/>
          <w:sz w:val="22"/>
          <w:szCs w:val="22"/>
        </w:rPr>
        <w:t>nas seguintes datas</w:t>
      </w:r>
      <w:r>
        <w:rPr>
          <w:rFonts w:ascii="Arial" w:eastAsia="Arial Unicode MS" w:hAnsi="Arial" w:cs="Arial"/>
          <w:i/>
          <w:sz w:val="22"/>
          <w:szCs w:val="22"/>
        </w:rPr>
        <w:t xml:space="preserve"> (“</w:t>
      </w:r>
      <w:r>
        <w:rPr>
          <w:rFonts w:ascii="Arial" w:eastAsia="Arial Unicode MS" w:hAnsi="Arial" w:cs="Arial"/>
          <w:i/>
          <w:sz w:val="22"/>
          <w:szCs w:val="22"/>
          <w:u w:val="single"/>
        </w:rPr>
        <w:t>Data de Pagamento da Remuneração</w:t>
      </w:r>
      <w:r>
        <w:rPr>
          <w:rFonts w:ascii="Arial" w:eastAsia="Arial Unicode MS" w:hAnsi="Arial" w:cs="Arial"/>
          <w:i/>
          <w:sz w:val="22"/>
          <w:szCs w:val="22"/>
        </w:rPr>
        <w:t>”)</w:t>
      </w:r>
      <w:bookmarkEnd w:id="9"/>
      <w:r>
        <w:rPr>
          <w:rFonts w:ascii="Arial" w:eastAsia="Arial Unicode MS" w:hAnsi="Arial" w:cs="Arial"/>
          <w:i/>
          <w:sz w:val="22"/>
          <w:szCs w:val="22"/>
          <w:lang w:val="pt-BR"/>
        </w:rPr>
        <w:t xml:space="preserve">: </w:t>
      </w:r>
    </w:p>
    <w:p>
      <w:pPr>
        <w:pStyle w:val="Corpodetexto2"/>
        <w:tabs>
          <w:tab w:val="left" w:pos="-4253"/>
          <w:tab w:val="left" w:pos="0"/>
        </w:tabs>
        <w:spacing w:line="340" w:lineRule="exact"/>
        <w:ind w:left="709"/>
        <w:rPr>
          <w:rFonts w:ascii="Arial" w:eastAsia="Arial Unicode MS" w:hAnsi="Arial" w:cs="Arial"/>
          <w:i/>
          <w:sz w:val="22"/>
          <w:szCs w:val="22"/>
          <w:lang w:val="pt-BR"/>
        </w:rPr>
      </w:pPr>
    </w:p>
    <w:tbl>
      <w:tblPr>
        <w:tblW w:w="3911" w:type="dxa"/>
        <w:jc w:val="center"/>
        <w:tblLook w:val="04A0" w:firstRow="1" w:lastRow="0" w:firstColumn="1" w:lastColumn="0" w:noHBand="0" w:noVBand="1"/>
      </w:tblPr>
      <w:tblGrid>
        <w:gridCol w:w="3911"/>
      </w:tblGrid>
      <w:tr>
        <w:trPr>
          <w:tblHeader/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>
            <w:pPr>
              <w:spacing w:line="340" w:lineRule="exact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Datas de Pagamento da Remuneração</w:t>
            </w:r>
          </w:p>
        </w:tc>
      </w:tr>
      <w:tr>
        <w:trPr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line="340" w:lineRule="exact"/>
              <w:jc w:val="center"/>
              <w:rPr>
                <w:rFonts w:eastAsia="Arial Unicode MS" w:cs="Arial"/>
                <w:bCs/>
                <w:i/>
                <w:sz w:val="22"/>
                <w:szCs w:val="22"/>
              </w:rPr>
            </w:pPr>
            <w:r>
              <w:rPr>
                <w:rFonts w:eastAsia="Arial Unicode MS" w:cs="Arial"/>
                <w:bCs/>
                <w:i/>
                <w:sz w:val="22"/>
                <w:szCs w:val="22"/>
              </w:rPr>
              <w:t>19 de março de 2019</w:t>
            </w:r>
          </w:p>
        </w:tc>
      </w:tr>
      <w:tr>
        <w:trPr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line="340" w:lineRule="exact"/>
              <w:jc w:val="center"/>
              <w:rPr>
                <w:rFonts w:eastAsia="Arial Unicode MS" w:cs="Arial"/>
                <w:bCs/>
                <w:i/>
                <w:sz w:val="22"/>
                <w:szCs w:val="22"/>
              </w:rPr>
            </w:pPr>
            <w:r>
              <w:rPr>
                <w:rFonts w:eastAsia="Arial Unicode MS" w:cs="Arial"/>
                <w:bCs/>
                <w:i/>
                <w:sz w:val="22"/>
                <w:szCs w:val="22"/>
              </w:rPr>
              <w:t>11 de julho de 2019</w:t>
            </w:r>
          </w:p>
        </w:tc>
      </w:tr>
      <w:tr>
        <w:trPr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eastAsia="Arial Unicode MS" w:cs="Arial"/>
                <w:bCs/>
                <w:i/>
                <w:sz w:val="22"/>
                <w:szCs w:val="22"/>
              </w:rPr>
            </w:pPr>
            <w:r>
              <w:rPr>
                <w:rFonts w:eastAsia="Arial Unicode MS" w:cs="Arial"/>
                <w:bCs/>
                <w:i/>
                <w:sz w:val="22"/>
                <w:szCs w:val="22"/>
              </w:rPr>
              <w:t>30 de setembro de 2019</w:t>
            </w:r>
          </w:p>
        </w:tc>
      </w:tr>
      <w:tr>
        <w:trPr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eastAsia="Arial Unicode MS" w:cs="Arial"/>
                <w:bCs/>
                <w:i/>
                <w:sz w:val="22"/>
                <w:szCs w:val="22"/>
              </w:rPr>
            </w:pPr>
            <w:r>
              <w:rPr>
                <w:rFonts w:eastAsia="Arial Unicode MS" w:cs="Arial"/>
                <w:bCs/>
                <w:i/>
                <w:sz w:val="22"/>
                <w:szCs w:val="22"/>
              </w:rPr>
              <w:lastRenderedPageBreak/>
              <w:t>31 de março de 2020</w:t>
            </w:r>
          </w:p>
        </w:tc>
      </w:tr>
      <w:tr>
        <w:trPr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eastAsia="Arial Unicode MS" w:cs="Arial"/>
                <w:bCs/>
                <w:i/>
                <w:sz w:val="22"/>
                <w:szCs w:val="22"/>
              </w:rPr>
            </w:pPr>
            <w:r>
              <w:rPr>
                <w:rFonts w:eastAsia="Arial Unicode MS" w:cs="Arial"/>
                <w:bCs/>
                <w:i/>
                <w:sz w:val="22"/>
                <w:szCs w:val="22"/>
              </w:rPr>
              <w:t>30 de setembro de 2020</w:t>
            </w:r>
          </w:p>
        </w:tc>
      </w:tr>
      <w:tr>
        <w:trPr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eastAsia="Arial Unicode MS" w:cs="Arial"/>
                <w:bCs/>
                <w:i/>
                <w:sz w:val="22"/>
                <w:szCs w:val="22"/>
              </w:rPr>
            </w:pPr>
            <w:r>
              <w:rPr>
                <w:rFonts w:eastAsia="Arial Unicode MS" w:cs="Arial"/>
                <w:bCs/>
                <w:i/>
                <w:sz w:val="22"/>
                <w:szCs w:val="22"/>
              </w:rPr>
              <w:t>31 de março de 2021</w:t>
            </w:r>
          </w:p>
        </w:tc>
      </w:tr>
      <w:tr>
        <w:trPr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bCs/>
                <w:i/>
                <w:sz w:val="22"/>
                <w:szCs w:val="22"/>
              </w:rPr>
              <w:t>1º de novembro de 2021</w:t>
            </w:r>
          </w:p>
        </w:tc>
      </w:tr>
      <w:tr>
        <w:trPr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bCs/>
                <w:i/>
                <w:sz w:val="22"/>
                <w:szCs w:val="22"/>
              </w:rPr>
              <w:t>8 de novembro de 2021</w:t>
            </w:r>
          </w:p>
        </w:tc>
      </w:tr>
      <w:tr>
        <w:trPr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bCs/>
                <w:i/>
                <w:sz w:val="22"/>
                <w:szCs w:val="22"/>
              </w:rPr>
              <w:t>15 de novembro de 2021</w:t>
            </w:r>
          </w:p>
        </w:tc>
      </w:tr>
      <w:tr>
        <w:trPr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eastAsia="Arial Unicode MS" w:cs="Arial"/>
                <w:bCs/>
                <w:i/>
                <w:sz w:val="22"/>
                <w:szCs w:val="22"/>
              </w:rPr>
            </w:pPr>
            <w:r>
              <w:rPr>
                <w:rFonts w:eastAsia="Arial Unicode MS" w:cs="Arial"/>
                <w:bCs/>
                <w:i/>
                <w:sz w:val="22"/>
                <w:szCs w:val="22"/>
              </w:rPr>
              <w:t>[●]</w:t>
            </w:r>
          </w:p>
        </w:tc>
      </w:tr>
      <w:tr>
        <w:trPr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eastAsia="Arial Unicode MS" w:cs="Arial"/>
                <w:bCs/>
                <w:i/>
                <w:sz w:val="22"/>
                <w:szCs w:val="22"/>
              </w:rPr>
            </w:pPr>
            <w:r>
              <w:rPr>
                <w:rFonts w:eastAsia="Arial Unicode MS" w:cs="Arial"/>
                <w:bCs/>
                <w:i/>
                <w:sz w:val="22"/>
                <w:szCs w:val="22"/>
              </w:rPr>
              <w:t>[●]</w:t>
            </w:r>
          </w:p>
        </w:tc>
      </w:tr>
      <w:tr>
        <w:trPr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eastAsia="Arial Unicode MS" w:cs="Arial"/>
                <w:bCs/>
                <w:i/>
                <w:sz w:val="22"/>
                <w:szCs w:val="22"/>
              </w:rPr>
            </w:pPr>
            <w:r>
              <w:rPr>
                <w:rFonts w:eastAsia="Arial Unicode MS" w:cs="Arial"/>
                <w:bCs/>
                <w:i/>
                <w:sz w:val="22"/>
                <w:szCs w:val="22"/>
              </w:rPr>
              <w:t>[●]</w:t>
            </w:r>
          </w:p>
        </w:tc>
      </w:tr>
      <w:tr>
        <w:trPr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Data de Vencimento</w:t>
            </w:r>
          </w:p>
        </w:tc>
      </w:tr>
    </w:tbl>
    <w:p>
      <w:pPr>
        <w:spacing w:line="340" w:lineRule="exact"/>
        <w:rPr>
          <w:rFonts w:eastAsia="Arial Unicode MS" w:cs="Arial"/>
          <w:bCs/>
          <w:i/>
          <w:sz w:val="22"/>
          <w:szCs w:val="22"/>
        </w:rPr>
      </w:pPr>
      <w:r>
        <w:rPr>
          <w:rFonts w:eastAsia="Arial Unicode MS" w:cs="Arial"/>
          <w:bCs/>
          <w:i/>
          <w:sz w:val="22"/>
          <w:szCs w:val="22"/>
        </w:rPr>
        <w:t>[</w:t>
      </w:r>
      <w:r>
        <w:rPr>
          <w:rFonts w:eastAsia="Arial Unicode MS" w:cs="Arial"/>
          <w:b/>
          <w:bCs/>
          <w:i/>
          <w:sz w:val="22"/>
          <w:szCs w:val="22"/>
          <w:highlight w:val="yellow"/>
        </w:rPr>
        <w:t>Nota PNA</w:t>
      </w:r>
      <w:r>
        <w:rPr>
          <w:rFonts w:eastAsia="Arial Unicode MS" w:cs="Arial"/>
          <w:bCs/>
          <w:i/>
          <w:sz w:val="22"/>
          <w:szCs w:val="22"/>
          <w:highlight w:val="yellow"/>
        </w:rPr>
        <w:t>: A ser alterado conforme novas datas de pagamento</w:t>
      </w:r>
      <w:r>
        <w:rPr>
          <w:rFonts w:eastAsia="Arial Unicode MS" w:cs="Arial"/>
          <w:bCs/>
          <w:i/>
          <w:sz w:val="22"/>
          <w:szCs w:val="22"/>
        </w:rPr>
        <w:t>]</w:t>
      </w:r>
    </w:p>
    <w:p>
      <w:pPr>
        <w:pStyle w:val="Corpodetexto2"/>
        <w:tabs>
          <w:tab w:val="left" w:pos="-4253"/>
          <w:tab w:val="left" w:pos="0"/>
        </w:tabs>
        <w:spacing w:line="340" w:lineRule="exact"/>
        <w:ind w:left="709"/>
        <w:rPr>
          <w:rFonts w:ascii="Arial" w:eastAsia="Arial Unicode MS" w:hAnsi="Arial" w:cs="Arial"/>
          <w:i/>
          <w:sz w:val="22"/>
          <w:szCs w:val="22"/>
          <w:lang w:val="pt-BR"/>
        </w:rPr>
      </w:pPr>
    </w:p>
    <w:p>
      <w:pPr>
        <w:pStyle w:val="Corpodetexto2"/>
        <w:tabs>
          <w:tab w:val="left" w:pos="-4253"/>
          <w:tab w:val="left" w:pos="0"/>
        </w:tabs>
        <w:spacing w:line="340" w:lineRule="exact"/>
        <w:ind w:left="709"/>
        <w:rPr>
          <w:rFonts w:ascii="Arial" w:hAnsi="Arial" w:cs="Arial"/>
          <w:i/>
          <w:sz w:val="22"/>
          <w:szCs w:val="22"/>
          <w:lang w:val="pt-BR"/>
        </w:rPr>
      </w:pPr>
    </w:p>
    <w:p>
      <w:pPr>
        <w:pStyle w:val="Corpodetexto2"/>
        <w:tabs>
          <w:tab w:val="left" w:pos="-4253"/>
          <w:tab w:val="left" w:pos="0"/>
        </w:tabs>
        <w:spacing w:line="340" w:lineRule="exact"/>
        <w:ind w:left="709"/>
        <w:rPr>
          <w:rFonts w:ascii="Arial" w:hAnsi="Arial" w:cs="Arial"/>
          <w:i/>
          <w:sz w:val="22"/>
          <w:szCs w:val="22"/>
          <w:lang w:val="pt-BR"/>
        </w:rPr>
      </w:pPr>
      <w:r>
        <w:rPr>
          <w:rFonts w:ascii="Arial" w:hAnsi="Arial" w:cs="Arial"/>
          <w:b/>
          <w:i/>
          <w:sz w:val="22"/>
          <w:szCs w:val="22"/>
          <w:lang w:val="pt-BR"/>
        </w:rPr>
        <w:t>(s)</w:t>
      </w:r>
      <w:r>
        <w:rPr>
          <w:rFonts w:ascii="Arial" w:hAnsi="Arial" w:cs="Arial"/>
          <w:i/>
          <w:sz w:val="22"/>
          <w:szCs w:val="22"/>
          <w:lang w:val="pt-BR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pt-BR"/>
        </w:rPr>
        <w:t>Amortização Programada</w:t>
      </w:r>
      <w:r>
        <w:rPr>
          <w:rFonts w:ascii="Arial" w:hAnsi="Arial" w:cs="Arial"/>
          <w:i/>
          <w:sz w:val="22"/>
          <w:szCs w:val="22"/>
          <w:lang w:val="pt-BR"/>
        </w:rPr>
        <w:t>:</w:t>
      </w:r>
      <w:bookmarkStart w:id="10" w:name="_Ref452407484"/>
      <w:r>
        <w:rPr>
          <w:rFonts w:ascii="Arial" w:hAnsi="Arial" w:cs="Arial"/>
          <w:i/>
          <w:sz w:val="22"/>
          <w:szCs w:val="22"/>
          <w:lang w:val="pt-BR"/>
        </w:rPr>
        <w:t xml:space="preserve"> </w:t>
      </w:r>
      <w:r>
        <w:rPr>
          <w:rFonts w:ascii="Arial" w:hAnsi="Arial" w:cs="Arial"/>
          <w:bCs/>
          <w:i/>
          <w:sz w:val="22"/>
          <w:szCs w:val="22"/>
          <w:lang w:val="pt-BR"/>
        </w:rPr>
        <w:t xml:space="preserve">o </w:t>
      </w:r>
      <w:r>
        <w:rPr>
          <w:rFonts w:ascii="Arial" w:hAnsi="Arial" w:cs="Arial"/>
          <w:i/>
          <w:sz w:val="22"/>
          <w:szCs w:val="22"/>
        </w:rPr>
        <w:t xml:space="preserve">Valor Nominal Unitário ou </w:t>
      </w:r>
      <w:r>
        <w:rPr>
          <w:rFonts w:ascii="Arial" w:hAnsi="Arial" w:cs="Arial"/>
          <w:i/>
          <w:sz w:val="22"/>
          <w:szCs w:val="22"/>
          <w:lang w:val="pt-BR"/>
        </w:rPr>
        <w:t xml:space="preserve">o </w:t>
      </w:r>
      <w:r>
        <w:rPr>
          <w:rFonts w:ascii="Arial" w:hAnsi="Arial" w:cs="Arial"/>
          <w:bCs/>
          <w:i/>
          <w:sz w:val="22"/>
          <w:szCs w:val="22"/>
          <w:lang w:val="pt-BR"/>
        </w:rPr>
        <w:t>saldo do Valor Nominal Unitário será amortizado em quatro parcelas semanais nas seguintes datas (“</w:t>
      </w:r>
      <w:r>
        <w:rPr>
          <w:rFonts w:ascii="Arial" w:hAnsi="Arial" w:cs="Arial"/>
          <w:bCs/>
          <w:i/>
          <w:sz w:val="22"/>
          <w:szCs w:val="22"/>
          <w:u w:val="single"/>
          <w:lang w:val="pt-BR"/>
        </w:rPr>
        <w:t>Datas de Amortização</w:t>
      </w:r>
      <w:r>
        <w:rPr>
          <w:rFonts w:ascii="Arial" w:hAnsi="Arial" w:cs="Arial"/>
          <w:bCs/>
          <w:i/>
          <w:sz w:val="22"/>
          <w:szCs w:val="22"/>
          <w:lang w:val="pt-BR"/>
        </w:rPr>
        <w:t>”), ressalvados os pagamentos devidos em caso de Vencimento Antecipado (“</w:t>
      </w:r>
      <w:r>
        <w:rPr>
          <w:rFonts w:ascii="Arial" w:hAnsi="Arial" w:cs="Arial"/>
          <w:bCs/>
          <w:i/>
          <w:sz w:val="22"/>
          <w:szCs w:val="22"/>
          <w:u w:val="single"/>
          <w:lang w:val="pt-BR"/>
        </w:rPr>
        <w:t>Amortização Ordinária</w:t>
      </w:r>
      <w:r>
        <w:rPr>
          <w:rFonts w:ascii="Arial" w:hAnsi="Arial" w:cs="Arial"/>
          <w:bCs/>
          <w:i/>
          <w:sz w:val="22"/>
          <w:szCs w:val="22"/>
          <w:lang w:val="pt-BR"/>
        </w:rPr>
        <w:t>”)</w:t>
      </w:r>
      <w:bookmarkEnd w:id="10"/>
      <w:r>
        <w:rPr>
          <w:rFonts w:ascii="Arial" w:hAnsi="Arial" w:cs="Arial"/>
          <w:i/>
          <w:sz w:val="22"/>
          <w:szCs w:val="22"/>
          <w:lang w:val="pt-BR"/>
        </w:rPr>
        <w:t>:</w:t>
      </w:r>
    </w:p>
    <w:p>
      <w:pPr>
        <w:pStyle w:val="Corpodetexto2"/>
        <w:tabs>
          <w:tab w:val="left" w:pos="-4253"/>
          <w:tab w:val="left" w:pos="0"/>
        </w:tabs>
        <w:spacing w:line="340" w:lineRule="exact"/>
        <w:ind w:left="709"/>
        <w:rPr>
          <w:rFonts w:ascii="Arial" w:hAnsi="Arial" w:cs="Arial"/>
          <w:i/>
          <w:sz w:val="22"/>
          <w:szCs w:val="22"/>
          <w:lang w:val="pt-BR"/>
        </w:rPr>
      </w:pPr>
    </w:p>
    <w:tbl>
      <w:tblPr>
        <w:tblW w:w="6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3054"/>
      </w:tblGrid>
      <w:tr>
        <w:trPr>
          <w:tblHeader/>
          <w:jc w:val="center"/>
        </w:trPr>
        <w:tc>
          <w:tcPr>
            <w:tcW w:w="3054" w:type="dxa"/>
            <w:shd w:val="clear" w:color="auto" w:fill="BFBFBF" w:themeFill="background1" w:themeFillShade="BF"/>
            <w:noWrap/>
            <w:vAlign w:val="center"/>
          </w:tcPr>
          <w:p>
            <w:pPr>
              <w:spacing w:line="340" w:lineRule="exact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Data da Amortização</w:t>
            </w:r>
          </w:p>
        </w:tc>
        <w:tc>
          <w:tcPr>
            <w:tcW w:w="3054" w:type="dxa"/>
            <w:shd w:val="clear" w:color="auto" w:fill="BFBFBF" w:themeFill="background1" w:themeFillShade="BF"/>
            <w:vAlign w:val="center"/>
          </w:tcPr>
          <w:p>
            <w:pPr>
              <w:spacing w:line="340" w:lineRule="exact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 xml:space="preserve">Percentual do saldo Valor Nominal Unitário a </w:t>
            </w:r>
            <w:proofErr w:type="gramStart"/>
            <w:r>
              <w:rPr>
                <w:rFonts w:cs="Arial"/>
                <w:b/>
                <w:i/>
                <w:sz w:val="22"/>
                <w:szCs w:val="22"/>
              </w:rPr>
              <w:t>ser Amortizado</w:t>
            </w:r>
            <w:proofErr w:type="gramEnd"/>
          </w:p>
        </w:tc>
      </w:tr>
      <w:tr>
        <w:trPr>
          <w:jc w:val="center"/>
        </w:trPr>
        <w:tc>
          <w:tcPr>
            <w:tcW w:w="3054" w:type="dxa"/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bCs/>
                <w:i/>
                <w:sz w:val="22"/>
                <w:szCs w:val="22"/>
              </w:rPr>
              <w:t>[●]</w:t>
            </w:r>
          </w:p>
        </w:tc>
        <w:tc>
          <w:tcPr>
            <w:tcW w:w="3054" w:type="dxa"/>
            <w:vAlign w:val="center"/>
          </w:tcPr>
          <w:p>
            <w:pPr>
              <w:spacing w:line="340" w:lineRule="exact"/>
              <w:jc w:val="center"/>
              <w:rPr>
                <w:rFonts w:eastAsia="Arial Unicode MS" w:cs="Arial"/>
                <w:bCs/>
                <w:i/>
                <w:sz w:val="22"/>
                <w:szCs w:val="22"/>
              </w:rPr>
            </w:pPr>
            <w:r>
              <w:rPr>
                <w:rFonts w:eastAsia="Arial Unicode MS" w:cs="Arial"/>
                <w:bCs/>
                <w:i/>
                <w:sz w:val="22"/>
                <w:szCs w:val="22"/>
              </w:rPr>
              <w:t>25%</w:t>
            </w:r>
          </w:p>
        </w:tc>
      </w:tr>
      <w:tr>
        <w:trPr>
          <w:jc w:val="center"/>
        </w:trPr>
        <w:tc>
          <w:tcPr>
            <w:tcW w:w="3054" w:type="dxa"/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bCs/>
                <w:i/>
                <w:sz w:val="22"/>
                <w:szCs w:val="22"/>
              </w:rPr>
              <w:t>[●]</w:t>
            </w:r>
          </w:p>
        </w:tc>
        <w:tc>
          <w:tcPr>
            <w:tcW w:w="3054" w:type="dxa"/>
            <w:vAlign w:val="center"/>
          </w:tcPr>
          <w:p>
            <w:pPr>
              <w:spacing w:line="340" w:lineRule="exact"/>
              <w:jc w:val="center"/>
              <w:rPr>
                <w:rFonts w:eastAsia="Arial Unicode MS" w:cs="Arial"/>
                <w:bCs/>
                <w:i/>
                <w:sz w:val="22"/>
                <w:szCs w:val="22"/>
              </w:rPr>
            </w:pPr>
            <w:r>
              <w:rPr>
                <w:rFonts w:eastAsia="Arial Unicode MS" w:cs="Arial"/>
                <w:bCs/>
                <w:i/>
                <w:sz w:val="22"/>
                <w:szCs w:val="22"/>
              </w:rPr>
              <w:t>50%</w:t>
            </w:r>
          </w:p>
        </w:tc>
      </w:tr>
      <w:tr>
        <w:trPr>
          <w:jc w:val="center"/>
        </w:trPr>
        <w:tc>
          <w:tcPr>
            <w:tcW w:w="3054" w:type="dxa"/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bCs/>
                <w:i/>
                <w:sz w:val="22"/>
                <w:szCs w:val="22"/>
              </w:rPr>
              <w:t>[●]</w:t>
            </w:r>
          </w:p>
        </w:tc>
        <w:tc>
          <w:tcPr>
            <w:tcW w:w="3054" w:type="dxa"/>
            <w:vAlign w:val="center"/>
          </w:tcPr>
          <w:p>
            <w:pPr>
              <w:spacing w:line="340" w:lineRule="exact"/>
              <w:jc w:val="center"/>
              <w:rPr>
                <w:rFonts w:eastAsia="Arial Unicode MS" w:cs="Arial"/>
                <w:bCs/>
                <w:i/>
                <w:sz w:val="22"/>
                <w:szCs w:val="22"/>
              </w:rPr>
            </w:pPr>
            <w:r>
              <w:rPr>
                <w:rFonts w:eastAsia="Arial Unicode MS" w:cs="Arial"/>
                <w:bCs/>
                <w:i/>
                <w:sz w:val="22"/>
                <w:szCs w:val="22"/>
              </w:rPr>
              <w:t>75%</w:t>
            </w:r>
          </w:p>
        </w:tc>
      </w:tr>
      <w:tr>
        <w:trPr>
          <w:jc w:val="center"/>
        </w:trPr>
        <w:tc>
          <w:tcPr>
            <w:tcW w:w="3054" w:type="dxa"/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Data de Vencimento</w:t>
            </w:r>
          </w:p>
        </w:tc>
        <w:tc>
          <w:tcPr>
            <w:tcW w:w="3054" w:type="dxa"/>
            <w:vAlign w:val="center"/>
          </w:tcPr>
          <w:p>
            <w:pPr>
              <w:spacing w:line="340" w:lineRule="exact"/>
              <w:jc w:val="center"/>
              <w:rPr>
                <w:rFonts w:eastAsia="Arial Unicode MS" w:cs="Arial"/>
                <w:bCs/>
                <w:i/>
                <w:sz w:val="22"/>
                <w:szCs w:val="22"/>
              </w:rPr>
            </w:pPr>
            <w:r>
              <w:rPr>
                <w:rFonts w:eastAsia="Arial Unicode MS" w:cs="Arial"/>
                <w:bCs/>
                <w:i/>
                <w:sz w:val="22"/>
                <w:szCs w:val="22"/>
              </w:rPr>
              <w:t>100%</w:t>
            </w:r>
          </w:p>
        </w:tc>
      </w:tr>
    </w:tbl>
    <w:p>
      <w:pPr>
        <w:pStyle w:val="Corpodetexto2"/>
        <w:tabs>
          <w:tab w:val="left" w:pos="-4253"/>
          <w:tab w:val="left" w:pos="0"/>
        </w:tabs>
        <w:spacing w:line="340" w:lineRule="exact"/>
        <w:ind w:left="709"/>
        <w:rPr>
          <w:rFonts w:ascii="Arial" w:hAnsi="Arial" w:cs="Arial"/>
          <w:sz w:val="22"/>
          <w:szCs w:val="22"/>
          <w:lang w:val="pt-BR"/>
        </w:rPr>
      </w:pPr>
    </w:p>
    <w:p>
      <w:pPr>
        <w:pStyle w:val="Corpodetexto2"/>
        <w:tabs>
          <w:tab w:val="left" w:pos="-4253"/>
          <w:tab w:val="left" w:pos="0"/>
        </w:tabs>
        <w:spacing w:line="340" w:lineRule="exact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(II)</w:t>
      </w:r>
      <w:r>
        <w:rPr>
          <w:rFonts w:ascii="Arial" w:hAnsi="Arial" w:cs="Arial"/>
          <w:sz w:val="22"/>
          <w:szCs w:val="22"/>
          <w:lang w:val="pt-BR"/>
        </w:rPr>
        <w:tab/>
        <w:t>aprovar a alteração da remuneração das Debêntures, por meio da alteração da deliberação constante do item (</w:t>
      </w:r>
      <w:proofErr w:type="gramStart"/>
      <w:r>
        <w:rPr>
          <w:rFonts w:ascii="Arial" w:hAnsi="Arial" w:cs="Arial"/>
          <w:sz w:val="22"/>
          <w:szCs w:val="22"/>
          <w:lang w:val="pt-BR"/>
        </w:rPr>
        <w:t>I)(</w:t>
      </w:r>
      <w:proofErr w:type="gramEnd"/>
      <w:r>
        <w:rPr>
          <w:rFonts w:ascii="Arial" w:hAnsi="Arial" w:cs="Arial"/>
          <w:sz w:val="22"/>
          <w:szCs w:val="22"/>
          <w:lang w:val="pt-BR"/>
        </w:rPr>
        <w:t xml:space="preserve">q) da AGE da Emissão, que passará a ter a seguinte redação: </w:t>
      </w:r>
    </w:p>
    <w:p>
      <w:pPr>
        <w:pStyle w:val="Corpodetexto2"/>
        <w:tabs>
          <w:tab w:val="left" w:pos="-4253"/>
          <w:tab w:val="left" w:pos="0"/>
        </w:tabs>
        <w:spacing w:line="340" w:lineRule="exact"/>
        <w:rPr>
          <w:rFonts w:ascii="Arial" w:eastAsia="Arial Unicode MS" w:hAnsi="Arial" w:cs="Arial"/>
          <w:b/>
          <w:sz w:val="22"/>
          <w:szCs w:val="22"/>
          <w:lang w:val="pt-BR"/>
        </w:rPr>
      </w:pPr>
      <w:r>
        <w:rPr>
          <w:rFonts w:ascii="Arial" w:eastAsia="Arial Unicode MS" w:hAnsi="Arial" w:cs="Arial"/>
          <w:b/>
          <w:i/>
          <w:sz w:val="22"/>
          <w:szCs w:val="22"/>
          <w:lang w:val="pt-BR"/>
        </w:rPr>
        <w:t xml:space="preserve"> </w:t>
      </w:r>
      <w:bookmarkStart w:id="11" w:name="_DV_M18"/>
      <w:bookmarkStart w:id="12" w:name="_Ref264560361"/>
      <w:bookmarkEnd w:id="1"/>
      <w:bookmarkEnd w:id="2"/>
      <w:bookmarkEnd w:id="3"/>
      <w:bookmarkEnd w:id="4"/>
      <w:bookmarkEnd w:id="11"/>
    </w:p>
    <w:p>
      <w:pPr>
        <w:pStyle w:val="Corpodetexto2"/>
        <w:tabs>
          <w:tab w:val="left" w:pos="-4253"/>
          <w:tab w:val="left" w:pos="0"/>
        </w:tabs>
        <w:spacing w:line="340" w:lineRule="exact"/>
        <w:ind w:left="709"/>
        <w:rPr>
          <w:rFonts w:ascii="Arial" w:hAnsi="Arial" w:cs="Arial"/>
          <w:i/>
          <w:sz w:val="22"/>
          <w:szCs w:val="22"/>
          <w:lang w:val="pt-BR"/>
        </w:rPr>
      </w:pPr>
      <w:bookmarkStart w:id="13" w:name="_Ref279314174"/>
      <w:bookmarkStart w:id="14" w:name="_Ref285570716"/>
      <w:bookmarkEnd w:id="5"/>
      <w:bookmarkEnd w:id="6"/>
      <w:bookmarkEnd w:id="7"/>
      <w:bookmarkEnd w:id="8"/>
      <w:bookmarkEnd w:id="12"/>
      <w:r>
        <w:rPr>
          <w:rFonts w:ascii="Arial" w:eastAsia="Arial Unicode MS" w:hAnsi="Arial" w:cs="Arial"/>
          <w:b/>
          <w:i/>
          <w:sz w:val="22"/>
          <w:szCs w:val="22"/>
          <w:lang w:val="pt-BR"/>
        </w:rPr>
        <w:lastRenderedPageBreak/>
        <w:t>(q) </w:t>
      </w:r>
      <w:r>
        <w:rPr>
          <w:rFonts w:ascii="Arial" w:hAnsi="Arial" w:cs="Arial"/>
          <w:b/>
          <w:i/>
          <w:sz w:val="22"/>
          <w:szCs w:val="22"/>
          <w:lang w:val="pt-BR"/>
        </w:rPr>
        <w:t>Remuneração</w:t>
      </w:r>
      <w:bookmarkStart w:id="15" w:name="_Ref452405055"/>
      <w:r>
        <w:rPr>
          <w:rFonts w:ascii="Arial" w:hAnsi="Arial" w:cs="Arial"/>
          <w:i/>
          <w:sz w:val="22"/>
          <w:szCs w:val="22"/>
          <w:lang w:val="pt-BR"/>
        </w:rPr>
        <w:t>: s</w:t>
      </w:r>
      <w:r>
        <w:rPr>
          <w:rFonts w:ascii="Arial" w:eastAsia="Arial Unicode MS" w:hAnsi="Arial" w:cs="Arial"/>
          <w:bCs/>
          <w:i/>
          <w:sz w:val="22"/>
          <w:szCs w:val="22"/>
        </w:rPr>
        <w:t xml:space="preserve">obre o Valor Nominal Unitário ou saldo do Valor Nominal Unitário, conforme o caso, </w:t>
      </w:r>
      <w:bookmarkStart w:id="16" w:name="_Ref137107209"/>
      <w:r>
        <w:rPr>
          <w:rFonts w:ascii="Arial" w:eastAsia="Arial Unicode MS" w:hAnsi="Arial" w:cs="Arial"/>
          <w:bCs/>
          <w:i/>
          <w:sz w:val="22"/>
          <w:szCs w:val="22"/>
        </w:rPr>
        <w:t xml:space="preserve">incidirão juros remuneratórios correspondentes a um percentual da variação acumulada das taxas médias diárias dos DI – Depósitos Interfinanceiros de um dia, "over </w:t>
      </w:r>
      <w:proofErr w:type="spellStart"/>
      <w:r>
        <w:rPr>
          <w:rFonts w:ascii="Arial" w:eastAsia="Arial Unicode MS" w:hAnsi="Arial" w:cs="Arial"/>
          <w:bCs/>
          <w:i/>
          <w:sz w:val="22"/>
          <w:szCs w:val="22"/>
        </w:rPr>
        <w:t>extra-grupo</w:t>
      </w:r>
      <w:proofErr w:type="spellEnd"/>
      <w:r>
        <w:rPr>
          <w:rFonts w:ascii="Arial" w:eastAsia="Arial Unicode MS" w:hAnsi="Arial" w:cs="Arial"/>
          <w:bCs/>
          <w:i/>
          <w:sz w:val="22"/>
          <w:szCs w:val="22"/>
        </w:rPr>
        <w:t>", expressas na forma percentual ao ano, base 252 (duzentos e cinquenta e dois) Dias Úteis, calculadas e divulgadas diariamente pela B3, no informativo diário disponível em sua página na rede mundial de computadores (http://www.b3.com.br) (“</w:t>
      </w:r>
      <w:r>
        <w:rPr>
          <w:rFonts w:ascii="Arial" w:eastAsia="Arial Unicode MS" w:hAnsi="Arial" w:cs="Arial"/>
          <w:bCs/>
          <w:i/>
          <w:sz w:val="22"/>
          <w:szCs w:val="22"/>
          <w:u w:val="single"/>
        </w:rPr>
        <w:t>Percentual DI</w:t>
      </w:r>
      <w:r>
        <w:rPr>
          <w:rFonts w:ascii="Arial" w:eastAsia="Arial Unicode MS" w:hAnsi="Arial" w:cs="Arial"/>
          <w:bCs/>
          <w:i/>
          <w:sz w:val="22"/>
          <w:szCs w:val="22"/>
        </w:rPr>
        <w:t>” e “</w:t>
      </w:r>
      <w:r>
        <w:rPr>
          <w:rFonts w:ascii="Arial" w:eastAsia="Arial Unicode MS" w:hAnsi="Arial" w:cs="Arial"/>
          <w:bCs/>
          <w:i/>
          <w:sz w:val="22"/>
          <w:szCs w:val="22"/>
          <w:u w:val="single"/>
        </w:rPr>
        <w:t>Taxa DI</w:t>
      </w:r>
      <w:r>
        <w:rPr>
          <w:rFonts w:ascii="Arial" w:eastAsia="Arial Unicode MS" w:hAnsi="Arial" w:cs="Arial"/>
          <w:bCs/>
          <w:i/>
          <w:sz w:val="22"/>
          <w:szCs w:val="22"/>
        </w:rPr>
        <w:t>”, respectivamente), sendo que (i) até a</w:t>
      </w:r>
      <w:r>
        <w:rPr>
          <w:rFonts w:ascii="Arial" w:hAnsi="Arial" w:cs="Arial"/>
          <w:bCs/>
          <w:i/>
          <w:sz w:val="22"/>
          <w:szCs w:val="22"/>
        </w:rPr>
        <w:t xml:space="preserve"> segunda Data de Pagamento da Remuneração (i.e., 11 de julho de 2019, exclusive)</w:t>
      </w:r>
      <w:r>
        <w:rPr>
          <w:rFonts w:ascii="Arial" w:eastAsia="Arial Unicode MS" w:hAnsi="Arial" w:cs="Arial"/>
          <w:bCs/>
          <w:i/>
          <w:sz w:val="22"/>
          <w:szCs w:val="22"/>
        </w:rPr>
        <w:t xml:space="preserve">, o Percentual DI corresponderá a </w:t>
      </w:r>
      <w:r>
        <w:rPr>
          <w:rFonts w:ascii="Arial" w:eastAsia="Arial Unicode MS" w:hAnsi="Arial" w:cs="Arial"/>
          <w:bCs/>
          <w:i/>
          <w:sz w:val="22"/>
          <w:szCs w:val="22"/>
          <w:lang w:val="pt-BR"/>
        </w:rPr>
        <w:t>[</w:t>
      </w:r>
      <w:r>
        <w:rPr>
          <w:rFonts w:ascii="Arial" w:eastAsia="Arial Unicode MS" w:hAnsi="Arial" w:cs="Arial"/>
          <w:bCs/>
          <w:i/>
          <w:sz w:val="22"/>
          <w:szCs w:val="22"/>
          <w:highlight w:val="yellow"/>
        </w:rPr>
        <w:t>100,0100% (cem inteiros e um centésimo por cento); e (</w:t>
      </w:r>
      <w:proofErr w:type="spellStart"/>
      <w:r>
        <w:rPr>
          <w:rFonts w:ascii="Arial" w:eastAsia="Arial Unicode MS" w:hAnsi="Arial" w:cs="Arial"/>
          <w:bCs/>
          <w:i/>
          <w:sz w:val="22"/>
          <w:szCs w:val="22"/>
          <w:highlight w:val="yellow"/>
        </w:rPr>
        <w:t>ii</w:t>
      </w:r>
      <w:proofErr w:type="spellEnd"/>
      <w:r>
        <w:rPr>
          <w:rFonts w:ascii="Arial" w:eastAsia="Arial Unicode MS" w:hAnsi="Arial" w:cs="Arial"/>
          <w:bCs/>
          <w:i/>
          <w:sz w:val="22"/>
          <w:szCs w:val="22"/>
          <w:highlight w:val="yellow"/>
        </w:rPr>
        <w:t>) a</w:t>
      </w:r>
      <w:r>
        <w:rPr>
          <w:rFonts w:ascii="Arial" w:hAnsi="Arial" w:cs="Arial"/>
          <w:bCs/>
          <w:i/>
          <w:sz w:val="22"/>
          <w:szCs w:val="22"/>
          <w:highlight w:val="yellow"/>
        </w:rPr>
        <w:t xml:space="preserve"> partir da segunda Data de Pagamento da Remuneração (i.e., 11 de julho de 2019, inclusive)</w:t>
      </w:r>
      <w:r>
        <w:rPr>
          <w:rFonts w:ascii="Arial" w:eastAsia="Arial Unicode MS" w:hAnsi="Arial" w:cs="Arial"/>
          <w:bCs/>
          <w:i/>
          <w:sz w:val="22"/>
          <w:szCs w:val="22"/>
          <w:highlight w:val="yellow"/>
        </w:rPr>
        <w:t>, o Percentual DI corresponderá a 100,</w:t>
      </w:r>
      <w:r>
        <w:rPr>
          <w:rFonts w:ascii="Arial" w:eastAsia="Arial Unicode MS" w:hAnsi="Arial" w:cs="Arial"/>
          <w:bCs/>
          <w:i/>
          <w:sz w:val="22"/>
          <w:szCs w:val="22"/>
          <w:highlight w:val="yellow"/>
          <w:lang w:val="pt-BR"/>
        </w:rPr>
        <w:t>16</w:t>
      </w:r>
      <w:r>
        <w:rPr>
          <w:rFonts w:ascii="Arial" w:eastAsia="Arial Unicode MS" w:hAnsi="Arial" w:cs="Arial"/>
          <w:bCs/>
          <w:i/>
          <w:sz w:val="22"/>
          <w:szCs w:val="22"/>
          <w:highlight w:val="yellow"/>
        </w:rPr>
        <w:t xml:space="preserve">00% (cem inteiros e </w:t>
      </w:r>
      <w:r>
        <w:rPr>
          <w:rFonts w:ascii="Arial" w:eastAsia="Arial Unicode MS" w:hAnsi="Arial" w:cs="Arial"/>
          <w:bCs/>
          <w:i/>
          <w:sz w:val="22"/>
          <w:szCs w:val="22"/>
          <w:highlight w:val="yellow"/>
          <w:lang w:val="pt-BR"/>
        </w:rPr>
        <w:t xml:space="preserve">dezesseis </w:t>
      </w:r>
      <w:r>
        <w:rPr>
          <w:rFonts w:ascii="Arial" w:eastAsia="Arial Unicode MS" w:hAnsi="Arial" w:cs="Arial"/>
          <w:bCs/>
          <w:i/>
          <w:sz w:val="22"/>
          <w:szCs w:val="22"/>
          <w:highlight w:val="yellow"/>
        </w:rPr>
        <w:t>centésimos por cento)</w:t>
      </w:r>
      <w:r>
        <w:rPr>
          <w:rFonts w:ascii="Arial" w:eastAsia="Arial Unicode MS" w:hAnsi="Arial" w:cs="Arial"/>
          <w:bCs/>
          <w:i/>
          <w:sz w:val="22"/>
          <w:szCs w:val="22"/>
          <w:lang w:val="pt-BR"/>
        </w:rPr>
        <w:t>]</w:t>
      </w:r>
      <w:r>
        <w:rPr>
          <w:rFonts w:ascii="Arial" w:eastAsia="Arial Unicode MS" w:hAnsi="Arial" w:cs="Arial"/>
          <w:i/>
          <w:sz w:val="22"/>
          <w:szCs w:val="22"/>
        </w:rPr>
        <w:t xml:space="preserve"> </w:t>
      </w:r>
      <w:r>
        <w:rPr>
          <w:rFonts w:ascii="Arial" w:eastAsia="Arial Unicode MS" w:hAnsi="Arial" w:cs="Arial"/>
          <w:bCs/>
          <w:i/>
          <w:sz w:val="22"/>
          <w:szCs w:val="22"/>
        </w:rPr>
        <w:t>(“</w:t>
      </w:r>
      <w:r>
        <w:rPr>
          <w:rFonts w:ascii="Arial" w:eastAsia="Arial Unicode MS" w:hAnsi="Arial" w:cs="Arial"/>
          <w:bCs/>
          <w:i/>
          <w:sz w:val="22"/>
          <w:szCs w:val="22"/>
          <w:u w:val="single"/>
        </w:rPr>
        <w:t>Remuneração</w:t>
      </w:r>
      <w:r>
        <w:rPr>
          <w:rFonts w:ascii="Arial" w:eastAsia="Arial Unicode MS" w:hAnsi="Arial" w:cs="Arial"/>
          <w:bCs/>
          <w:i/>
          <w:sz w:val="22"/>
          <w:szCs w:val="22"/>
        </w:rPr>
        <w:t xml:space="preserve">”), calculados de forma exponencial e cumulativa pro rata </w:t>
      </w:r>
      <w:proofErr w:type="spellStart"/>
      <w:r>
        <w:rPr>
          <w:rFonts w:ascii="Arial" w:eastAsia="Arial Unicode MS" w:hAnsi="Arial" w:cs="Arial"/>
          <w:bCs/>
          <w:i/>
          <w:sz w:val="22"/>
          <w:szCs w:val="22"/>
        </w:rPr>
        <w:t>temporis</w:t>
      </w:r>
      <w:proofErr w:type="spellEnd"/>
      <w:r>
        <w:rPr>
          <w:rFonts w:ascii="Arial" w:eastAsia="Arial Unicode MS" w:hAnsi="Arial" w:cs="Arial"/>
          <w:bCs/>
          <w:i/>
          <w:sz w:val="22"/>
          <w:szCs w:val="22"/>
        </w:rPr>
        <w:t xml:space="preserve"> por Dias Úteis decorridos, desde a Primeira Data de Subscrição ou Data de Pagamento da Remuneração imediatamente anterior, conforme o caso, inclusive, até a Data </w:t>
      </w:r>
      <w:bookmarkEnd w:id="16"/>
      <w:r>
        <w:rPr>
          <w:rFonts w:ascii="Arial" w:eastAsia="Arial Unicode MS" w:hAnsi="Arial" w:cs="Arial"/>
          <w:bCs/>
          <w:i/>
          <w:sz w:val="22"/>
          <w:szCs w:val="22"/>
        </w:rPr>
        <w:t>de Pagamento da Remuneração subsequente, exclusive, sendo a última devida na Data de Vencimento</w:t>
      </w:r>
      <w:r>
        <w:rPr>
          <w:rFonts w:ascii="Arial" w:hAnsi="Arial" w:cs="Arial"/>
          <w:i/>
          <w:sz w:val="22"/>
          <w:szCs w:val="22"/>
          <w:lang w:val="pt-BR"/>
        </w:rPr>
        <w:t xml:space="preserve">. A </w:t>
      </w:r>
      <w:r>
        <w:rPr>
          <w:rFonts w:ascii="Arial" w:eastAsia="Arial Unicode MS" w:hAnsi="Arial" w:cs="Arial"/>
          <w:i/>
          <w:sz w:val="22"/>
          <w:szCs w:val="22"/>
          <w:lang w:val="pt-BR"/>
        </w:rPr>
        <w:t>Remuneração deverá ser calculada de acordo com a fórmula</w:t>
      </w:r>
      <w:r>
        <w:rPr>
          <w:rFonts w:ascii="Arial" w:hAnsi="Arial" w:cs="Arial"/>
          <w:i/>
          <w:sz w:val="22"/>
          <w:szCs w:val="22"/>
          <w:lang w:val="pt-BR"/>
        </w:rPr>
        <w:t xml:space="preserve"> estabelecida na Escritura</w:t>
      </w:r>
      <w:bookmarkEnd w:id="15"/>
      <w:r>
        <w:rPr>
          <w:rFonts w:ascii="Arial" w:hAnsi="Arial" w:cs="Arial"/>
          <w:i/>
          <w:sz w:val="22"/>
          <w:szCs w:val="22"/>
          <w:lang w:val="pt-BR"/>
        </w:rPr>
        <w:t xml:space="preserve">; </w:t>
      </w:r>
      <w:r>
        <w:rPr>
          <w:rFonts w:ascii="Arial" w:eastAsia="Arial Unicode MS" w:hAnsi="Arial" w:cs="Arial"/>
          <w:bCs/>
          <w:i/>
          <w:sz w:val="22"/>
          <w:szCs w:val="22"/>
        </w:rPr>
        <w:t>[</w:t>
      </w:r>
      <w:r>
        <w:rPr>
          <w:rFonts w:ascii="Arial" w:eastAsia="Arial Unicode MS" w:hAnsi="Arial" w:cs="Arial"/>
          <w:bCs/>
          <w:i/>
          <w:sz w:val="22"/>
          <w:szCs w:val="22"/>
          <w:highlight w:val="yellow"/>
        </w:rPr>
        <w:t>Nota PNA</w:t>
      </w:r>
      <w:r>
        <w:rPr>
          <w:rFonts w:ascii="Arial" w:eastAsia="Arial Unicode MS" w:hAnsi="Arial" w:cs="Arial"/>
          <w:b/>
          <w:bCs/>
          <w:i/>
          <w:sz w:val="22"/>
          <w:szCs w:val="22"/>
          <w:highlight w:val="yellow"/>
        </w:rPr>
        <w:t>: A ser alterado conforme nova taxa de remuneração e datas de pagamento</w:t>
      </w:r>
      <w:r>
        <w:rPr>
          <w:rFonts w:ascii="Arial" w:eastAsia="Arial Unicode MS" w:hAnsi="Arial" w:cs="Arial"/>
          <w:bCs/>
          <w:i/>
          <w:sz w:val="22"/>
          <w:szCs w:val="22"/>
        </w:rPr>
        <w:t>]</w:t>
      </w:r>
    </w:p>
    <w:p>
      <w:pPr>
        <w:pStyle w:val="Body4"/>
        <w:spacing w:after="0" w:line="340" w:lineRule="exact"/>
        <w:ind w:left="0"/>
        <w:rPr>
          <w:rFonts w:cs="Arial"/>
          <w:b/>
          <w:sz w:val="22"/>
          <w:szCs w:val="22"/>
        </w:rPr>
      </w:pPr>
    </w:p>
    <w:p>
      <w:pPr>
        <w:pStyle w:val="Body4"/>
        <w:spacing w:after="0" w:line="340" w:lineRule="exact"/>
        <w:ind w:left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(III) </w:t>
      </w:r>
      <w:r>
        <w:rPr>
          <w:rFonts w:cs="Arial"/>
          <w:sz w:val="22"/>
          <w:szCs w:val="22"/>
        </w:rPr>
        <w:t>aprovar a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ratificação das demais disposições constantes da AGE da Emissão, na AGE de </w:t>
      </w:r>
      <w:proofErr w:type="spellStart"/>
      <w:r>
        <w:rPr>
          <w:rFonts w:cs="Arial"/>
          <w:sz w:val="22"/>
          <w:szCs w:val="22"/>
        </w:rPr>
        <w:t>Re-ratificação</w:t>
      </w:r>
      <w:proofErr w:type="spellEnd"/>
      <w:r>
        <w:rPr>
          <w:rFonts w:cs="Arial"/>
          <w:sz w:val="22"/>
          <w:szCs w:val="22"/>
        </w:rPr>
        <w:t xml:space="preserve"> de 2018 e na AGE de </w:t>
      </w:r>
      <w:proofErr w:type="spellStart"/>
      <w:r>
        <w:rPr>
          <w:rFonts w:cs="Arial"/>
          <w:sz w:val="22"/>
          <w:szCs w:val="22"/>
        </w:rPr>
        <w:t>Re-ratificação</w:t>
      </w:r>
      <w:proofErr w:type="spellEnd"/>
      <w:r>
        <w:rPr>
          <w:rFonts w:cs="Arial"/>
          <w:sz w:val="22"/>
          <w:szCs w:val="22"/>
        </w:rPr>
        <w:t xml:space="preserve"> de 2019;</w:t>
      </w:r>
    </w:p>
    <w:p>
      <w:pPr>
        <w:pStyle w:val="Body4"/>
        <w:spacing w:after="0" w:line="340" w:lineRule="exact"/>
        <w:ind w:left="0"/>
        <w:rPr>
          <w:rFonts w:cs="Arial"/>
          <w:b/>
          <w:sz w:val="22"/>
          <w:szCs w:val="22"/>
        </w:rPr>
      </w:pPr>
    </w:p>
    <w:p>
      <w:pPr>
        <w:pStyle w:val="Body4"/>
        <w:spacing w:after="0" w:line="340" w:lineRule="exact"/>
        <w:ind w:left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(IV)</w:t>
      </w:r>
      <w:r>
        <w:rPr>
          <w:rFonts w:cs="Arial"/>
          <w:b/>
          <w:sz w:val="22"/>
          <w:szCs w:val="22"/>
        </w:rPr>
        <w:tab/>
      </w:r>
      <w:bookmarkEnd w:id="13"/>
      <w:bookmarkEnd w:id="14"/>
      <w:r>
        <w:rPr>
          <w:rFonts w:cs="Arial"/>
          <w:sz w:val="22"/>
          <w:szCs w:val="22"/>
        </w:rPr>
        <w:t>autorizar a Diretoria da Companhia para praticar todos os atos e assinar todos os documentos necessários à realização das deliberações acima, incluindo, mas não se limitando, a celebração de aditamento à escritura de emissão das Debêntures e dos respectivos contratos de garantia e de cessão de recebíveis no âmbito da Emissão, sendo certo que as deliberações tomadas nos itens (I) a (III) desta assembleia têm sua eficácia condicionada à aprovação dos titulares das Debêntures, reunidos em Assembleia Geral de Debenturistas; e</w:t>
      </w:r>
    </w:p>
    <w:p>
      <w:pPr>
        <w:pStyle w:val="Body4"/>
        <w:spacing w:after="0" w:line="340" w:lineRule="exact"/>
        <w:ind w:left="0"/>
        <w:rPr>
          <w:rFonts w:cs="Arial"/>
          <w:sz w:val="22"/>
          <w:szCs w:val="22"/>
        </w:rPr>
      </w:pPr>
    </w:p>
    <w:p>
      <w:pPr>
        <w:pStyle w:val="Body4"/>
        <w:spacing w:after="0" w:line="340" w:lineRule="exact"/>
        <w:ind w:left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(V)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>autorizar a publicação desta ata na forma prevista no §1°, do artigo 130, da Lei das Sociedades por Ações no periódico aprovado nesta Assembleia e no Diário Oficial do Estado de São Paulo.</w:t>
      </w:r>
    </w:p>
    <w:p>
      <w:pPr>
        <w:pStyle w:val="Body4"/>
        <w:spacing w:after="0" w:line="340" w:lineRule="exact"/>
        <w:ind w:left="0"/>
        <w:rPr>
          <w:rFonts w:cs="Arial"/>
          <w:sz w:val="22"/>
          <w:szCs w:val="22"/>
        </w:rPr>
      </w:pPr>
    </w:p>
    <w:p>
      <w:pPr>
        <w:pStyle w:val="Level1"/>
        <w:numPr>
          <w:ilvl w:val="0"/>
          <w:numId w:val="0"/>
        </w:numPr>
        <w:spacing w:after="0" w:line="340" w:lineRule="exact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6.</w:t>
      </w:r>
      <w:r>
        <w:rPr>
          <w:rFonts w:cs="Arial"/>
          <w:b/>
          <w:bCs/>
          <w:sz w:val="22"/>
          <w:szCs w:val="22"/>
        </w:rPr>
        <w:tab/>
        <w:t>ENCERRAMENTO</w:t>
      </w:r>
      <w:r>
        <w:rPr>
          <w:rFonts w:cs="Arial"/>
          <w:bCs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Nada mais havendo a tratar, a sessão foi suspensa para lavratura da presente ata, que foi lida, aprovada por acionistas titulares da totalidade das ações representativas do capital social da Companhia. </w:t>
      </w:r>
    </w:p>
    <w:p>
      <w:pPr>
        <w:pStyle w:val="Level1"/>
        <w:numPr>
          <w:ilvl w:val="0"/>
          <w:numId w:val="0"/>
        </w:numPr>
        <w:spacing w:after="0" w:line="340" w:lineRule="exact"/>
        <w:rPr>
          <w:rFonts w:cs="Arial"/>
          <w:b/>
          <w:sz w:val="22"/>
          <w:szCs w:val="22"/>
        </w:rPr>
      </w:pPr>
    </w:p>
    <w:p>
      <w:pPr>
        <w:pStyle w:val="Level1"/>
        <w:numPr>
          <w:ilvl w:val="0"/>
          <w:numId w:val="0"/>
        </w:numPr>
        <w:spacing w:after="0" w:line="340" w:lineRule="exact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7.</w:t>
      </w:r>
      <w:r>
        <w:rPr>
          <w:rFonts w:cs="Arial"/>
          <w:b/>
          <w:sz w:val="22"/>
          <w:szCs w:val="22"/>
        </w:rPr>
        <w:tab/>
        <w:t xml:space="preserve">ASSINATURAS: </w:t>
      </w:r>
      <w:r>
        <w:rPr>
          <w:rFonts w:cs="Arial"/>
          <w:sz w:val="22"/>
          <w:szCs w:val="22"/>
        </w:rPr>
        <w:t xml:space="preserve">[Antonio Amaro] (Presidente); [Ricardo Lucas Dara da Silva] (Secretário); </w:t>
      </w:r>
      <w:r>
        <w:rPr>
          <w:rFonts w:cs="Arial"/>
          <w:b/>
          <w:sz w:val="22"/>
          <w:szCs w:val="22"/>
        </w:rPr>
        <w:t>Acionista Presente:</w:t>
      </w:r>
      <w:r>
        <w:rPr>
          <w:rFonts w:cs="Arial"/>
          <w:sz w:val="22"/>
          <w:szCs w:val="22"/>
        </w:rPr>
        <w:t xml:space="preserve"> Holding Trust S.A., neste ato representada por [Antonio Amaro Ribeiro de Oliveira e Silva e Ricardo Lucas Dara da Silva]. [</w:t>
      </w:r>
      <w:r>
        <w:rPr>
          <w:rFonts w:cs="Arial"/>
          <w:b/>
          <w:sz w:val="22"/>
          <w:szCs w:val="22"/>
          <w:highlight w:val="yellow"/>
        </w:rPr>
        <w:t>Nota PNA</w:t>
      </w:r>
      <w:r>
        <w:rPr>
          <w:rFonts w:cs="Arial"/>
          <w:sz w:val="22"/>
          <w:szCs w:val="22"/>
          <w:highlight w:val="yellow"/>
        </w:rPr>
        <w:t>: Companhia, favor confirmar</w:t>
      </w:r>
      <w:r>
        <w:rPr>
          <w:rFonts w:cs="Arial"/>
          <w:sz w:val="22"/>
          <w:szCs w:val="22"/>
        </w:rPr>
        <w:t>]</w:t>
      </w:r>
    </w:p>
    <w:p>
      <w:pPr>
        <w:pStyle w:val="Level1"/>
        <w:numPr>
          <w:ilvl w:val="0"/>
          <w:numId w:val="0"/>
        </w:numPr>
        <w:spacing w:after="0" w:line="340" w:lineRule="exact"/>
        <w:rPr>
          <w:rFonts w:cs="Arial"/>
          <w:sz w:val="22"/>
          <w:szCs w:val="22"/>
        </w:rPr>
      </w:pPr>
    </w:p>
    <w:p>
      <w:pPr>
        <w:pStyle w:val="Level1"/>
        <w:numPr>
          <w:ilvl w:val="0"/>
          <w:numId w:val="0"/>
        </w:numPr>
        <w:spacing w:after="0" w:line="340" w:lineRule="exact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Confere com o original lavrado em livro próprio.</w:t>
      </w:r>
    </w:p>
    <w:p>
      <w:pPr>
        <w:pStyle w:val="Level1"/>
        <w:numPr>
          <w:ilvl w:val="0"/>
          <w:numId w:val="0"/>
        </w:numPr>
        <w:spacing w:after="0" w:line="340" w:lineRule="exact"/>
        <w:rPr>
          <w:rFonts w:cs="Arial"/>
          <w:sz w:val="22"/>
          <w:szCs w:val="22"/>
        </w:rPr>
      </w:pPr>
    </w:p>
    <w:p>
      <w:pPr>
        <w:pStyle w:val="Body"/>
        <w:spacing w:after="0" w:line="340" w:lineRule="exact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São Paulo, SP, [●] de setembro de 2021.</w:t>
      </w:r>
    </w:p>
    <w:p>
      <w:pPr>
        <w:spacing w:line="340" w:lineRule="exact"/>
        <w:rPr>
          <w:rFonts w:cs="Arial"/>
          <w:sz w:val="22"/>
          <w:szCs w:val="22"/>
        </w:rPr>
      </w:pPr>
    </w:p>
    <w:p>
      <w:pPr>
        <w:spacing w:line="340" w:lineRule="exac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Mesa:</w:t>
      </w:r>
    </w:p>
    <w:p>
      <w:pPr>
        <w:spacing w:line="340" w:lineRule="exact"/>
        <w:rPr>
          <w:rFonts w:cs="Arial"/>
          <w:sz w:val="22"/>
          <w:szCs w:val="22"/>
        </w:rPr>
      </w:pPr>
    </w:p>
    <w:p>
      <w:pPr>
        <w:pStyle w:val="Body"/>
        <w:spacing w:after="0" w:line="340" w:lineRule="exact"/>
        <w:jc w:val="center"/>
        <w:rPr>
          <w:rFonts w:cs="Arial"/>
          <w:sz w:val="22"/>
          <w:szCs w:val="22"/>
        </w:rPr>
      </w:pP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9"/>
        <w:gridCol w:w="4145"/>
      </w:tblGrid>
      <w:tr>
        <w:trPr>
          <w:trHeight w:val="235"/>
        </w:trPr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cs="Arial"/>
                <w:b/>
                <w:snapToGrid w:val="0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[Antonio Amaro]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40" w:lineRule="exact"/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41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40" w:lineRule="exact"/>
              <w:ind w:left="351" w:right="459"/>
              <w:jc w:val="center"/>
              <w:rPr>
                <w:rFonts w:cs="Arial"/>
                <w:b/>
                <w:snapToGrid w:val="0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[Ricardo Lucas Dara da Silva]</w:t>
            </w:r>
          </w:p>
        </w:tc>
      </w:tr>
      <w:t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Presidente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40" w:lineRule="exact"/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Secretário</w:t>
            </w:r>
          </w:p>
        </w:tc>
      </w:tr>
    </w:tbl>
    <w:p>
      <w:pPr>
        <w:spacing w:line="340" w:lineRule="exact"/>
        <w:rPr>
          <w:rFonts w:cs="Arial"/>
          <w:sz w:val="22"/>
          <w:szCs w:val="22"/>
        </w:rPr>
      </w:pPr>
    </w:p>
    <w:p>
      <w:pPr>
        <w:spacing w:line="340" w:lineRule="exact"/>
        <w:rPr>
          <w:rFonts w:cs="Arial"/>
          <w:sz w:val="22"/>
          <w:szCs w:val="22"/>
        </w:rPr>
      </w:pPr>
    </w:p>
    <w:p>
      <w:pPr>
        <w:spacing w:line="340" w:lineRule="exact"/>
        <w:rPr>
          <w:rFonts w:cs="Arial"/>
          <w:sz w:val="22"/>
          <w:szCs w:val="22"/>
          <w:lang w:val="en-US"/>
        </w:rPr>
      </w:pPr>
      <w:proofErr w:type="spellStart"/>
      <w:r>
        <w:rPr>
          <w:rFonts w:cs="Arial"/>
          <w:sz w:val="22"/>
          <w:szCs w:val="22"/>
          <w:lang w:val="en-US"/>
        </w:rPr>
        <w:t>Acionista</w:t>
      </w:r>
      <w:proofErr w:type="spellEnd"/>
      <w:r>
        <w:rPr>
          <w:rFonts w:cs="Arial"/>
          <w:sz w:val="22"/>
          <w:szCs w:val="22"/>
          <w:lang w:val="en-US"/>
        </w:rPr>
        <w:t xml:space="preserve">: </w:t>
      </w:r>
    </w:p>
    <w:p>
      <w:pPr>
        <w:spacing w:line="340" w:lineRule="exact"/>
        <w:rPr>
          <w:rFonts w:cs="Arial"/>
          <w:sz w:val="22"/>
          <w:szCs w:val="22"/>
          <w:lang w:val="en-US"/>
        </w:rPr>
      </w:pPr>
    </w:p>
    <w:p>
      <w:pPr>
        <w:spacing w:line="340" w:lineRule="exact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___________________________________</w:t>
      </w:r>
    </w:p>
    <w:p>
      <w:pPr>
        <w:spacing w:line="340" w:lineRule="exact"/>
        <w:rPr>
          <w:rStyle w:val="Nmerodepgina"/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Holding Trust S.A.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260" w:right="1304" w:bottom="2268" w:left="239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wis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016418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>
        <w:pPr>
          <w:pStyle w:val="Rodap"/>
          <w:spacing w:line="340" w:lineRule="exact"/>
          <w:jc w:val="center"/>
          <w:rPr>
            <w:rFonts w:ascii="Verdana" w:hAnsi="Verdana"/>
            <w:sz w:val="20"/>
            <w:szCs w:val="20"/>
          </w:rPr>
        </w:pPr>
        <w:r>
          <w:rPr>
            <w:rFonts w:ascii="Verdana" w:hAnsi="Verdana"/>
            <w:sz w:val="20"/>
            <w:szCs w:val="20"/>
          </w:rPr>
          <w:fldChar w:fldCharType="begin"/>
        </w:r>
        <w:r>
          <w:rPr>
            <w:rFonts w:ascii="Verdana" w:hAnsi="Verdana"/>
            <w:sz w:val="20"/>
            <w:szCs w:val="20"/>
          </w:rPr>
          <w:instrText>PAGE   \* MERGEFORMAT</w:instrText>
        </w:r>
        <w:r>
          <w:rPr>
            <w:rFonts w:ascii="Verdana" w:hAnsi="Verdana"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sz w:val="20"/>
            <w:szCs w:val="20"/>
            <w:lang w:val="pt-BR"/>
          </w:rPr>
          <w:t>5</w:t>
        </w:r>
        <w:r>
          <w:rPr>
            <w:rFonts w:ascii="Verdana" w:hAnsi="Verdana"/>
            <w:sz w:val="20"/>
            <w:szCs w:val="20"/>
          </w:rPr>
          <w:fldChar w:fldCharType="end"/>
        </w:r>
      </w:p>
    </w:sdtContent>
  </w:sdt>
  <w:p>
    <w:pPr>
      <w:pStyle w:val="Rodap"/>
      <w:spacing w:line="240" w:lineRule="auto"/>
      <w:rPr>
        <w:rFonts w:ascii="Tahoma" w:hAnsi="Tahoma" w:cs="Tahoma"/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  <w:fldSimple w:instr=" DOCPROPERTY iManageFooter \* MERGEFORMAT ">
      <w:r>
        <w:t>JUR_SP - 41715617v2 - 11361002.482263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  <w:spacing w:line="40" w:lineRule="exact"/>
      <w:jc w:val="both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  <w:rPr>
        <w:rFonts w:cs="Arial"/>
        <w:b/>
        <w:sz w:val="22"/>
        <w:szCs w:val="22"/>
      </w:rPr>
    </w:pPr>
    <w:r>
      <w:rPr>
        <w:rFonts w:cs="Arial"/>
        <w:b/>
        <w:sz w:val="22"/>
        <w:szCs w:val="22"/>
      </w:rPr>
      <w:t>MINUTA PRELIMINAR</w:t>
    </w:r>
  </w:p>
  <w:p>
    <w:pPr>
      <w:pStyle w:val="Cabealho"/>
      <w:rPr>
        <w:rFonts w:cs="Arial"/>
        <w:sz w:val="22"/>
        <w:szCs w:val="22"/>
      </w:rPr>
    </w:pPr>
    <w:r>
      <w:rPr>
        <w:rFonts w:cs="Arial"/>
        <w:sz w:val="22"/>
        <w:szCs w:val="22"/>
      </w:rPr>
      <w:t>(8.9.2021)</w:t>
    </w:r>
  </w:p>
  <w:p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162A"/>
    <w:multiLevelType w:val="hybridMultilevel"/>
    <w:tmpl w:val="111E31E2"/>
    <w:lvl w:ilvl="0" w:tplc="E3D4D8C8">
      <w:start w:val="1"/>
      <w:numFmt w:val="lowerRoman"/>
      <w:lvlText w:val="(%1)"/>
      <w:lvlJc w:val="left"/>
      <w:pPr>
        <w:ind w:left="1931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76059F"/>
    <w:multiLevelType w:val="hybridMultilevel"/>
    <w:tmpl w:val="F80ECF28"/>
    <w:lvl w:ilvl="0" w:tplc="1F62691C">
      <w:start w:val="4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A4743"/>
    <w:multiLevelType w:val="hybridMultilevel"/>
    <w:tmpl w:val="86A049A4"/>
    <w:lvl w:ilvl="0" w:tplc="86B0AEEC">
      <w:start w:val="1"/>
      <w:numFmt w:val="lowerRoman"/>
      <w:lvlText w:val="(%1)"/>
      <w:lvlJc w:val="left"/>
      <w:pPr>
        <w:ind w:left="128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43D6414"/>
    <w:multiLevelType w:val="hybridMultilevel"/>
    <w:tmpl w:val="FD66FB92"/>
    <w:lvl w:ilvl="0" w:tplc="131EAEAE">
      <w:start w:val="1"/>
      <w:numFmt w:val="lowerRoman"/>
      <w:lvlText w:val="(%1)"/>
      <w:lvlJc w:val="left"/>
      <w:pPr>
        <w:ind w:left="11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3" w:hanging="360"/>
      </w:pPr>
    </w:lvl>
    <w:lvl w:ilvl="2" w:tplc="0416001B" w:tentative="1">
      <w:start w:val="1"/>
      <w:numFmt w:val="lowerRoman"/>
      <w:lvlText w:val="%3."/>
      <w:lvlJc w:val="right"/>
      <w:pPr>
        <w:ind w:left="2193" w:hanging="180"/>
      </w:pPr>
    </w:lvl>
    <w:lvl w:ilvl="3" w:tplc="0416000F" w:tentative="1">
      <w:start w:val="1"/>
      <w:numFmt w:val="decimal"/>
      <w:lvlText w:val="%4."/>
      <w:lvlJc w:val="left"/>
      <w:pPr>
        <w:ind w:left="2913" w:hanging="360"/>
      </w:pPr>
    </w:lvl>
    <w:lvl w:ilvl="4" w:tplc="04160019" w:tentative="1">
      <w:start w:val="1"/>
      <w:numFmt w:val="lowerLetter"/>
      <w:lvlText w:val="%5."/>
      <w:lvlJc w:val="left"/>
      <w:pPr>
        <w:ind w:left="3633" w:hanging="360"/>
      </w:pPr>
    </w:lvl>
    <w:lvl w:ilvl="5" w:tplc="0416001B" w:tentative="1">
      <w:start w:val="1"/>
      <w:numFmt w:val="lowerRoman"/>
      <w:lvlText w:val="%6."/>
      <w:lvlJc w:val="right"/>
      <w:pPr>
        <w:ind w:left="4353" w:hanging="180"/>
      </w:pPr>
    </w:lvl>
    <w:lvl w:ilvl="6" w:tplc="0416000F" w:tentative="1">
      <w:start w:val="1"/>
      <w:numFmt w:val="decimal"/>
      <w:lvlText w:val="%7."/>
      <w:lvlJc w:val="left"/>
      <w:pPr>
        <w:ind w:left="5073" w:hanging="360"/>
      </w:pPr>
    </w:lvl>
    <w:lvl w:ilvl="7" w:tplc="04160019" w:tentative="1">
      <w:start w:val="1"/>
      <w:numFmt w:val="lowerLetter"/>
      <w:lvlText w:val="%8."/>
      <w:lvlJc w:val="left"/>
      <w:pPr>
        <w:ind w:left="5793" w:hanging="360"/>
      </w:pPr>
    </w:lvl>
    <w:lvl w:ilvl="8" w:tplc="0416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3FEB5EEA"/>
    <w:multiLevelType w:val="hybridMultilevel"/>
    <w:tmpl w:val="9A3A1176"/>
    <w:lvl w:ilvl="0" w:tplc="43B0190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53E9C"/>
    <w:multiLevelType w:val="multilevel"/>
    <w:tmpl w:val="353C8B4C"/>
    <w:lvl w:ilvl="0">
      <w:start w:val="1"/>
      <w:numFmt w:val="decimal"/>
      <w:suff w:val="space"/>
      <w:lvlText w:val="Cláusula %1ª"/>
      <w:lvlJc w:val="left"/>
      <w:pPr>
        <w:ind w:left="0" w:firstLine="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0" w:firstLine="0"/>
      </w:pPr>
      <w:rPr>
        <w:rFonts w:hint="default"/>
        <w:b w:val="0"/>
        <w:i w:val="0"/>
        <w:sz w:val="20"/>
        <w:szCs w:val="20"/>
        <w:lang w:val="pt-BR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0" w:firstLine="0"/>
      </w:pPr>
      <w:rPr>
        <w:rFonts w:ascii="Verdana" w:hAnsi="Verdana" w:cs="Tahoma" w:hint="default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0" w:firstLine="0"/>
      </w:pPr>
      <w:rPr>
        <w:rFonts w:ascii="Verdana" w:hAnsi="Verdana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879"/>
        </w:tabs>
        <w:ind w:left="879" w:hanging="737"/>
      </w:pPr>
      <w:rPr>
        <w:rFonts w:ascii="Verdana" w:hAnsi="Verdana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247" w:hanging="113"/>
      </w:pPr>
      <w:rPr>
        <w:rFonts w:hint="default"/>
        <w:b w:val="0"/>
        <w:i w:val="0"/>
        <w:sz w:val="22"/>
        <w:szCs w:val="20"/>
      </w:rPr>
    </w:lvl>
    <w:lvl w:ilvl="6">
      <w:start w:val="1"/>
      <w:numFmt w:val="upperRoman"/>
      <w:lvlText w:val="%7."/>
      <w:lvlJc w:val="left"/>
      <w:pPr>
        <w:tabs>
          <w:tab w:val="num" w:pos="2381"/>
        </w:tabs>
        <w:ind w:left="2835" w:hanging="454"/>
      </w:pPr>
      <w:rPr>
        <w:rFonts w:hint="default"/>
        <w:b w:val="0"/>
        <w:i w:val="0"/>
        <w:sz w:val="22"/>
        <w:szCs w:val="22"/>
      </w:rPr>
    </w:lvl>
    <w:lvl w:ilvl="7">
      <w:start w:val="1"/>
      <w:numFmt w:val="upperLetter"/>
      <w:lvlText w:val="%8."/>
      <w:lvlJc w:val="left"/>
      <w:pPr>
        <w:tabs>
          <w:tab w:val="num" w:pos="737"/>
        </w:tabs>
        <w:ind w:left="0" w:firstLine="0"/>
      </w:pPr>
      <w:rPr>
        <w:rFonts w:hint="default"/>
        <w:b/>
        <w:i w:val="0"/>
        <w:sz w:val="22"/>
      </w:r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1418" w:hanging="567"/>
      </w:pPr>
      <w:rPr>
        <w:rFonts w:ascii="Tahoma" w:hAnsi="Tahoma" w:hint="default"/>
        <w:b w:val="0"/>
        <w:i w:val="0"/>
        <w:sz w:val="22"/>
      </w:rPr>
    </w:lvl>
  </w:abstractNum>
  <w:abstractNum w:abstractNumId="6" w15:restartNumberingAfterBreak="0">
    <w:nsid w:val="5A5D6F77"/>
    <w:multiLevelType w:val="hybridMultilevel"/>
    <w:tmpl w:val="D9005DB0"/>
    <w:lvl w:ilvl="0" w:tplc="14E88B0C">
      <w:start w:val="1"/>
      <w:numFmt w:val="lowerRoman"/>
      <w:lvlText w:val="(%1)"/>
      <w:lvlJc w:val="left"/>
      <w:pPr>
        <w:ind w:left="9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2" w:hanging="360"/>
      </w:pPr>
    </w:lvl>
    <w:lvl w:ilvl="2" w:tplc="0416001B" w:tentative="1">
      <w:start w:val="1"/>
      <w:numFmt w:val="lowerRoman"/>
      <w:lvlText w:val="%3."/>
      <w:lvlJc w:val="right"/>
      <w:pPr>
        <w:ind w:left="2042" w:hanging="180"/>
      </w:pPr>
    </w:lvl>
    <w:lvl w:ilvl="3" w:tplc="0416000F" w:tentative="1">
      <w:start w:val="1"/>
      <w:numFmt w:val="decimal"/>
      <w:lvlText w:val="%4."/>
      <w:lvlJc w:val="left"/>
      <w:pPr>
        <w:ind w:left="2762" w:hanging="360"/>
      </w:pPr>
    </w:lvl>
    <w:lvl w:ilvl="4" w:tplc="04160019" w:tentative="1">
      <w:start w:val="1"/>
      <w:numFmt w:val="lowerLetter"/>
      <w:lvlText w:val="%5."/>
      <w:lvlJc w:val="left"/>
      <w:pPr>
        <w:ind w:left="3482" w:hanging="360"/>
      </w:pPr>
    </w:lvl>
    <w:lvl w:ilvl="5" w:tplc="0416001B" w:tentative="1">
      <w:start w:val="1"/>
      <w:numFmt w:val="lowerRoman"/>
      <w:lvlText w:val="%6."/>
      <w:lvlJc w:val="right"/>
      <w:pPr>
        <w:ind w:left="4202" w:hanging="180"/>
      </w:pPr>
    </w:lvl>
    <w:lvl w:ilvl="6" w:tplc="0416000F" w:tentative="1">
      <w:start w:val="1"/>
      <w:numFmt w:val="decimal"/>
      <w:lvlText w:val="%7."/>
      <w:lvlJc w:val="left"/>
      <w:pPr>
        <w:ind w:left="4922" w:hanging="360"/>
      </w:pPr>
    </w:lvl>
    <w:lvl w:ilvl="7" w:tplc="04160019" w:tentative="1">
      <w:start w:val="1"/>
      <w:numFmt w:val="lowerLetter"/>
      <w:lvlText w:val="%8."/>
      <w:lvlJc w:val="left"/>
      <w:pPr>
        <w:ind w:left="5642" w:hanging="360"/>
      </w:pPr>
    </w:lvl>
    <w:lvl w:ilvl="8" w:tplc="0416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7" w15:restartNumberingAfterBreak="0">
    <w:nsid w:val="5EC90E53"/>
    <w:multiLevelType w:val="hybridMultilevel"/>
    <w:tmpl w:val="B5783486"/>
    <w:lvl w:ilvl="0" w:tplc="BD18B59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B1D1232"/>
    <w:multiLevelType w:val="multilevel"/>
    <w:tmpl w:val="6298C8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bCs w:val="0"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709"/>
  <w:hyphenationZone w:val="425"/>
  <w:drawingGridHorizontalSpacing w:val="26"/>
  <w:displayHorizontalDrawingGridEvery w:val="2"/>
  <w:displayVerticalDrawingGridEvery w:val="2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5:docId w15:val="{C721E62A-19A6-4CDE-851C-F262593D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Ttulo1">
    <w:name w:val="heading 1"/>
    <w:basedOn w:val="Normal"/>
    <w:next w:val="Normal"/>
    <w:qFormat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eader Char"/>
    <w:basedOn w:val="Normal"/>
    <w:link w:val="CabealhoChar"/>
    <w:uiPriority w:val="99"/>
    <w:pPr>
      <w:jc w:val="right"/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spacing w:line="1440" w:lineRule="auto"/>
    </w:pPr>
    <w:rPr>
      <w:sz w:val="14"/>
      <w:lang w:val="en-US"/>
    </w:rPr>
  </w:style>
  <w:style w:type="paragraph" w:styleId="Textodenotaderodap">
    <w:name w:val="footnote text"/>
    <w:basedOn w:val="Normal"/>
    <w:semiHidden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customStyle="1" w:styleId="Body">
    <w:name w:val="Body"/>
    <w:basedOn w:val="Normal"/>
    <w:pPr>
      <w:spacing w:after="140" w:line="290" w:lineRule="auto"/>
      <w:jc w:val="both"/>
    </w:pPr>
    <w:rPr>
      <w:kern w:val="20"/>
    </w:rPr>
  </w:style>
  <w:style w:type="paragraph" w:customStyle="1" w:styleId="Body3">
    <w:name w:val="Body 3"/>
    <w:basedOn w:val="Normal"/>
    <w:pPr>
      <w:spacing w:after="140" w:line="290" w:lineRule="auto"/>
      <w:ind w:left="1361"/>
      <w:jc w:val="both"/>
    </w:pPr>
    <w:rPr>
      <w:kern w:val="20"/>
    </w:rPr>
  </w:style>
  <w:style w:type="paragraph" w:customStyle="1" w:styleId="Body4">
    <w:name w:val="Body 4"/>
    <w:basedOn w:val="Normal"/>
    <w:uiPriority w:val="99"/>
    <w:pPr>
      <w:spacing w:after="140" w:line="290" w:lineRule="auto"/>
      <w:ind w:left="2041"/>
      <w:jc w:val="both"/>
    </w:pPr>
    <w:rPr>
      <w:kern w:val="20"/>
    </w:rPr>
  </w:style>
  <w:style w:type="paragraph" w:customStyle="1" w:styleId="Level1">
    <w:name w:val="Level 1"/>
    <w:basedOn w:val="Normal"/>
    <w:pPr>
      <w:numPr>
        <w:numId w:val="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2">
    <w:name w:val="Level 2"/>
    <w:basedOn w:val="Normal"/>
    <w:pPr>
      <w:numPr>
        <w:ilvl w:val="1"/>
        <w:numId w:val="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link w:val="Level3Char"/>
    <w:pPr>
      <w:numPr>
        <w:ilvl w:val="2"/>
        <w:numId w:val="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pPr>
      <w:numPr>
        <w:ilvl w:val="3"/>
        <w:numId w:val="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pPr>
      <w:numPr>
        <w:ilvl w:val="4"/>
        <w:numId w:val="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pPr>
      <w:numPr>
        <w:ilvl w:val="5"/>
        <w:numId w:val="1"/>
      </w:numPr>
      <w:spacing w:after="140" w:line="290" w:lineRule="auto"/>
      <w:jc w:val="both"/>
    </w:pPr>
    <w:rPr>
      <w:kern w:val="20"/>
    </w:rPr>
  </w:style>
  <w:style w:type="paragraph" w:customStyle="1" w:styleId="Level7">
    <w:name w:val="Level 7"/>
    <w:basedOn w:val="Normal"/>
    <w:pPr>
      <w:numPr>
        <w:ilvl w:val="6"/>
        <w:numId w:val="1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al"/>
    <w:pPr>
      <w:numPr>
        <w:ilvl w:val="7"/>
        <w:numId w:val="1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al"/>
    <w:pPr>
      <w:numPr>
        <w:ilvl w:val="8"/>
        <w:numId w:val="1"/>
      </w:numPr>
      <w:spacing w:after="140" w:line="290" w:lineRule="auto"/>
      <w:jc w:val="both"/>
      <w:outlineLvl w:val="8"/>
    </w:pPr>
    <w:rPr>
      <w:kern w:val="20"/>
    </w:rPr>
  </w:style>
  <w:style w:type="paragraph" w:customStyle="1" w:styleId="Head">
    <w:name w:val="Head"/>
    <w:basedOn w:val="Normal"/>
    <w:next w:val="Body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sz w:val="24"/>
      <w:szCs w:val="24"/>
      <w:lang w:val="x-none" w:eastAsia="x-none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/>
      <w:sz w:val="22"/>
      <w:szCs w:val="22"/>
    </w:rPr>
  </w:style>
  <w:style w:type="paragraph" w:styleId="Textodebalo">
    <w:name w:val="Balloon Text"/>
    <w:basedOn w:val="Normal"/>
    <w:link w:val="TextodebaloChar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rPr>
      <w:color w:val="0563C1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customStyle="1" w:styleId="Level3Char">
    <w:name w:val="Level 3 Char"/>
    <w:link w:val="Level3"/>
    <w:locked/>
    <w:rPr>
      <w:rFonts w:ascii="Arial" w:hAnsi="Arial"/>
      <w:kern w:val="20"/>
      <w:szCs w:val="28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widowControl w:val="0"/>
      <w:spacing w:after="200"/>
    </w:pPr>
    <w:rPr>
      <w:rFonts w:asciiTheme="minorHAnsi" w:eastAsiaTheme="minorHAnsi" w:hAnsiTheme="minorHAnsi" w:cstheme="minorBidi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Theme="minorHAnsi" w:eastAsiaTheme="minorHAnsi" w:hAnsiTheme="minorHAnsi" w:cstheme="minorBidi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pPr>
      <w:widowControl/>
      <w:spacing w:after="0"/>
    </w:pPr>
    <w:rPr>
      <w:rFonts w:ascii="Arial" w:eastAsia="Times New Roman" w:hAnsi="Arial" w:cs="Times New Roman"/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semiHidden/>
    <w:rPr>
      <w:rFonts w:ascii="Arial" w:eastAsiaTheme="minorHAnsi" w:hAnsi="Arial" w:cstheme="minorBidi"/>
      <w:b/>
      <w:bCs/>
      <w:lang w:val="en-US" w:eastAsia="en-US"/>
    </w:rPr>
  </w:style>
  <w:style w:type="paragraph" w:styleId="Corpodetexto">
    <w:name w:val="Body Text"/>
    <w:basedOn w:val="Normal"/>
    <w:link w:val="CorpodetextoChar"/>
    <w:semiHidden/>
    <w:unhideWhenUsed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Pr>
      <w:rFonts w:ascii="Arial" w:hAnsi="Arial"/>
      <w:szCs w:val="24"/>
      <w:lang w:eastAsia="en-US"/>
    </w:rPr>
  </w:style>
  <w:style w:type="paragraph" w:customStyle="1" w:styleId="p0">
    <w:name w:val="p0"/>
    <w:basedOn w:val="Normal"/>
    <w:link w:val="p0Char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ind w:firstLine="1440"/>
      <w:jc w:val="both"/>
    </w:pPr>
    <w:rPr>
      <w:rFonts w:ascii="Times" w:hAnsi="Times"/>
      <w:sz w:val="24"/>
      <w:lang w:eastAsia="pt-BR"/>
    </w:rPr>
  </w:style>
  <w:style w:type="character" w:customStyle="1" w:styleId="p0Char">
    <w:name w:val="p0 Char"/>
    <w:link w:val="p0"/>
    <w:locked/>
    <w:rPr>
      <w:rFonts w:ascii="Times" w:hAnsi="Times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en-US"/>
    </w:rPr>
  </w:style>
  <w:style w:type="character" w:customStyle="1" w:styleId="PargrafodaListaChar">
    <w:name w:val="Parágrafo da Lista Char"/>
    <w:link w:val="PargrafodaLista"/>
    <w:uiPriority w:val="34"/>
    <w:locked/>
    <w:rPr>
      <w:rFonts w:ascii="Arial" w:hAnsi="Arial"/>
      <w:szCs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Pr>
      <w:rFonts w:ascii="Arial" w:hAnsi="Arial"/>
      <w:sz w:val="14"/>
      <w:szCs w:val="24"/>
      <w:lang w:val="en-US" w:eastAsia="en-US"/>
    </w:rPr>
  </w:style>
  <w:style w:type="paragraph" w:styleId="Reviso">
    <w:name w:val="Revision"/>
    <w:hidden/>
    <w:uiPriority w:val="99"/>
    <w:semiHidden/>
    <w:rPr>
      <w:rFonts w:ascii="Arial" w:hAnsi="Arial"/>
      <w:szCs w:val="24"/>
      <w:lang w:eastAsia="en-US"/>
    </w:rPr>
  </w:style>
  <w:style w:type="character" w:customStyle="1" w:styleId="CabealhoChar">
    <w:name w:val="Cabeçalho Char"/>
    <w:aliases w:val="Cabeçalho1 Char,Header Char Char"/>
    <w:basedOn w:val="Fontepargpadro"/>
    <w:link w:val="Cabealho"/>
    <w:uiPriority w:val="99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6D081-E6BB-43D9-B5EF-851568EC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1136</Words>
  <Characters>6192</Characters>
  <Application>Microsoft Office Word</Application>
  <DocSecurity>0</DocSecurity>
  <Lines>137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Pinheiro Neto Advogados</Company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Pinheiro Neto Advogados</dc:creator>
  <cp:keywords/>
  <dc:description/>
  <cp:lastModifiedBy>Pinheiro Neto Advogados</cp:lastModifiedBy>
  <cp:revision>5</cp:revision>
  <cp:lastPrinted>2018-09-25T22:46:00Z</cp:lastPrinted>
  <dcterms:created xsi:type="dcterms:W3CDTF">2021-09-08T23:23:00Z</dcterms:created>
  <dcterms:modified xsi:type="dcterms:W3CDTF">2021-09-08T23:23:00Z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- 41715617v2 - 11361002.482263</vt:lpwstr>
  </property>
</Properties>
</file>