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val="0"/>
        <w:autoSpaceDE w:val="0"/>
        <w:autoSpaceDN w:val="0"/>
        <w:adjustRightInd w:val="0"/>
        <w:spacing w:line="340" w:lineRule="exact"/>
        <w:jc w:val="both"/>
        <w:rPr>
          <w:rFonts w:ascii="Arial" w:hAnsi="Arial" w:cs="Arial"/>
          <w:b/>
          <w:sz w:val="22"/>
          <w:szCs w:val="22"/>
        </w:rPr>
      </w:pPr>
      <w:r>
        <w:rPr>
          <w:rFonts w:ascii="Arial" w:hAnsi="Arial" w:cs="Arial"/>
          <w:b/>
          <w:bCs/>
          <w:sz w:val="22"/>
          <w:szCs w:val="22"/>
        </w:rPr>
        <w:t xml:space="preserve">DÉCIMO SEXTO ADITAMENTO AO </w:t>
      </w:r>
      <w:r>
        <w:rPr>
          <w:rFonts w:ascii="Arial" w:hAnsi="Arial" w:cs="Arial"/>
          <w:b/>
          <w:sz w:val="22"/>
          <w:szCs w:val="22"/>
        </w:rPr>
        <w:t>CONTRATO DE CESSÃO FIDUCIÁRIA DE DIREITOS, ADMINISTRAÇÃO DE CONTAS E OUTRAS AVENÇAS</w:t>
      </w:r>
    </w:p>
    <w:p>
      <w:pPr>
        <w:widowControl w:val="0"/>
        <w:autoSpaceDE w:val="0"/>
        <w:autoSpaceDN w:val="0"/>
        <w:adjustRightInd w:val="0"/>
        <w:spacing w:line="340" w:lineRule="exact"/>
        <w:jc w:val="center"/>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 xml:space="preserve">O presente aditamento ao </w:t>
      </w:r>
      <w:r>
        <w:rPr>
          <w:rFonts w:ascii="Arial" w:hAnsi="Arial" w:cs="Arial"/>
          <w:i/>
          <w:sz w:val="22"/>
          <w:szCs w:val="22"/>
        </w:rPr>
        <w:t>Contrato de Cessão Fiduciária de Direitos, Administração de Contas e Outras Avenças</w:t>
      </w:r>
      <w:r>
        <w:rPr>
          <w:rFonts w:ascii="Arial" w:hAnsi="Arial" w:cs="Arial"/>
          <w:sz w:val="22"/>
          <w:szCs w:val="22"/>
        </w:rPr>
        <w:t> (“</w:t>
      </w:r>
      <w:r>
        <w:rPr>
          <w:rFonts w:ascii="Arial" w:hAnsi="Arial" w:cs="Arial"/>
          <w:b/>
          <w:sz w:val="22"/>
          <w:szCs w:val="22"/>
        </w:rPr>
        <w:t>Aditamento</w:t>
      </w:r>
      <w:r>
        <w:rPr>
          <w:rFonts w:ascii="Arial" w:hAnsi="Arial" w:cs="Arial"/>
          <w:sz w:val="22"/>
          <w:szCs w:val="22"/>
        </w:rPr>
        <w:t>”) é celebrado nesta data entre as seguintes partes:</w:t>
      </w:r>
    </w:p>
    <w:p>
      <w:pPr>
        <w:widowControl w:val="0"/>
        <w:spacing w:line="340" w:lineRule="exact"/>
        <w:jc w:val="both"/>
        <w:rPr>
          <w:rFonts w:ascii="Arial" w:hAnsi="Arial" w:cs="Arial"/>
          <w:sz w:val="22"/>
          <w:szCs w:val="22"/>
        </w:rPr>
      </w:pPr>
    </w:p>
    <w:p>
      <w:pPr>
        <w:widowControl w:val="0"/>
        <w:numPr>
          <w:ilvl w:val="0"/>
          <w:numId w:val="24"/>
        </w:numPr>
        <w:tabs>
          <w:tab w:val="clear" w:pos="720"/>
          <w:tab w:val="num" w:pos="0"/>
        </w:tabs>
        <w:autoSpaceDE w:val="0"/>
        <w:autoSpaceDN w:val="0"/>
        <w:adjustRightInd w:val="0"/>
        <w:spacing w:line="340" w:lineRule="exact"/>
        <w:ind w:left="0" w:firstLine="0"/>
        <w:jc w:val="both"/>
        <w:rPr>
          <w:rFonts w:ascii="Arial" w:hAnsi="Arial" w:cs="Arial"/>
          <w:bCs/>
          <w:sz w:val="22"/>
          <w:szCs w:val="22"/>
        </w:rPr>
      </w:pPr>
      <w:r>
        <w:rPr>
          <w:rFonts w:ascii="Arial" w:hAnsi="Arial" w:cs="Arial"/>
          <w:b/>
          <w:sz w:val="22"/>
          <w:szCs w:val="22"/>
        </w:rPr>
        <w:t>SRC COMPANHIA SECURITIZADORA DE CRÉDITOS FINANCEIROS</w:t>
      </w:r>
      <w:r>
        <w:rPr>
          <w:rFonts w:ascii="Arial" w:hAnsi="Arial" w:cs="Arial"/>
          <w:sz w:val="22"/>
          <w:szCs w:val="22"/>
        </w:rPr>
        <w:t>, sociedade por ações com sede na cidade de São Paulo, Estado de São Paulo, inscrita no CNPJ/ME sob o nº 31.345.064/0001-58, neste ato representada na forma de seus atos constitutivos e demais documentos societários (“</w:t>
      </w:r>
      <w:r>
        <w:rPr>
          <w:rFonts w:ascii="Arial" w:hAnsi="Arial" w:cs="Arial"/>
          <w:b/>
          <w:sz w:val="22"/>
          <w:szCs w:val="22"/>
        </w:rPr>
        <w:t>Cedente Fiduciária</w:t>
      </w:r>
      <w:r>
        <w:rPr>
          <w:rFonts w:ascii="Arial" w:hAnsi="Arial" w:cs="Arial"/>
          <w:sz w:val="22"/>
          <w:szCs w:val="22"/>
        </w:rPr>
        <w:t xml:space="preserve">”); </w:t>
      </w:r>
    </w:p>
    <w:p>
      <w:pPr>
        <w:widowControl w:val="0"/>
        <w:tabs>
          <w:tab w:val="num" w:pos="0"/>
        </w:tabs>
        <w:autoSpaceDE w:val="0"/>
        <w:autoSpaceDN w:val="0"/>
        <w:adjustRightInd w:val="0"/>
        <w:spacing w:line="340" w:lineRule="exact"/>
        <w:jc w:val="both"/>
        <w:rPr>
          <w:rFonts w:ascii="Arial" w:hAnsi="Arial" w:cs="Arial"/>
          <w:sz w:val="22"/>
          <w:szCs w:val="22"/>
        </w:rPr>
      </w:pPr>
    </w:p>
    <w:p>
      <w:pPr>
        <w:widowControl w:val="0"/>
        <w:numPr>
          <w:ilvl w:val="0"/>
          <w:numId w:val="24"/>
        </w:numPr>
        <w:autoSpaceDE w:val="0"/>
        <w:autoSpaceDN w:val="0"/>
        <w:adjustRightInd w:val="0"/>
        <w:spacing w:line="340" w:lineRule="exact"/>
        <w:ind w:left="0" w:firstLine="0"/>
        <w:jc w:val="both"/>
        <w:rPr>
          <w:rFonts w:ascii="Arial" w:hAnsi="Arial" w:cs="Arial"/>
          <w:bCs/>
          <w:sz w:val="22"/>
          <w:szCs w:val="22"/>
        </w:rPr>
      </w:pPr>
      <w:r>
        <w:rPr>
          <w:rFonts w:ascii="Arial" w:hAnsi="Arial" w:cs="Arial"/>
          <w:b/>
          <w:bCs/>
          <w:sz w:val="22"/>
          <w:szCs w:val="22"/>
        </w:rPr>
        <w:t>SIMPLIFIC PAVARINI DISTRIBUIDORA DE TÍTULOS E VALORES MOBILIÁRIOS LTDA.</w:t>
      </w:r>
      <w:r>
        <w:rPr>
          <w:rFonts w:ascii="Arial" w:hAnsi="Arial" w:cs="Arial"/>
          <w:bCs/>
          <w:sz w:val="22"/>
          <w:szCs w:val="22"/>
        </w:rPr>
        <w:t>, instituição financeira, atuando por sua filial na cidade de São Paulo, Estado de São Paulo, na Rua Joaquim Floriano, nº 466, sala 1401, Itaim Bibi, CEP 04534-002, inscrita no CNPJ/ME sob o nº 15.227.994/0004-01, sob o NIRE 33.2.0064417-1</w:t>
      </w:r>
      <w:r>
        <w:rPr>
          <w:rFonts w:ascii="Arial" w:hAnsi="Arial" w:cs="Arial"/>
          <w:sz w:val="22"/>
          <w:szCs w:val="22"/>
        </w:rPr>
        <w:t>, neste ato representada nos termos de seu estatuto social (</w:t>
      </w:r>
      <w:r>
        <w:rPr>
          <w:rFonts w:ascii="Arial" w:hAnsi="Arial" w:cs="Arial"/>
          <w:bCs/>
          <w:sz w:val="22"/>
          <w:szCs w:val="22"/>
        </w:rPr>
        <w:t>“</w:t>
      </w:r>
      <w:r>
        <w:rPr>
          <w:rFonts w:ascii="Arial" w:hAnsi="Arial" w:cs="Arial"/>
          <w:b/>
          <w:bCs/>
          <w:sz w:val="22"/>
          <w:szCs w:val="22"/>
        </w:rPr>
        <w:t>Agente Fiduciário</w:t>
      </w:r>
      <w:r>
        <w:rPr>
          <w:rFonts w:ascii="Arial" w:hAnsi="Arial" w:cs="Arial"/>
          <w:bCs/>
          <w:sz w:val="22"/>
          <w:szCs w:val="22"/>
        </w:rPr>
        <w:t xml:space="preserve">”), </w:t>
      </w:r>
      <w:r>
        <w:rPr>
          <w:rFonts w:ascii="Arial" w:hAnsi="Arial" w:cs="Arial"/>
          <w:sz w:val="22"/>
          <w:szCs w:val="22"/>
        </w:rPr>
        <w:t>na qualidade de representante da comunhão dos interesses dos titulares das Debêntures (conforme definido abaixo) (“</w:t>
      </w:r>
      <w:r>
        <w:rPr>
          <w:rFonts w:ascii="Arial" w:hAnsi="Arial" w:cs="Arial"/>
          <w:b/>
          <w:sz w:val="22"/>
          <w:szCs w:val="22"/>
        </w:rPr>
        <w:t>Debenturistas</w:t>
      </w:r>
      <w:r>
        <w:rPr>
          <w:rFonts w:ascii="Arial" w:hAnsi="Arial" w:cs="Arial"/>
          <w:sz w:val="22"/>
          <w:szCs w:val="22"/>
        </w:rPr>
        <w:t>”)</w:t>
      </w:r>
      <w:r>
        <w:rPr>
          <w:rFonts w:ascii="Arial" w:hAnsi="Arial" w:cs="Arial"/>
          <w:bCs/>
          <w:sz w:val="22"/>
          <w:szCs w:val="22"/>
        </w:rPr>
        <w:t>; e</w:t>
      </w:r>
    </w:p>
    <w:p>
      <w:pPr>
        <w:widowControl w:val="0"/>
        <w:suppressAutoHyphens/>
        <w:autoSpaceDE w:val="0"/>
        <w:autoSpaceDN w:val="0"/>
        <w:adjustRightInd w:val="0"/>
        <w:spacing w:line="340" w:lineRule="exact"/>
        <w:jc w:val="both"/>
        <w:rPr>
          <w:rFonts w:ascii="Arial" w:hAnsi="Arial" w:cs="Arial"/>
          <w:bCs/>
          <w:sz w:val="22"/>
          <w:szCs w:val="22"/>
        </w:rPr>
      </w:pPr>
    </w:p>
    <w:p>
      <w:pPr>
        <w:widowControl w:val="0"/>
        <w:numPr>
          <w:ilvl w:val="0"/>
          <w:numId w:val="24"/>
        </w:numPr>
        <w:suppressAutoHyphens/>
        <w:autoSpaceDE w:val="0"/>
        <w:autoSpaceDN w:val="0"/>
        <w:adjustRightInd w:val="0"/>
        <w:spacing w:line="340" w:lineRule="exact"/>
        <w:ind w:left="0" w:firstLine="0"/>
        <w:jc w:val="both"/>
        <w:rPr>
          <w:rFonts w:ascii="Arial" w:hAnsi="Arial" w:cs="Arial"/>
          <w:bCs/>
          <w:sz w:val="22"/>
          <w:szCs w:val="22"/>
        </w:rPr>
      </w:pPr>
      <w:r>
        <w:rPr>
          <w:rFonts w:ascii="Arial" w:hAnsi="Arial" w:cs="Arial"/>
          <w:b/>
          <w:sz w:val="22"/>
          <w:szCs w:val="22"/>
        </w:rPr>
        <w:t>OLIVEIRA TRUST SERVICER S.A.</w:t>
      </w:r>
      <w:r>
        <w:rPr>
          <w:rFonts w:ascii="Arial" w:hAnsi="Arial" w:cs="Arial"/>
          <w:sz w:val="22"/>
          <w:szCs w:val="22"/>
        </w:rPr>
        <w:t>, sociedade por ações com sede na Cidade de São Paulo, Estado de São Paulo, na Rua Joaquim Floriano, n° 1052, 13°andar, CEP 04534-004, Itaim Bibi, inscrita no CNPJ/ME sob o nº 02.150.453/0002-00</w:t>
      </w:r>
      <w:r>
        <w:rPr>
          <w:rFonts w:ascii="Arial" w:hAnsi="Arial" w:cs="Arial"/>
          <w:bCs/>
          <w:sz w:val="22"/>
          <w:szCs w:val="22"/>
        </w:rPr>
        <w:t>,</w:t>
      </w:r>
      <w:r>
        <w:rPr>
          <w:rFonts w:ascii="Arial" w:hAnsi="Arial" w:cs="Arial"/>
          <w:sz w:val="22"/>
          <w:szCs w:val="22"/>
        </w:rPr>
        <w:t xml:space="preserve"> </w:t>
      </w:r>
      <w:r>
        <w:rPr>
          <w:rFonts w:ascii="Arial" w:hAnsi="Arial" w:cs="Arial"/>
          <w:bCs/>
          <w:sz w:val="22"/>
          <w:szCs w:val="22"/>
        </w:rPr>
        <w:t>neste ato representada nos termos do seu estatuto social</w:t>
      </w:r>
      <w:r>
        <w:rPr>
          <w:rFonts w:ascii="Arial" w:hAnsi="Arial" w:cs="Arial"/>
          <w:sz w:val="22"/>
          <w:szCs w:val="22"/>
        </w:rPr>
        <w:t xml:space="preserve"> (“</w:t>
      </w:r>
      <w:r>
        <w:rPr>
          <w:rFonts w:ascii="Arial" w:hAnsi="Arial" w:cs="Arial"/>
          <w:b/>
          <w:sz w:val="22"/>
          <w:szCs w:val="22"/>
        </w:rPr>
        <w:t>Servicer</w:t>
      </w:r>
      <w:r>
        <w:rPr>
          <w:rFonts w:ascii="Arial" w:hAnsi="Arial" w:cs="Arial"/>
          <w:sz w:val="22"/>
          <w:szCs w:val="22"/>
        </w:rPr>
        <w:t xml:space="preserve">”); </w:t>
      </w:r>
    </w:p>
    <w:p>
      <w:pPr>
        <w:widowControl w:val="0"/>
        <w:suppressAutoHyphens/>
        <w:autoSpaceDE w:val="0"/>
        <w:autoSpaceDN w:val="0"/>
        <w:adjustRightInd w:val="0"/>
        <w:spacing w:line="340" w:lineRule="exact"/>
        <w:jc w:val="both"/>
        <w:rPr>
          <w:rFonts w:ascii="Arial" w:hAnsi="Arial" w:cs="Arial"/>
          <w:sz w:val="22"/>
          <w:szCs w:val="22"/>
        </w:rPr>
      </w:pPr>
    </w:p>
    <w:p>
      <w:pPr>
        <w:widowControl w:val="0"/>
        <w:suppressAutoHyphens/>
        <w:autoSpaceDE w:val="0"/>
        <w:autoSpaceDN w:val="0"/>
        <w:adjustRightInd w:val="0"/>
        <w:spacing w:line="340" w:lineRule="exact"/>
        <w:jc w:val="both"/>
        <w:rPr>
          <w:rFonts w:ascii="Arial" w:hAnsi="Arial" w:cs="Arial"/>
          <w:bCs/>
          <w:sz w:val="22"/>
          <w:szCs w:val="22"/>
        </w:rPr>
      </w:pPr>
      <w:r>
        <w:rPr>
          <w:rFonts w:ascii="Arial" w:hAnsi="Arial" w:cs="Arial"/>
          <w:sz w:val="22"/>
          <w:szCs w:val="22"/>
        </w:rPr>
        <w:t>A Cedente Fiduciária, o Agente Fiduciário e o Servicer também denominados individualmente e indistintamente “</w:t>
      </w:r>
      <w:r>
        <w:rPr>
          <w:rFonts w:ascii="Arial" w:hAnsi="Arial" w:cs="Arial"/>
          <w:b/>
          <w:sz w:val="22"/>
          <w:szCs w:val="22"/>
        </w:rPr>
        <w:t>Parte</w:t>
      </w:r>
      <w:r>
        <w:rPr>
          <w:rFonts w:ascii="Arial" w:hAnsi="Arial" w:cs="Arial"/>
          <w:sz w:val="22"/>
          <w:szCs w:val="22"/>
        </w:rPr>
        <w:t>”, e conjuntamente “</w:t>
      </w:r>
      <w:r>
        <w:rPr>
          <w:rFonts w:ascii="Arial" w:hAnsi="Arial" w:cs="Arial"/>
          <w:b/>
          <w:sz w:val="22"/>
          <w:szCs w:val="22"/>
        </w:rPr>
        <w:t>Partes</w:t>
      </w:r>
      <w:r>
        <w:rPr>
          <w:rFonts w:ascii="Arial" w:hAnsi="Arial" w:cs="Arial"/>
          <w:sz w:val="22"/>
          <w:szCs w:val="22"/>
        </w:rPr>
        <w:t>”.</w:t>
      </w:r>
    </w:p>
    <w:p>
      <w:pPr>
        <w:widowControl w:val="0"/>
        <w:spacing w:line="340" w:lineRule="exact"/>
        <w:jc w:val="both"/>
        <w:rPr>
          <w:rFonts w:ascii="Arial" w:hAnsi="Arial" w:cs="Arial"/>
          <w:b/>
          <w:sz w:val="22"/>
          <w:szCs w:val="22"/>
        </w:rPr>
      </w:pPr>
    </w:p>
    <w:p>
      <w:pPr>
        <w:widowControl w:val="0"/>
        <w:spacing w:line="340" w:lineRule="exact"/>
        <w:jc w:val="both"/>
        <w:rPr>
          <w:rFonts w:ascii="Arial" w:hAnsi="Arial" w:cs="Arial"/>
          <w:b/>
          <w:sz w:val="22"/>
          <w:szCs w:val="22"/>
        </w:rPr>
      </w:pPr>
      <w:r>
        <w:rPr>
          <w:rFonts w:ascii="Arial" w:hAnsi="Arial" w:cs="Arial"/>
          <w:b/>
          <w:sz w:val="22"/>
          <w:szCs w:val="22"/>
        </w:rPr>
        <w:t>CONSIDERANDO QUE:</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lang w:eastAsia="x-none"/>
        </w:rPr>
      </w:pPr>
      <w:r>
        <w:rPr>
          <w:rFonts w:ascii="Arial" w:hAnsi="Arial" w:cs="Arial"/>
          <w:sz w:val="22"/>
          <w:szCs w:val="22"/>
        </w:rPr>
        <w:t xml:space="preserve">(i) </w:t>
      </w:r>
      <w:r>
        <w:rPr>
          <w:rFonts w:ascii="Arial" w:hAnsi="Arial" w:cs="Arial"/>
          <w:sz w:val="22"/>
          <w:szCs w:val="22"/>
        </w:rPr>
        <w:tab/>
      </w:r>
      <w:r>
        <w:rPr>
          <w:rFonts w:ascii="Arial" w:eastAsia="SimSun" w:hAnsi="Arial" w:cs="Arial"/>
          <w:sz w:val="22"/>
          <w:szCs w:val="22"/>
        </w:rPr>
        <w:t xml:space="preserve">em 27 de setembro de 2018, </w:t>
      </w:r>
      <w:r>
        <w:rPr>
          <w:rFonts w:ascii="Arial" w:hAnsi="Arial" w:cs="Arial"/>
          <w:bCs/>
          <w:sz w:val="22"/>
          <w:szCs w:val="22"/>
        </w:rPr>
        <w:t xml:space="preserve">as Partes celebraram o </w:t>
      </w:r>
      <w:r>
        <w:rPr>
          <w:rFonts w:ascii="Arial" w:hAnsi="Arial" w:cs="Arial"/>
          <w:i/>
          <w:sz w:val="22"/>
          <w:szCs w:val="22"/>
        </w:rPr>
        <w:t>Contrato de Cessão Fiduciária de Direitos, Administração de Contas e Outras Avenças</w:t>
      </w:r>
      <w:r>
        <w:rPr>
          <w:rFonts w:ascii="Arial" w:hAnsi="Arial" w:cs="Arial"/>
          <w:bCs/>
          <w:sz w:val="22"/>
          <w:szCs w:val="22"/>
        </w:rPr>
        <w:t> (“</w:t>
      </w:r>
      <w:r>
        <w:rPr>
          <w:rFonts w:ascii="Arial" w:hAnsi="Arial" w:cs="Arial"/>
          <w:b/>
          <w:bCs/>
          <w:sz w:val="22"/>
          <w:szCs w:val="22"/>
        </w:rPr>
        <w:t>Contrato Original</w:t>
      </w:r>
      <w:r>
        <w:rPr>
          <w:rFonts w:ascii="Arial" w:hAnsi="Arial" w:cs="Arial"/>
          <w:bCs/>
          <w:sz w:val="22"/>
          <w:szCs w:val="22"/>
        </w:rPr>
        <w:t xml:space="preserve">”), devidamente registrado no 8º </w:t>
      </w:r>
      <w:r>
        <w:rPr>
          <w:rFonts w:ascii="Arial" w:hAnsi="Arial" w:cs="Arial"/>
          <w:bCs/>
          <w:color w:val="000000"/>
          <w:sz w:val="22"/>
          <w:szCs w:val="22"/>
        </w:rPr>
        <w:t>Oficial de Registro de Títulos e Documentos da cidade de São Paulo, Estado de São Paulo, em 1º de outubro de 2018, sob o nº 1.467.239, conforme aditado em 28 de junho de 2019</w:t>
      </w:r>
      <w:r>
        <w:rPr>
          <w:rFonts w:ascii="Arial" w:hAnsi="Arial" w:cs="Arial"/>
          <w:sz w:val="22"/>
          <w:szCs w:val="22"/>
          <w:lang w:eastAsia="x-none"/>
        </w:rPr>
        <w:t>;</w:t>
      </w:r>
    </w:p>
    <w:p>
      <w:pPr>
        <w:widowControl w:val="0"/>
        <w:spacing w:line="340" w:lineRule="exact"/>
        <w:jc w:val="both"/>
        <w:rPr>
          <w:rFonts w:ascii="Arial" w:hAnsi="Arial" w:cs="Arial"/>
          <w:sz w:val="22"/>
          <w:szCs w:val="22"/>
          <w:lang w:eastAsia="x-none"/>
        </w:rPr>
      </w:pPr>
    </w:p>
    <w:p>
      <w:pPr>
        <w:widowControl w:val="0"/>
        <w:spacing w:line="340" w:lineRule="exact"/>
        <w:jc w:val="both"/>
        <w:rPr>
          <w:rFonts w:ascii="Arial" w:hAnsi="Arial" w:cs="Arial"/>
          <w:sz w:val="22"/>
          <w:szCs w:val="22"/>
          <w:lang w:eastAsia="x-none"/>
        </w:rPr>
      </w:pPr>
      <w:r>
        <w:rPr>
          <w:rFonts w:ascii="Arial" w:hAnsi="Arial" w:cs="Arial"/>
          <w:sz w:val="22"/>
          <w:szCs w:val="22"/>
          <w:lang w:eastAsia="x-none"/>
        </w:rPr>
        <w:t>(ii)</w:t>
      </w:r>
      <w:r>
        <w:rPr>
          <w:rFonts w:ascii="Arial" w:hAnsi="Arial" w:cs="Arial"/>
          <w:sz w:val="22"/>
          <w:szCs w:val="22"/>
          <w:lang w:eastAsia="x-none"/>
        </w:rPr>
        <w:tab/>
        <w:t xml:space="preserve">em [●] de setembro de 2021, foi aprovada em Assembleia Geral de Debenturistas a </w:t>
      </w:r>
      <w:r>
        <w:rPr>
          <w:rFonts w:ascii="Arial" w:hAnsi="Arial" w:cs="Arial"/>
          <w:sz w:val="22"/>
          <w:szCs w:val="22"/>
          <w:lang w:eastAsia="x-none"/>
        </w:rPr>
        <w:lastRenderedPageBreak/>
        <w:t>alteração de determinados termos e condições das Debêntures (conforme definido no Contrato Original); e</w:t>
      </w:r>
    </w:p>
    <w:p>
      <w:pPr>
        <w:widowControl w:val="0"/>
        <w:spacing w:line="340" w:lineRule="exact"/>
        <w:jc w:val="both"/>
        <w:rPr>
          <w:rFonts w:ascii="Arial" w:hAnsi="Arial" w:cs="Arial"/>
          <w:sz w:val="22"/>
          <w:szCs w:val="22"/>
          <w:lang w:eastAsia="x-none"/>
        </w:rPr>
      </w:pPr>
    </w:p>
    <w:p>
      <w:pPr>
        <w:widowControl w:val="0"/>
        <w:spacing w:line="340" w:lineRule="exact"/>
        <w:jc w:val="both"/>
        <w:rPr>
          <w:rFonts w:ascii="Arial" w:hAnsi="Arial" w:cs="Arial"/>
          <w:bCs/>
          <w:sz w:val="22"/>
          <w:szCs w:val="22"/>
        </w:rPr>
      </w:pPr>
      <w:r>
        <w:rPr>
          <w:rFonts w:ascii="Arial" w:hAnsi="Arial" w:cs="Arial"/>
          <w:bCs/>
          <w:sz w:val="22"/>
          <w:szCs w:val="22"/>
        </w:rPr>
        <w:t>(iii)</w:t>
      </w:r>
      <w:r>
        <w:rPr>
          <w:rFonts w:ascii="Arial" w:hAnsi="Arial" w:cs="Arial"/>
          <w:bCs/>
          <w:sz w:val="22"/>
          <w:szCs w:val="22"/>
        </w:rPr>
        <w:tab/>
        <w:t>para refletir as alterações acima mencionadas, as Partes desejam aditar a descrição das Obrigações Garantidas constante do Contrato Original, bem como determinadas disposições.</w:t>
      </w:r>
    </w:p>
    <w:p>
      <w:pPr>
        <w:widowControl w:val="0"/>
        <w:autoSpaceDE w:val="0"/>
        <w:autoSpaceDN w:val="0"/>
        <w:adjustRightInd w:val="0"/>
        <w:spacing w:line="340" w:lineRule="exact"/>
        <w:jc w:val="both"/>
        <w:rPr>
          <w:rFonts w:ascii="Arial" w:hAnsi="Arial" w:cs="Arial"/>
          <w:sz w:val="22"/>
          <w:szCs w:val="22"/>
        </w:rPr>
      </w:pPr>
    </w:p>
    <w:p>
      <w:pPr>
        <w:widowControl w:val="0"/>
        <w:spacing w:line="340" w:lineRule="exact"/>
        <w:ind w:right="98"/>
        <w:jc w:val="both"/>
        <w:rPr>
          <w:rFonts w:ascii="Arial" w:hAnsi="Arial" w:cs="Arial"/>
          <w:sz w:val="22"/>
          <w:szCs w:val="22"/>
        </w:rPr>
      </w:pPr>
      <w:r>
        <w:rPr>
          <w:rFonts w:ascii="Arial" w:hAnsi="Arial" w:cs="Arial"/>
          <w:b/>
          <w:bCs/>
          <w:sz w:val="22"/>
          <w:szCs w:val="22"/>
        </w:rPr>
        <w:t xml:space="preserve">RESOLVEM </w:t>
      </w:r>
      <w:r>
        <w:rPr>
          <w:rFonts w:ascii="Arial" w:hAnsi="Arial" w:cs="Arial"/>
          <w:bCs/>
          <w:sz w:val="22"/>
          <w:szCs w:val="22"/>
        </w:rPr>
        <w:t>as Partes</w:t>
      </w:r>
      <w:r>
        <w:rPr>
          <w:rFonts w:ascii="Arial" w:hAnsi="Arial" w:cs="Arial"/>
          <w:sz w:val="22"/>
          <w:szCs w:val="22"/>
        </w:rPr>
        <w:t xml:space="preserve">, de comum acordo e sem quaisquer restrições, celebrar este </w:t>
      </w:r>
      <w:r>
        <w:rPr>
          <w:rFonts w:ascii="Arial" w:hAnsi="Arial" w:cs="Arial"/>
          <w:i/>
          <w:sz w:val="22"/>
          <w:szCs w:val="22"/>
        </w:rPr>
        <w:t>Décimo Sexto</w:t>
      </w:r>
      <w:r>
        <w:rPr>
          <w:rFonts w:ascii="Arial" w:hAnsi="Arial" w:cs="Arial"/>
          <w:sz w:val="22"/>
          <w:szCs w:val="22"/>
        </w:rPr>
        <w:t xml:space="preserve"> </w:t>
      </w:r>
      <w:r>
        <w:rPr>
          <w:rFonts w:ascii="Arial" w:hAnsi="Arial" w:cs="Arial"/>
          <w:i/>
          <w:sz w:val="22"/>
          <w:szCs w:val="22"/>
        </w:rPr>
        <w:t>Aditamento ao Contrato de Cessão Fiduciária de Direitos, Administração de Contas e Outras Avenças</w:t>
      </w:r>
      <w:r>
        <w:rPr>
          <w:rFonts w:ascii="Arial" w:hAnsi="Arial" w:cs="Arial"/>
          <w:sz w:val="22"/>
          <w:szCs w:val="22"/>
        </w:rPr>
        <w:t xml:space="preserve">, de acordo com os termos e condições aqui previstos, livremente convencionados entre as Partes, que se obrigam a cumpri-los e fazer com que sejam cumpridos. </w:t>
      </w:r>
    </w:p>
    <w:p>
      <w:pPr>
        <w:widowControl w:val="0"/>
        <w:spacing w:line="340" w:lineRule="exact"/>
        <w:ind w:right="98"/>
        <w:jc w:val="both"/>
        <w:rPr>
          <w:rFonts w:ascii="Arial" w:hAnsi="Arial" w:cs="Arial"/>
          <w:sz w:val="22"/>
          <w:szCs w:val="22"/>
        </w:rPr>
      </w:pPr>
    </w:p>
    <w:p>
      <w:pPr>
        <w:widowControl w:val="0"/>
        <w:spacing w:line="340" w:lineRule="exact"/>
        <w:ind w:right="98"/>
        <w:jc w:val="both"/>
        <w:rPr>
          <w:rFonts w:ascii="Arial" w:hAnsi="Arial" w:cs="Arial"/>
          <w:sz w:val="22"/>
          <w:szCs w:val="22"/>
        </w:rPr>
      </w:pPr>
      <w:r>
        <w:rPr>
          <w:rFonts w:ascii="Arial" w:hAnsi="Arial" w:cs="Arial"/>
          <w:sz w:val="22"/>
          <w:szCs w:val="22"/>
        </w:rPr>
        <w:t>Os termos iniciados em letras maiúsculas e utilizados neste Aditamento e em seu apêndice, estejam no singular ou no plural, e que não sejam diversamente definidos neste Aditamento, terão os significados estabelecidos no Contrato Original.</w:t>
      </w:r>
    </w:p>
    <w:p>
      <w:pPr>
        <w:widowControl w:val="0"/>
        <w:spacing w:line="340" w:lineRule="exact"/>
        <w:ind w:right="98"/>
        <w:jc w:val="both"/>
        <w:rPr>
          <w:rFonts w:ascii="Arial" w:hAnsi="Arial" w:cs="Arial"/>
          <w:sz w:val="22"/>
          <w:szCs w:val="22"/>
        </w:rPr>
      </w:pPr>
    </w:p>
    <w:p>
      <w:pPr>
        <w:pStyle w:val="Schedule1"/>
        <w:widowControl w:val="0"/>
        <w:numPr>
          <w:ilvl w:val="0"/>
          <w:numId w:val="0"/>
        </w:numPr>
        <w:tabs>
          <w:tab w:val="left" w:pos="708"/>
        </w:tabs>
        <w:spacing w:after="0" w:line="340" w:lineRule="exact"/>
        <w:rPr>
          <w:rFonts w:ascii="Arial" w:eastAsia="SimSun" w:hAnsi="Arial" w:cs="Arial"/>
          <w:b/>
        </w:rPr>
      </w:pPr>
      <w:r>
        <w:rPr>
          <w:rFonts w:ascii="Arial" w:eastAsia="SimSun" w:hAnsi="Arial" w:cs="Arial"/>
          <w:b/>
        </w:rPr>
        <w:t>CLÁUSULA PRIMEIRA – ADITAMENTO</w:t>
      </w:r>
    </w:p>
    <w:p>
      <w:pPr>
        <w:pStyle w:val="Schedule1"/>
        <w:widowControl w:val="0"/>
        <w:numPr>
          <w:ilvl w:val="0"/>
          <w:numId w:val="0"/>
        </w:numPr>
        <w:tabs>
          <w:tab w:val="left" w:pos="708"/>
        </w:tabs>
        <w:spacing w:after="0" w:line="340" w:lineRule="exact"/>
        <w:rPr>
          <w:rFonts w:ascii="Arial" w:eastAsia="SimSun" w:hAnsi="Arial" w:cs="Arial"/>
          <w:b/>
        </w:rPr>
      </w:pPr>
    </w:p>
    <w:p>
      <w:pPr>
        <w:pStyle w:val="Schedule1"/>
        <w:widowControl w:val="0"/>
        <w:numPr>
          <w:ilvl w:val="0"/>
          <w:numId w:val="0"/>
        </w:numPr>
        <w:tabs>
          <w:tab w:val="left" w:pos="708"/>
        </w:tabs>
        <w:spacing w:after="0" w:line="340" w:lineRule="exact"/>
        <w:rPr>
          <w:rFonts w:ascii="Arial" w:hAnsi="Arial" w:cs="Arial"/>
          <w:spacing w:val="-2"/>
        </w:rPr>
      </w:pPr>
      <w:r>
        <w:rPr>
          <w:rFonts w:ascii="Arial" w:eastAsia="SimSun" w:hAnsi="Arial" w:cs="Arial"/>
        </w:rPr>
        <w:t>1.1.</w:t>
      </w:r>
      <w:r>
        <w:rPr>
          <w:rFonts w:ascii="Arial" w:eastAsia="SimSun" w:hAnsi="Arial" w:cs="Arial"/>
        </w:rPr>
        <w:tab/>
        <w:t>As Partes concordam em alterar a Cláusula 4.2.4 do Contrato Original, que passa a viger com a seguinte redação:</w:t>
      </w:r>
    </w:p>
    <w:p>
      <w:pPr>
        <w:pStyle w:val="Schedule1"/>
        <w:widowControl w:val="0"/>
        <w:numPr>
          <w:ilvl w:val="0"/>
          <w:numId w:val="0"/>
        </w:numPr>
        <w:tabs>
          <w:tab w:val="left" w:pos="708"/>
        </w:tabs>
        <w:spacing w:after="0" w:line="340" w:lineRule="exact"/>
        <w:rPr>
          <w:rFonts w:ascii="Arial" w:hAnsi="Arial" w:cs="Arial"/>
          <w:spacing w:val="-2"/>
        </w:rPr>
      </w:pPr>
    </w:p>
    <w:p>
      <w:pPr>
        <w:spacing w:line="320" w:lineRule="exact"/>
        <w:ind w:left="708"/>
        <w:jc w:val="both"/>
        <w:rPr>
          <w:rFonts w:ascii="Arial" w:hAnsi="Arial" w:cs="Arial"/>
          <w:i/>
          <w:sz w:val="22"/>
          <w:szCs w:val="22"/>
        </w:rPr>
      </w:pPr>
      <w:r>
        <w:rPr>
          <w:rFonts w:ascii="Arial" w:hAnsi="Arial" w:cs="Arial"/>
          <w:i/>
          <w:sz w:val="22"/>
          <w:szCs w:val="22"/>
        </w:rPr>
        <w:t>4.2.4.</w:t>
      </w:r>
      <w:r>
        <w:rPr>
          <w:rFonts w:ascii="Arial" w:hAnsi="Arial" w:cs="Arial"/>
          <w:i/>
          <w:sz w:val="22"/>
          <w:szCs w:val="22"/>
        </w:rPr>
        <w:tab/>
        <w:t xml:space="preserve">A Conta Autorizada somente poderá ser movimentada, em nome da Cedente Fiduciária, conforme regras abaixo e </w:t>
      </w:r>
      <w:r>
        <w:rPr>
          <w:rFonts w:ascii="Arial" w:eastAsia="SimSun" w:hAnsi="Arial" w:cs="Arial"/>
          <w:i/>
          <w:sz w:val="22"/>
          <w:szCs w:val="22"/>
        </w:rPr>
        <w:t>o disposto no Contrato</w:t>
      </w:r>
      <w:r>
        <w:rPr>
          <w:rFonts w:ascii="Arial" w:hAnsi="Arial" w:cs="Arial"/>
          <w:i/>
          <w:sz w:val="22"/>
          <w:szCs w:val="22"/>
        </w:rPr>
        <w:t xml:space="preserve"> de Abertura de Conta:</w:t>
      </w:r>
    </w:p>
    <w:p>
      <w:pPr>
        <w:spacing w:line="320" w:lineRule="exact"/>
        <w:ind w:left="708"/>
        <w:jc w:val="both"/>
        <w:rPr>
          <w:rFonts w:ascii="Arial" w:hAnsi="Arial" w:cs="Arial"/>
          <w:i/>
          <w:sz w:val="22"/>
          <w:szCs w:val="22"/>
        </w:rPr>
      </w:pPr>
    </w:p>
    <w:p>
      <w:pPr>
        <w:spacing w:line="320" w:lineRule="exact"/>
        <w:ind w:left="708"/>
        <w:jc w:val="both"/>
        <w:rPr>
          <w:rFonts w:ascii="Arial" w:hAnsi="Arial" w:cs="Arial"/>
          <w:i/>
          <w:sz w:val="22"/>
          <w:szCs w:val="22"/>
        </w:rPr>
      </w:pPr>
      <w:r>
        <w:rPr>
          <w:rFonts w:ascii="Arial" w:hAnsi="Arial" w:cs="Arial"/>
          <w:i/>
          <w:sz w:val="22"/>
          <w:szCs w:val="22"/>
        </w:rPr>
        <w:t>(i)</w:t>
      </w:r>
      <w:r>
        <w:rPr>
          <w:rFonts w:ascii="Arial" w:hAnsi="Arial" w:cs="Arial"/>
          <w:i/>
          <w:sz w:val="22"/>
          <w:szCs w:val="22"/>
        </w:rPr>
        <w:tab/>
        <w:t xml:space="preserve">na Data de Integralização da Primeira Subscrição das Debêntures, a Cedente Fiduciária deverá transferir, mediante Transferência Eletrônica Disponível (TED), da Conta Autorizada para conta corrente de titularidade da Stone, o valor do Preço de Aquisição referente à Primeira Aquisição (conforme definido no Contrato de Cessão); </w:t>
      </w:r>
    </w:p>
    <w:p>
      <w:pPr>
        <w:spacing w:line="320" w:lineRule="exact"/>
        <w:ind w:left="708"/>
        <w:jc w:val="both"/>
        <w:rPr>
          <w:rFonts w:ascii="Arial" w:hAnsi="Arial" w:cs="Arial"/>
          <w:i/>
          <w:sz w:val="22"/>
          <w:szCs w:val="22"/>
        </w:rPr>
      </w:pPr>
    </w:p>
    <w:p>
      <w:pPr>
        <w:spacing w:line="320" w:lineRule="exact"/>
        <w:ind w:left="708"/>
        <w:jc w:val="both"/>
        <w:rPr>
          <w:rFonts w:ascii="Arial" w:hAnsi="Arial" w:cs="Arial"/>
          <w:i/>
          <w:sz w:val="22"/>
          <w:szCs w:val="22"/>
        </w:rPr>
      </w:pPr>
      <w:r>
        <w:rPr>
          <w:rFonts w:ascii="Arial" w:hAnsi="Arial" w:cs="Arial"/>
          <w:i/>
          <w:sz w:val="22"/>
          <w:szCs w:val="22"/>
        </w:rPr>
        <w:t>(ii)</w:t>
      </w:r>
      <w:r>
        <w:rPr>
          <w:rFonts w:ascii="Arial" w:hAnsi="Arial" w:cs="Arial"/>
          <w:i/>
          <w:sz w:val="22"/>
          <w:szCs w:val="22"/>
        </w:rPr>
        <w:tab/>
        <w:t>na Data de Integralização da Segunda Subscrição das Debêntures, a Cedente Fiduciária deverá transferir, mediante Transferência Eletrônica Disponível (TED), da Conta Autorizada para conta corrente de titularidade da Stone, o valor do Preço de Aquisição referente à Segunda Aquisição (conforme definido no Contrato de Cessão);</w:t>
      </w:r>
    </w:p>
    <w:p>
      <w:pPr>
        <w:spacing w:line="320" w:lineRule="exact"/>
        <w:ind w:left="708"/>
        <w:jc w:val="both"/>
        <w:rPr>
          <w:rFonts w:ascii="Arial" w:hAnsi="Arial" w:cs="Arial"/>
          <w:i/>
          <w:sz w:val="22"/>
          <w:szCs w:val="22"/>
        </w:rPr>
      </w:pPr>
    </w:p>
    <w:p>
      <w:pPr>
        <w:spacing w:line="320" w:lineRule="exact"/>
        <w:ind w:left="708"/>
        <w:jc w:val="both"/>
        <w:rPr>
          <w:rFonts w:ascii="Arial" w:hAnsi="Arial" w:cs="Arial"/>
          <w:i/>
          <w:sz w:val="22"/>
          <w:szCs w:val="22"/>
        </w:rPr>
      </w:pPr>
      <w:r>
        <w:rPr>
          <w:rFonts w:ascii="Arial" w:hAnsi="Arial" w:cs="Arial"/>
          <w:i/>
          <w:sz w:val="22"/>
          <w:szCs w:val="22"/>
        </w:rPr>
        <w:t>(iii)</w:t>
      </w:r>
      <w:r>
        <w:rPr>
          <w:rFonts w:ascii="Arial" w:hAnsi="Arial" w:cs="Arial"/>
          <w:i/>
          <w:sz w:val="22"/>
          <w:szCs w:val="22"/>
        </w:rPr>
        <w:tab/>
        <w:t xml:space="preserve">após a Primeira Aquisição e a Segunda Aquisição e durante o Período de Aquisição, a Cedente Fiduciária deverá realizar, mediante Transferência Eletrônica </w:t>
      </w:r>
      <w:r>
        <w:rPr>
          <w:rFonts w:ascii="Arial" w:hAnsi="Arial" w:cs="Arial"/>
          <w:i/>
          <w:sz w:val="22"/>
          <w:szCs w:val="22"/>
        </w:rPr>
        <w:lastRenderedPageBreak/>
        <w:t>Disponível (TED), transferências à Stone, a título de pagamento do Preço de Aquisição para fins de aquisição de novos Direitos Creditórios nos termos do Contrato de Cessão; e</w:t>
      </w:r>
    </w:p>
    <w:p>
      <w:pPr>
        <w:spacing w:line="320" w:lineRule="exact"/>
        <w:ind w:left="708"/>
        <w:jc w:val="both"/>
        <w:rPr>
          <w:rFonts w:ascii="Arial" w:hAnsi="Arial" w:cs="Arial"/>
          <w:i/>
          <w:sz w:val="22"/>
          <w:szCs w:val="22"/>
        </w:rPr>
      </w:pPr>
    </w:p>
    <w:p>
      <w:pPr>
        <w:pStyle w:val="Schedule1"/>
        <w:widowControl w:val="0"/>
        <w:numPr>
          <w:ilvl w:val="0"/>
          <w:numId w:val="0"/>
        </w:numPr>
        <w:tabs>
          <w:tab w:val="left" w:pos="708"/>
        </w:tabs>
        <w:spacing w:after="0" w:line="340" w:lineRule="exact"/>
        <w:ind w:left="708"/>
        <w:rPr>
          <w:rFonts w:ascii="Arial" w:hAnsi="Arial" w:cs="Arial"/>
          <w:spacing w:val="-2"/>
        </w:rPr>
      </w:pPr>
      <w:r>
        <w:rPr>
          <w:rFonts w:ascii="Arial" w:hAnsi="Arial" w:cs="Arial"/>
          <w:i/>
        </w:rPr>
        <w:t>(iv)</w:t>
      </w:r>
      <w:r>
        <w:rPr>
          <w:rFonts w:ascii="Arial" w:hAnsi="Arial" w:cs="Arial"/>
          <w:i/>
        </w:rPr>
        <w:tab/>
        <w:t xml:space="preserve">ao término do Período de Aquisição e/ou após a ocorrência de um Evento de Vencimento Antecipado das Debêntures ou qualquer outro evento que demande o bloqueio da Conta Autorizada, conforme determinado neste Contrato, o Agente Fiduciário deverá imediatamente notificar o Depositário, por qualquer meio válido (nos termos da Cláusula 11.6 abaixo), instruindo o bloqueio da Conta Autorizada para quaisquer transferências de recursos depositados na Conta Autorizada e (ii) o resgate de quaisquer Aplicações Permitidas, conforme modelo constante do </w:t>
      </w:r>
      <w:r>
        <w:rPr>
          <w:rFonts w:ascii="Arial" w:hAnsi="Arial" w:cs="Arial"/>
          <w:b/>
          <w:i/>
          <w:u w:val="single"/>
        </w:rPr>
        <w:t>Anexo IV</w:t>
      </w:r>
      <w:r>
        <w:rPr>
          <w:rFonts w:ascii="Arial" w:hAnsi="Arial" w:cs="Arial"/>
          <w:i/>
        </w:rPr>
        <w:t xml:space="preserve"> a este Contrato (“</w:t>
      </w:r>
      <w:r>
        <w:rPr>
          <w:rFonts w:ascii="Arial" w:hAnsi="Arial" w:cs="Arial"/>
          <w:b/>
          <w:i/>
        </w:rPr>
        <w:t>Notificação de Bloqueio</w:t>
      </w:r>
      <w:r>
        <w:rPr>
          <w:rFonts w:ascii="Arial" w:hAnsi="Arial" w:cs="Arial"/>
          <w:i/>
        </w:rPr>
        <w:t xml:space="preserve">”). Após o envio de uma Notificação de Bloqueio ao Depositário, somente o Agente Fiduciário poderá instruir ao Depositário para fins de qualquer transferência de recursos da Conta Autorizada ou qualquer resgate de Aplicações Permitidas, e o Agente Fiduciário se compromete a apenas instruir transferências e/ou resgates destinados ao pagamento de obrigações decorrentes da Emissão, de acordo com a Cláusulas 4.3 abaixo. Apenas mediante nova notificação enviada pelo Agente Fiduciário ao Depositário solicitando o desbloqueio da Conta Autorizada, conforme modelo constante do </w:t>
      </w:r>
      <w:r>
        <w:rPr>
          <w:rFonts w:ascii="Arial" w:hAnsi="Arial" w:cs="Arial"/>
          <w:b/>
          <w:i/>
          <w:u w:val="single"/>
        </w:rPr>
        <w:t>Anexo VI</w:t>
      </w:r>
      <w:r>
        <w:rPr>
          <w:rFonts w:ascii="Arial" w:hAnsi="Arial" w:cs="Arial"/>
          <w:i/>
        </w:rPr>
        <w:t xml:space="preserve"> a este Contrato (“</w:t>
      </w:r>
      <w:r>
        <w:rPr>
          <w:rFonts w:ascii="Arial" w:hAnsi="Arial" w:cs="Arial"/>
          <w:b/>
          <w:i/>
        </w:rPr>
        <w:t>Notificação de Desbloqueio</w:t>
      </w:r>
      <w:r>
        <w:rPr>
          <w:rFonts w:ascii="Arial" w:hAnsi="Arial" w:cs="Arial"/>
          <w:i/>
        </w:rPr>
        <w:t>”), quaisquer novas transferências e/ou resgates de Aplicações Permitidas poderão voltar a ser realizados pela Cedente (de forma direta ou representada pelo Servicer).</w:t>
      </w:r>
    </w:p>
    <w:p>
      <w:pPr>
        <w:pStyle w:val="Schedule1"/>
        <w:widowControl w:val="0"/>
        <w:numPr>
          <w:ilvl w:val="0"/>
          <w:numId w:val="0"/>
        </w:numPr>
        <w:tabs>
          <w:tab w:val="left" w:pos="708"/>
        </w:tabs>
        <w:spacing w:after="0" w:line="340" w:lineRule="exact"/>
        <w:rPr>
          <w:rFonts w:ascii="Arial" w:hAnsi="Arial" w:cs="Arial"/>
          <w:spacing w:val="-2"/>
        </w:rPr>
      </w:pPr>
    </w:p>
    <w:p>
      <w:pPr>
        <w:pStyle w:val="Schedule1"/>
        <w:widowControl w:val="0"/>
        <w:numPr>
          <w:ilvl w:val="0"/>
          <w:numId w:val="0"/>
        </w:numPr>
        <w:tabs>
          <w:tab w:val="left" w:pos="708"/>
        </w:tabs>
        <w:spacing w:after="0" w:line="340" w:lineRule="exact"/>
        <w:rPr>
          <w:rFonts w:ascii="Arial" w:hAnsi="Arial" w:cs="Arial"/>
          <w:spacing w:val="-2"/>
        </w:rPr>
      </w:pPr>
      <w:r>
        <w:rPr>
          <w:rFonts w:ascii="Arial" w:eastAsia="SimSun" w:hAnsi="Arial" w:cs="Arial"/>
        </w:rPr>
        <w:t>1.2.</w:t>
      </w:r>
      <w:r>
        <w:rPr>
          <w:rFonts w:ascii="Arial" w:eastAsia="SimSun" w:hAnsi="Arial" w:cs="Arial"/>
        </w:rPr>
        <w:tab/>
        <w:t xml:space="preserve">Tendo em vista a alteração da Data de Vencimento e da Remuneração das Debêntures, pelo presente instrumento, e de forma irrevogável e irretratável, as Partes atualizam o Anexo III do Contrato Original, que passa a viger conforme </w:t>
      </w:r>
      <w:r>
        <w:rPr>
          <w:rFonts w:ascii="Arial" w:eastAsia="SimSun" w:hAnsi="Arial" w:cs="Arial"/>
          <w:b/>
        </w:rPr>
        <w:t>Apêndice A</w:t>
      </w:r>
      <w:r>
        <w:rPr>
          <w:rFonts w:ascii="Arial" w:eastAsia="SimSun" w:hAnsi="Arial" w:cs="Arial"/>
        </w:rPr>
        <w:t xml:space="preserve"> a este Aditamento</w:t>
      </w:r>
      <w:r>
        <w:rPr>
          <w:rFonts w:ascii="Arial" w:hAnsi="Arial" w:cs="Arial"/>
          <w:spacing w:val="-2"/>
        </w:rPr>
        <w:t>.</w:t>
      </w:r>
    </w:p>
    <w:p>
      <w:pPr>
        <w:pStyle w:val="Schedule1"/>
        <w:widowControl w:val="0"/>
        <w:numPr>
          <w:ilvl w:val="0"/>
          <w:numId w:val="0"/>
        </w:numPr>
        <w:tabs>
          <w:tab w:val="left" w:pos="708"/>
        </w:tabs>
        <w:spacing w:after="0" w:line="340" w:lineRule="exact"/>
        <w:rPr>
          <w:rFonts w:ascii="Arial" w:hAnsi="Arial" w:cs="Arial"/>
          <w:spacing w:val="-2"/>
        </w:rPr>
      </w:pPr>
    </w:p>
    <w:p>
      <w:pPr>
        <w:pStyle w:val="Schedule1"/>
        <w:widowControl w:val="0"/>
        <w:numPr>
          <w:ilvl w:val="0"/>
          <w:numId w:val="0"/>
        </w:numPr>
        <w:tabs>
          <w:tab w:val="left" w:pos="708"/>
        </w:tabs>
        <w:spacing w:after="0" w:line="340" w:lineRule="exact"/>
        <w:rPr>
          <w:rFonts w:ascii="Arial" w:eastAsia="SimSun" w:hAnsi="Arial" w:cs="Arial"/>
          <w:b/>
        </w:rPr>
      </w:pPr>
      <w:r>
        <w:rPr>
          <w:rFonts w:ascii="Arial" w:eastAsia="SimSun" w:hAnsi="Arial" w:cs="Arial"/>
          <w:b/>
        </w:rPr>
        <w:t>CLÁUSULA SEGUNDA - REGISTROS E FORMALIDADES</w:t>
      </w:r>
    </w:p>
    <w:p>
      <w:pPr>
        <w:pStyle w:val="Schedule1"/>
        <w:widowControl w:val="0"/>
        <w:numPr>
          <w:ilvl w:val="0"/>
          <w:numId w:val="0"/>
        </w:numPr>
        <w:tabs>
          <w:tab w:val="left" w:pos="708"/>
        </w:tabs>
        <w:spacing w:after="0" w:line="340" w:lineRule="exact"/>
        <w:rPr>
          <w:rFonts w:ascii="Arial" w:eastAsia="SimSun" w:hAnsi="Arial" w:cs="Arial"/>
          <w:b/>
        </w:rPr>
      </w:pPr>
    </w:p>
    <w:p>
      <w:pPr>
        <w:pStyle w:val="Schedule1"/>
        <w:widowControl w:val="0"/>
        <w:numPr>
          <w:ilvl w:val="0"/>
          <w:numId w:val="0"/>
        </w:numPr>
        <w:tabs>
          <w:tab w:val="left" w:pos="708"/>
        </w:tabs>
        <w:spacing w:after="0" w:line="340" w:lineRule="exact"/>
        <w:rPr>
          <w:rFonts w:ascii="Arial" w:eastAsia="SimSun" w:hAnsi="Arial" w:cs="Arial"/>
          <w:b/>
        </w:rPr>
      </w:pPr>
      <w:r>
        <w:rPr>
          <w:rFonts w:ascii="Arial" w:eastAsia="SimSun" w:hAnsi="Arial" w:cs="Arial"/>
        </w:rPr>
        <w:t xml:space="preserve">2.1. </w:t>
      </w:r>
      <w:r>
        <w:rPr>
          <w:rFonts w:ascii="Arial" w:eastAsia="SimSun" w:hAnsi="Arial" w:cs="Arial"/>
        </w:rPr>
        <w:tab/>
        <w:t xml:space="preserve">Este Aditamento deverá ser protocolado pela Cedente Fiduciária para registro junto ao Cartório RTD no prazo de até 1 (um) Dia Útil contado de sua assinatura. </w:t>
      </w:r>
    </w:p>
    <w:p>
      <w:pPr>
        <w:pStyle w:val="Schedule1"/>
        <w:widowControl w:val="0"/>
        <w:numPr>
          <w:ilvl w:val="0"/>
          <w:numId w:val="0"/>
        </w:numPr>
        <w:tabs>
          <w:tab w:val="left" w:pos="708"/>
        </w:tabs>
        <w:spacing w:after="0" w:line="340" w:lineRule="exact"/>
        <w:rPr>
          <w:rFonts w:ascii="Arial" w:eastAsia="SimSun" w:hAnsi="Arial" w:cs="Arial"/>
          <w:b/>
        </w:rPr>
      </w:pPr>
    </w:p>
    <w:p>
      <w:pPr>
        <w:pStyle w:val="Schedule1"/>
        <w:widowControl w:val="0"/>
        <w:numPr>
          <w:ilvl w:val="0"/>
          <w:numId w:val="0"/>
        </w:numPr>
        <w:tabs>
          <w:tab w:val="left" w:pos="708"/>
        </w:tabs>
        <w:spacing w:after="0" w:line="340" w:lineRule="exact"/>
        <w:rPr>
          <w:rFonts w:ascii="Arial" w:eastAsia="SimSun" w:hAnsi="Arial" w:cs="Arial"/>
          <w:b/>
        </w:rPr>
      </w:pPr>
      <w:r>
        <w:rPr>
          <w:rFonts w:ascii="Arial" w:eastAsia="SimSun" w:hAnsi="Arial" w:cs="Arial"/>
        </w:rPr>
        <w:t xml:space="preserve">2.2. </w:t>
      </w:r>
      <w:r>
        <w:rPr>
          <w:rFonts w:ascii="Arial" w:eastAsia="SimSun" w:hAnsi="Arial" w:cs="Arial"/>
        </w:rPr>
        <w:tab/>
        <w:t>A Cedente Fiduciária deverá informar os Debenturistas caso o registro deste Contrato ou de qualquer um de seus aditamentos não tenha sido realizado pelo Cartório RTD em até 10 (dez) dias após o protocolo no Cartório RTD para registro.</w:t>
      </w:r>
    </w:p>
    <w:p>
      <w:pPr>
        <w:pStyle w:val="Schedule1"/>
        <w:widowControl w:val="0"/>
        <w:numPr>
          <w:ilvl w:val="0"/>
          <w:numId w:val="0"/>
        </w:numPr>
        <w:tabs>
          <w:tab w:val="left" w:pos="708"/>
        </w:tabs>
        <w:spacing w:after="0" w:line="340" w:lineRule="exact"/>
        <w:rPr>
          <w:rFonts w:ascii="Arial" w:eastAsia="SimSun" w:hAnsi="Arial" w:cs="Arial"/>
          <w:b/>
        </w:rPr>
      </w:pPr>
    </w:p>
    <w:p>
      <w:pPr>
        <w:pStyle w:val="Schedule1"/>
        <w:widowControl w:val="0"/>
        <w:numPr>
          <w:ilvl w:val="0"/>
          <w:numId w:val="0"/>
        </w:numPr>
        <w:tabs>
          <w:tab w:val="left" w:pos="708"/>
        </w:tabs>
        <w:spacing w:after="0" w:line="340" w:lineRule="exact"/>
        <w:rPr>
          <w:rFonts w:ascii="Arial" w:eastAsia="SimSun" w:hAnsi="Arial" w:cs="Arial"/>
        </w:rPr>
      </w:pPr>
      <w:r>
        <w:rPr>
          <w:rFonts w:ascii="Arial" w:eastAsia="SimSun" w:hAnsi="Arial" w:cs="Arial"/>
        </w:rPr>
        <w:lastRenderedPageBreak/>
        <w:t>2.3.</w:t>
      </w:r>
      <w:r>
        <w:rPr>
          <w:rFonts w:ascii="Arial" w:eastAsia="SimSun" w:hAnsi="Arial" w:cs="Arial"/>
        </w:rPr>
        <w:tab/>
        <w:t>Todos e quaisquer custos, despesas e emolumentos relativos ao registro de qualquer aditamento a este Contrato serão de responsabilidade e correrão por conta da Cedente Fiduciária.</w:t>
      </w:r>
    </w:p>
    <w:p>
      <w:pPr>
        <w:pStyle w:val="Schedule1"/>
        <w:widowControl w:val="0"/>
        <w:numPr>
          <w:ilvl w:val="0"/>
          <w:numId w:val="0"/>
        </w:numPr>
        <w:tabs>
          <w:tab w:val="left" w:pos="708"/>
        </w:tabs>
        <w:spacing w:after="0" w:line="340" w:lineRule="exact"/>
        <w:rPr>
          <w:rFonts w:ascii="Arial" w:eastAsia="SimSun" w:hAnsi="Arial" w:cs="Arial"/>
          <w:b/>
        </w:rPr>
      </w:pPr>
    </w:p>
    <w:p>
      <w:pPr>
        <w:pStyle w:val="Schedule1"/>
        <w:widowControl w:val="0"/>
        <w:numPr>
          <w:ilvl w:val="0"/>
          <w:numId w:val="0"/>
        </w:numPr>
        <w:tabs>
          <w:tab w:val="left" w:pos="708"/>
        </w:tabs>
        <w:spacing w:after="0" w:line="340" w:lineRule="exact"/>
        <w:rPr>
          <w:rFonts w:ascii="Arial" w:eastAsia="SimSun" w:hAnsi="Arial" w:cs="Arial"/>
        </w:rPr>
      </w:pPr>
      <w:r>
        <w:rPr>
          <w:rFonts w:ascii="Arial" w:eastAsia="SimSun" w:hAnsi="Arial" w:cs="Arial"/>
        </w:rPr>
        <w:t>2.4.</w:t>
      </w:r>
      <w:r>
        <w:rPr>
          <w:rFonts w:ascii="Arial" w:eastAsia="SimSun" w:hAnsi="Arial" w:cs="Arial"/>
        </w:rPr>
        <w:tab/>
        <w:t>Após o registro, a Cedente Fiduciária deverá entregar ao Agente Fiduciário 1 (uma) via original devidamente registrada deste Contrato ou dos aditamentos a este Contrato, conforme o caso, no prazo de até 2 (dois) Dias Úteis contados da data de obtenção do referido registro.</w:t>
      </w:r>
    </w:p>
    <w:p>
      <w:pPr>
        <w:pStyle w:val="Schedule1"/>
        <w:widowControl w:val="0"/>
        <w:numPr>
          <w:ilvl w:val="0"/>
          <w:numId w:val="0"/>
        </w:numPr>
        <w:tabs>
          <w:tab w:val="left" w:pos="708"/>
        </w:tabs>
        <w:spacing w:after="0" w:line="340" w:lineRule="exact"/>
        <w:rPr>
          <w:rFonts w:ascii="Arial" w:eastAsia="SimSun" w:hAnsi="Arial" w:cs="Arial"/>
        </w:rPr>
      </w:pPr>
    </w:p>
    <w:p>
      <w:pPr>
        <w:pStyle w:val="Schedule1"/>
        <w:widowControl w:val="0"/>
        <w:numPr>
          <w:ilvl w:val="0"/>
          <w:numId w:val="0"/>
        </w:numPr>
        <w:tabs>
          <w:tab w:val="left" w:pos="708"/>
        </w:tabs>
        <w:spacing w:after="0" w:line="340" w:lineRule="exact"/>
        <w:rPr>
          <w:rFonts w:ascii="Arial" w:eastAsia="SimSun" w:hAnsi="Arial" w:cs="Arial"/>
          <w:b/>
        </w:rPr>
      </w:pPr>
      <w:r>
        <w:rPr>
          <w:rFonts w:ascii="Arial" w:eastAsia="SimSun" w:hAnsi="Arial" w:cs="Arial"/>
          <w:b/>
        </w:rPr>
        <w:t>CLÁUSULA TERCEIRA – RATIFICAÇÃO</w:t>
      </w:r>
    </w:p>
    <w:p>
      <w:pPr>
        <w:pStyle w:val="Schedule1"/>
        <w:widowControl w:val="0"/>
        <w:numPr>
          <w:ilvl w:val="0"/>
          <w:numId w:val="0"/>
        </w:numPr>
        <w:tabs>
          <w:tab w:val="left" w:pos="708"/>
        </w:tabs>
        <w:spacing w:after="0" w:line="340" w:lineRule="exact"/>
        <w:rPr>
          <w:rFonts w:ascii="Arial" w:eastAsia="SimSun" w:hAnsi="Arial" w:cs="Arial"/>
          <w:b/>
        </w:rPr>
      </w:pPr>
    </w:p>
    <w:p>
      <w:pPr>
        <w:pStyle w:val="Schedule2"/>
        <w:widowControl w:val="0"/>
        <w:tabs>
          <w:tab w:val="clear" w:pos="680"/>
          <w:tab w:val="left" w:pos="708"/>
        </w:tabs>
        <w:spacing w:after="0" w:line="340" w:lineRule="exact"/>
        <w:ind w:left="0" w:firstLine="0"/>
        <w:rPr>
          <w:rFonts w:ascii="Arial" w:eastAsia="SimSun" w:hAnsi="Arial" w:cs="Arial"/>
        </w:rPr>
      </w:pPr>
      <w:r>
        <w:rPr>
          <w:rFonts w:ascii="Arial" w:eastAsia="SimSun" w:hAnsi="Arial" w:cs="Arial"/>
        </w:rPr>
        <w:t>3.1.</w:t>
      </w:r>
      <w:r>
        <w:rPr>
          <w:rFonts w:ascii="Arial" w:eastAsia="SimSun" w:hAnsi="Arial" w:cs="Arial"/>
        </w:rPr>
        <w:tab/>
        <w:t>Os termos grafados com letra inicial em maiúsculo empregados neste Aditamento terão os significados a eles atribuído no Contrato Original.</w:t>
      </w:r>
    </w:p>
    <w:p>
      <w:pPr>
        <w:pStyle w:val="Schedule2"/>
        <w:widowControl w:val="0"/>
        <w:tabs>
          <w:tab w:val="clear" w:pos="680"/>
          <w:tab w:val="left" w:pos="708"/>
        </w:tabs>
        <w:spacing w:after="0" w:line="340" w:lineRule="exact"/>
        <w:ind w:left="0" w:firstLine="0"/>
        <w:rPr>
          <w:rFonts w:ascii="Arial" w:eastAsia="SimSun" w:hAnsi="Arial" w:cs="Arial"/>
        </w:rPr>
      </w:pPr>
    </w:p>
    <w:p>
      <w:pPr>
        <w:pStyle w:val="Schedule2"/>
        <w:widowControl w:val="0"/>
        <w:tabs>
          <w:tab w:val="clear" w:pos="680"/>
          <w:tab w:val="left" w:pos="708"/>
        </w:tabs>
        <w:spacing w:after="0" w:line="340" w:lineRule="exact"/>
        <w:ind w:left="0" w:firstLine="0"/>
        <w:rPr>
          <w:rFonts w:ascii="Arial" w:eastAsia="SimSun" w:hAnsi="Arial" w:cs="Arial"/>
        </w:rPr>
      </w:pPr>
      <w:r>
        <w:rPr>
          <w:rFonts w:ascii="Arial" w:eastAsia="SimSun" w:hAnsi="Arial" w:cs="Arial"/>
        </w:rPr>
        <w:t>3.2.</w:t>
      </w:r>
      <w:r>
        <w:rPr>
          <w:rFonts w:ascii="Arial" w:eastAsia="SimSun" w:hAnsi="Arial" w:cs="Arial"/>
        </w:rPr>
        <w:tab/>
        <w:t>Pelo presente, a Cedente Fiduciária ratifica expressamente todas as declarações, garantias, procurações e avenças, prestadas, outorgadas e contratadas no Contrato Original, como se tais declarações, garantias, procurações e avenças estivessem aqui integralmente transcritas.</w:t>
      </w:r>
    </w:p>
    <w:p>
      <w:pPr>
        <w:pStyle w:val="Schedule2"/>
        <w:widowControl w:val="0"/>
        <w:tabs>
          <w:tab w:val="clear" w:pos="680"/>
          <w:tab w:val="left" w:pos="708"/>
        </w:tabs>
        <w:spacing w:after="0" w:line="340" w:lineRule="exact"/>
        <w:ind w:left="0" w:firstLine="0"/>
        <w:rPr>
          <w:rFonts w:ascii="Arial" w:eastAsia="SimSun" w:hAnsi="Arial" w:cs="Arial"/>
        </w:rPr>
      </w:pPr>
    </w:p>
    <w:p>
      <w:pPr>
        <w:pStyle w:val="Schedule2"/>
        <w:widowControl w:val="0"/>
        <w:tabs>
          <w:tab w:val="clear" w:pos="680"/>
          <w:tab w:val="left" w:pos="708"/>
        </w:tabs>
        <w:spacing w:after="0" w:line="340" w:lineRule="exact"/>
        <w:ind w:left="0" w:firstLine="0"/>
        <w:rPr>
          <w:rFonts w:ascii="Arial" w:eastAsia="SimSun" w:hAnsi="Arial" w:cs="Arial"/>
        </w:rPr>
      </w:pPr>
      <w:r>
        <w:rPr>
          <w:rFonts w:ascii="Arial" w:eastAsia="SimSun" w:hAnsi="Arial" w:cs="Arial"/>
        </w:rPr>
        <w:t>3.3.</w:t>
      </w:r>
      <w:r>
        <w:rPr>
          <w:rFonts w:ascii="Arial" w:eastAsia="SimSun" w:hAnsi="Arial" w:cs="Arial"/>
        </w:rPr>
        <w:tab/>
        <w:t>Exceto como expressamente aditado nos termos do presente, todas as demais cláusulas permanecem inalteradas, e são integralmente ratificados por mútuo acordo entre as Partes.</w:t>
      </w:r>
    </w:p>
    <w:p>
      <w:pPr>
        <w:pStyle w:val="Schedule2"/>
        <w:widowControl w:val="0"/>
        <w:tabs>
          <w:tab w:val="clear" w:pos="680"/>
          <w:tab w:val="left" w:pos="708"/>
        </w:tabs>
        <w:spacing w:after="0" w:line="340" w:lineRule="exact"/>
        <w:ind w:left="0" w:firstLine="0"/>
        <w:rPr>
          <w:rFonts w:ascii="Arial" w:eastAsia="SimSun" w:hAnsi="Arial" w:cs="Arial"/>
        </w:rPr>
      </w:pPr>
    </w:p>
    <w:p>
      <w:pPr>
        <w:pStyle w:val="Schedule2"/>
        <w:widowControl w:val="0"/>
        <w:tabs>
          <w:tab w:val="clear" w:pos="680"/>
          <w:tab w:val="left" w:pos="708"/>
        </w:tabs>
        <w:spacing w:after="0" w:line="340" w:lineRule="exact"/>
        <w:ind w:left="0" w:firstLine="0"/>
        <w:rPr>
          <w:rFonts w:ascii="Arial" w:hAnsi="Arial" w:cs="Arial"/>
        </w:rPr>
      </w:pPr>
      <w:r>
        <w:rPr>
          <w:rFonts w:ascii="Arial" w:eastAsia="SimSun" w:hAnsi="Arial" w:cs="Arial"/>
        </w:rPr>
        <w:t xml:space="preserve">3.4. </w:t>
      </w:r>
      <w:r>
        <w:rPr>
          <w:rFonts w:ascii="Arial" w:eastAsia="SimSun" w:hAnsi="Arial" w:cs="Arial"/>
        </w:rPr>
        <w:tab/>
      </w:r>
      <w:r>
        <w:rPr>
          <w:rFonts w:ascii="Arial" w:hAnsi="Arial" w:cs="Arial"/>
        </w:rPr>
        <w:t>Fica eleito o Foro da Comarca de São Paulo, Estado de São Paulo, com exclusão de qualquer outro, por mais privilegiado que seja ou venha a ser, para dirimir as questões porventura oriundas deste Aditamento.</w:t>
      </w:r>
    </w:p>
    <w:p>
      <w:pPr>
        <w:pStyle w:val="Schedule2"/>
        <w:widowControl w:val="0"/>
        <w:tabs>
          <w:tab w:val="clear" w:pos="680"/>
          <w:tab w:val="left" w:pos="708"/>
        </w:tabs>
        <w:spacing w:after="0" w:line="340" w:lineRule="exact"/>
        <w:ind w:left="0" w:firstLine="0"/>
        <w:rPr>
          <w:rFonts w:ascii="Arial" w:hAnsi="Arial" w:cs="Arial"/>
        </w:rPr>
      </w:pPr>
    </w:p>
    <w:p>
      <w:pPr>
        <w:pStyle w:val="Schedule2"/>
        <w:widowControl w:val="0"/>
        <w:tabs>
          <w:tab w:val="clear" w:pos="680"/>
          <w:tab w:val="left" w:pos="708"/>
        </w:tabs>
        <w:spacing w:after="0" w:line="340" w:lineRule="exact"/>
        <w:ind w:left="0" w:firstLine="0"/>
        <w:rPr>
          <w:rFonts w:ascii="Arial" w:hAnsi="Arial" w:cs="Arial"/>
        </w:rPr>
      </w:pPr>
      <w:r>
        <w:rPr>
          <w:rFonts w:ascii="Arial" w:hAnsi="Arial" w:cs="Arial"/>
        </w:rPr>
        <w:t>3.5.</w:t>
      </w:r>
      <w:r>
        <w:rPr>
          <w:rFonts w:ascii="Arial" w:hAnsi="Arial" w:cs="Arial"/>
        </w:rPr>
        <w:tab/>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da Lei nº 10.406, de 10 de janeiro de 2002, conforme alterada (“</w:t>
      </w:r>
      <w:r>
        <w:rPr>
          <w:rFonts w:ascii="Arial" w:hAnsi="Arial" w:cs="Arial"/>
          <w:b/>
        </w:rPr>
        <w:t>Código Civil</w:t>
      </w:r>
      <w:r>
        <w:rPr>
          <w:rFonts w:ascii="Arial" w:hAnsi="Arial" w:cs="Arial"/>
        </w:rPr>
        <w:t xml:space="preserve">”), reconhecendo expressamente que as reproduções mecânicas ou eletrônicas de documentos assinados digitalmente por processo de certificação disponibilizado pela Infraestrutura de Chaves </w:t>
      </w:r>
      <w:r>
        <w:rPr>
          <w:rFonts w:ascii="Arial" w:hAnsi="Arial" w:cs="Arial"/>
        </w:rPr>
        <w:lastRenderedPageBreak/>
        <w:t>Públicas Brasileira – ICP-Brasil fazem prova plena desses. Na forma acima prevista, este Aditamento pode ser assinado digitalmente por meio eletrônico conforme disposto neste item.</w:t>
      </w:r>
    </w:p>
    <w:p>
      <w:pPr>
        <w:pStyle w:val="Schedule2"/>
        <w:widowControl w:val="0"/>
        <w:tabs>
          <w:tab w:val="clear" w:pos="680"/>
          <w:tab w:val="left" w:pos="708"/>
        </w:tabs>
        <w:spacing w:after="0" w:line="340" w:lineRule="exact"/>
        <w:ind w:left="0" w:firstLine="0"/>
        <w:rPr>
          <w:rFonts w:ascii="Arial" w:eastAsia="SimSun" w:hAnsi="Arial" w:cs="Arial"/>
        </w:rPr>
      </w:pPr>
    </w:p>
    <w:p>
      <w:pPr>
        <w:pStyle w:val="Level2"/>
        <w:widowControl w:val="0"/>
        <w:numPr>
          <w:ilvl w:val="0"/>
          <w:numId w:val="0"/>
        </w:numPr>
        <w:tabs>
          <w:tab w:val="left" w:pos="708"/>
        </w:tabs>
        <w:spacing w:after="0" w:line="340" w:lineRule="exact"/>
        <w:rPr>
          <w:rFonts w:ascii="Arial" w:hAnsi="Arial" w:cs="Arial"/>
          <w:color w:val="000000"/>
          <w:sz w:val="22"/>
          <w:szCs w:val="22"/>
        </w:rPr>
      </w:pPr>
      <w:r>
        <w:rPr>
          <w:rFonts w:ascii="Arial" w:hAnsi="Arial" w:cs="Arial"/>
          <w:sz w:val="22"/>
          <w:szCs w:val="22"/>
        </w:rPr>
        <w:t>E, por estarem justas e contratadas, firmam o presente Aditamento em 4 (quatro) vias de igual teor e forma, para os mesmos fins e efeitos de direito, obrigando-se por si, por seus sucessores ou cessionários a qualquer título, na presença das 2 (duas) testemunhas abaixo assinadas</w:t>
      </w:r>
      <w:r>
        <w:rPr>
          <w:rFonts w:ascii="Arial" w:hAnsi="Arial" w:cs="Arial"/>
          <w:color w:val="000000"/>
          <w:sz w:val="22"/>
          <w:szCs w:val="22"/>
        </w:rPr>
        <w:t xml:space="preserve">. </w:t>
      </w:r>
    </w:p>
    <w:p>
      <w:pPr>
        <w:pStyle w:val="Level2"/>
        <w:widowControl w:val="0"/>
        <w:numPr>
          <w:ilvl w:val="0"/>
          <w:numId w:val="0"/>
        </w:numPr>
        <w:tabs>
          <w:tab w:val="left" w:pos="708"/>
        </w:tabs>
        <w:spacing w:after="0" w:line="340" w:lineRule="exact"/>
        <w:rPr>
          <w:rFonts w:ascii="Arial" w:eastAsia="SimSun" w:hAnsi="Arial" w:cs="Arial"/>
          <w:sz w:val="22"/>
          <w:szCs w:val="22"/>
        </w:rPr>
      </w:pPr>
    </w:p>
    <w:p>
      <w:pPr>
        <w:widowControl w:val="0"/>
        <w:spacing w:line="340" w:lineRule="exact"/>
        <w:jc w:val="center"/>
        <w:rPr>
          <w:rFonts w:ascii="Arial" w:hAnsi="Arial" w:cs="Arial"/>
          <w:sz w:val="22"/>
          <w:szCs w:val="22"/>
        </w:rPr>
      </w:pPr>
      <w:r>
        <w:rPr>
          <w:rFonts w:ascii="Arial" w:hAnsi="Arial" w:cs="Arial"/>
          <w:sz w:val="22"/>
          <w:szCs w:val="22"/>
        </w:rPr>
        <w:t>São Paulo, [●] de setembro de 2021.</w:t>
      </w:r>
    </w:p>
    <w:p>
      <w:pPr>
        <w:widowControl w:val="0"/>
        <w:spacing w:line="340" w:lineRule="exact"/>
        <w:jc w:val="center"/>
        <w:rPr>
          <w:rFonts w:ascii="Arial" w:hAnsi="Arial" w:cs="Arial"/>
          <w:sz w:val="22"/>
          <w:szCs w:val="22"/>
        </w:rPr>
      </w:pPr>
      <w:r>
        <w:rPr>
          <w:rFonts w:ascii="Arial" w:hAnsi="Arial" w:cs="Arial"/>
          <w:sz w:val="22"/>
          <w:szCs w:val="22"/>
        </w:rPr>
        <w:br/>
      </w:r>
      <w:bookmarkStart w:id="0" w:name="_DV_M103"/>
      <w:bookmarkStart w:id="1" w:name="_DV_M104"/>
      <w:bookmarkStart w:id="2" w:name="_DV_M108"/>
      <w:bookmarkStart w:id="3" w:name="_DV_M125"/>
      <w:bookmarkStart w:id="4" w:name="_DV_M148"/>
      <w:bookmarkStart w:id="5" w:name="_DV_M149"/>
      <w:bookmarkStart w:id="6" w:name="_DV_M152"/>
      <w:bookmarkStart w:id="7" w:name="_DV_M153"/>
      <w:bookmarkStart w:id="8" w:name="_DV_M154"/>
      <w:bookmarkStart w:id="9" w:name="_DV_M155"/>
      <w:bookmarkStart w:id="10" w:name="_DV_M156"/>
      <w:bookmarkStart w:id="11" w:name="_DV_M268"/>
      <w:bookmarkStart w:id="12" w:name="_DV_M447"/>
      <w:bookmarkStart w:id="13" w:name="_DV_M114"/>
      <w:bookmarkStart w:id="14" w:name="_DV_M115"/>
      <w:bookmarkStart w:id="15" w:name="_DV_M123"/>
      <w:bookmarkStart w:id="16" w:name="_DV_M124"/>
      <w:bookmarkStart w:id="17" w:name="_DV_M13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Arial" w:eastAsia="Batang" w:hAnsi="Arial" w:cs="Arial"/>
          <w:sz w:val="22"/>
          <w:szCs w:val="22"/>
        </w:rPr>
        <w:t xml:space="preserve"> </w:t>
      </w:r>
      <w:r>
        <w:rPr>
          <w:rFonts w:ascii="Arial" w:hAnsi="Arial" w:cs="Arial"/>
          <w:i/>
          <w:sz w:val="22"/>
          <w:szCs w:val="22"/>
        </w:rPr>
        <w:t>[o restante da página foi intencionalmente deixado em branco.]</w:t>
      </w:r>
    </w:p>
    <w:p>
      <w:pPr>
        <w:widowControl w:val="0"/>
        <w:suppressAutoHyphens/>
        <w:spacing w:line="340" w:lineRule="exact"/>
        <w:jc w:val="both"/>
        <w:rPr>
          <w:rFonts w:ascii="Arial" w:hAnsi="Arial" w:cs="Arial"/>
          <w:i/>
          <w:sz w:val="22"/>
          <w:szCs w:val="22"/>
        </w:rPr>
      </w:pPr>
      <w:r>
        <w:rPr>
          <w:rFonts w:ascii="Arial" w:hAnsi="Arial" w:cs="Arial"/>
          <w:i/>
          <w:sz w:val="22"/>
          <w:szCs w:val="22"/>
        </w:rPr>
        <w:br w:type="page"/>
      </w:r>
      <w:r>
        <w:rPr>
          <w:rFonts w:ascii="Arial" w:hAnsi="Arial" w:cs="Arial"/>
          <w:i/>
          <w:sz w:val="22"/>
          <w:szCs w:val="22"/>
        </w:rPr>
        <w:lastRenderedPageBreak/>
        <w:t>Página de assinaturas 1/4 do “Décimo Sexto Aditamento ao Contrato de Cessão Fiduciária de Direitos, Administração de Contas e Outras Avenças”</w:t>
      </w:r>
    </w:p>
    <w:p>
      <w:pPr>
        <w:pStyle w:val="Cabealho"/>
        <w:widowControl w:val="0"/>
        <w:spacing w:line="340" w:lineRule="exact"/>
        <w:jc w:val="both"/>
        <w:rPr>
          <w:rFonts w:ascii="Arial" w:hAnsi="Arial" w:cs="Arial"/>
          <w:i/>
          <w:sz w:val="22"/>
          <w:szCs w:val="22"/>
        </w:rPr>
      </w:pPr>
    </w:p>
    <w:p>
      <w:pPr>
        <w:widowControl w:val="0"/>
        <w:spacing w:line="340" w:lineRule="exact"/>
        <w:jc w:val="center"/>
        <w:rPr>
          <w:rFonts w:ascii="Arial" w:hAnsi="Arial" w:cs="Arial"/>
          <w:sz w:val="22"/>
          <w:szCs w:val="22"/>
        </w:rPr>
      </w:pPr>
    </w:p>
    <w:p>
      <w:pPr>
        <w:widowControl w:val="0"/>
        <w:spacing w:line="340" w:lineRule="exact"/>
        <w:jc w:val="center"/>
        <w:rPr>
          <w:rFonts w:ascii="Arial" w:hAnsi="Arial" w:cs="Arial"/>
          <w:b/>
          <w:sz w:val="22"/>
          <w:szCs w:val="22"/>
        </w:rPr>
      </w:pPr>
      <w:r>
        <w:rPr>
          <w:rFonts w:ascii="Arial" w:hAnsi="Arial" w:cs="Arial"/>
          <w:b/>
          <w:sz w:val="22"/>
          <w:szCs w:val="22"/>
        </w:rPr>
        <w:t xml:space="preserve">SRC COMPANHIA SECURITIZADORA DE CRÉDITOS FINANCEIROS </w:t>
      </w:r>
    </w:p>
    <w:p>
      <w:pPr>
        <w:widowControl w:val="0"/>
        <w:spacing w:line="340" w:lineRule="exact"/>
        <w:jc w:val="center"/>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5000" w:type="pct"/>
        <w:tblCellMar>
          <w:left w:w="70" w:type="dxa"/>
          <w:right w:w="70" w:type="dxa"/>
        </w:tblCellMar>
        <w:tblLook w:val="0000" w:firstRow="0" w:lastRow="0" w:firstColumn="0" w:lastColumn="0" w:noHBand="0" w:noVBand="0"/>
      </w:tblPr>
      <w:tblGrid>
        <w:gridCol w:w="4703"/>
        <w:gridCol w:w="4703"/>
      </w:tblGrid>
      <w:tr>
        <w:trPr>
          <w:cantSplit/>
        </w:trPr>
        <w:tc>
          <w:tcPr>
            <w:tcW w:w="2500" w:type="pct"/>
          </w:tcPr>
          <w:p>
            <w:pPr>
              <w:widowControl w:val="0"/>
              <w:spacing w:line="340" w:lineRule="exact"/>
              <w:rPr>
                <w:rFonts w:ascii="Arial" w:hAnsi="Arial" w:cs="Arial"/>
                <w:sz w:val="22"/>
                <w:szCs w:val="22"/>
              </w:rPr>
            </w:pPr>
            <w:r>
              <w:rPr>
                <w:rFonts w:ascii="Arial" w:hAnsi="Arial" w:cs="Arial"/>
                <w:sz w:val="22"/>
                <w:szCs w:val="22"/>
              </w:rPr>
              <w:t>______________________________</w:t>
            </w:r>
          </w:p>
          <w:p>
            <w:pPr>
              <w:widowControl w:val="0"/>
              <w:spacing w:line="340" w:lineRule="exact"/>
              <w:rPr>
                <w:rFonts w:ascii="Arial" w:hAnsi="Arial" w:cs="Arial"/>
                <w:sz w:val="22"/>
                <w:szCs w:val="22"/>
              </w:rPr>
            </w:pPr>
            <w:r>
              <w:rPr>
                <w:rFonts w:ascii="Arial" w:hAnsi="Arial" w:cs="Arial"/>
                <w:sz w:val="22"/>
                <w:szCs w:val="22"/>
              </w:rPr>
              <w:t xml:space="preserve">Nome: </w:t>
            </w:r>
          </w:p>
          <w:p>
            <w:pPr>
              <w:widowControl w:val="0"/>
              <w:spacing w:line="340" w:lineRule="exact"/>
              <w:rPr>
                <w:rFonts w:ascii="Arial" w:hAnsi="Arial" w:cs="Arial"/>
                <w:sz w:val="22"/>
                <w:szCs w:val="22"/>
              </w:rPr>
            </w:pPr>
            <w:r>
              <w:rPr>
                <w:rFonts w:ascii="Arial" w:hAnsi="Arial" w:cs="Arial"/>
                <w:sz w:val="22"/>
                <w:szCs w:val="22"/>
              </w:rPr>
              <w:t>Cargo:</w:t>
            </w:r>
          </w:p>
        </w:tc>
        <w:tc>
          <w:tcPr>
            <w:tcW w:w="2500" w:type="pct"/>
          </w:tcPr>
          <w:p>
            <w:pPr>
              <w:widowControl w:val="0"/>
              <w:spacing w:line="340" w:lineRule="exact"/>
              <w:rPr>
                <w:rFonts w:ascii="Arial" w:hAnsi="Arial" w:cs="Arial"/>
                <w:sz w:val="22"/>
                <w:szCs w:val="22"/>
              </w:rPr>
            </w:pPr>
            <w:r>
              <w:rPr>
                <w:rFonts w:ascii="Arial" w:hAnsi="Arial" w:cs="Arial"/>
                <w:sz w:val="22"/>
                <w:szCs w:val="22"/>
              </w:rPr>
              <w:t>______________________________</w:t>
            </w:r>
          </w:p>
          <w:p>
            <w:pPr>
              <w:widowControl w:val="0"/>
              <w:spacing w:line="340" w:lineRule="exact"/>
              <w:rPr>
                <w:rFonts w:ascii="Arial" w:hAnsi="Arial" w:cs="Arial"/>
                <w:sz w:val="22"/>
                <w:szCs w:val="22"/>
              </w:rPr>
            </w:pPr>
            <w:r>
              <w:rPr>
                <w:rFonts w:ascii="Arial" w:hAnsi="Arial" w:cs="Arial"/>
                <w:sz w:val="22"/>
                <w:szCs w:val="22"/>
              </w:rPr>
              <w:t>Nome:</w:t>
            </w:r>
          </w:p>
          <w:p>
            <w:pPr>
              <w:widowControl w:val="0"/>
              <w:spacing w:line="340" w:lineRule="exact"/>
              <w:rPr>
                <w:rFonts w:ascii="Arial" w:hAnsi="Arial" w:cs="Arial"/>
                <w:sz w:val="22"/>
                <w:szCs w:val="22"/>
              </w:rPr>
            </w:pPr>
            <w:r>
              <w:rPr>
                <w:rFonts w:ascii="Arial" w:hAnsi="Arial" w:cs="Arial"/>
                <w:sz w:val="22"/>
                <w:szCs w:val="22"/>
              </w:rPr>
              <w:t>Cargo:</w:t>
            </w:r>
          </w:p>
        </w:tc>
      </w:tr>
      <w:tr>
        <w:tblPrEx>
          <w:jc w:val="center"/>
        </w:tblPrEx>
        <w:trPr>
          <w:gridAfter w:val="1"/>
          <w:wAfter w:w="2500" w:type="pct"/>
          <w:cantSplit/>
          <w:jc w:val="center"/>
        </w:trPr>
        <w:tc>
          <w:tcPr>
            <w:tcW w:w="2500" w:type="pct"/>
          </w:tcPr>
          <w:p>
            <w:pPr>
              <w:widowControl w:val="0"/>
              <w:spacing w:line="340" w:lineRule="exact"/>
              <w:rPr>
                <w:rFonts w:ascii="Arial" w:hAnsi="Arial" w:cs="Arial"/>
                <w:sz w:val="22"/>
                <w:szCs w:val="22"/>
              </w:rPr>
            </w:pPr>
          </w:p>
        </w:tc>
      </w:tr>
    </w:tbl>
    <w:p>
      <w:pPr>
        <w:widowControl w:val="0"/>
        <w:spacing w:line="340" w:lineRule="exact"/>
        <w:rPr>
          <w:rFonts w:ascii="Arial" w:hAnsi="Arial" w:cs="Arial"/>
          <w:b/>
          <w:sz w:val="22"/>
          <w:szCs w:val="22"/>
        </w:rPr>
      </w:pPr>
    </w:p>
    <w:p>
      <w:pPr>
        <w:widowControl w:val="0"/>
        <w:suppressAutoHyphens/>
        <w:spacing w:line="340" w:lineRule="exact"/>
        <w:jc w:val="both"/>
        <w:rPr>
          <w:rFonts w:ascii="Arial" w:hAnsi="Arial" w:cs="Arial"/>
          <w:i/>
          <w:sz w:val="22"/>
          <w:szCs w:val="22"/>
        </w:rPr>
      </w:pPr>
      <w:r>
        <w:rPr>
          <w:rFonts w:ascii="Arial" w:hAnsi="Arial" w:cs="Arial"/>
          <w:i/>
          <w:sz w:val="22"/>
          <w:szCs w:val="22"/>
        </w:rPr>
        <w:br w:type="page"/>
      </w:r>
      <w:r>
        <w:rPr>
          <w:rFonts w:ascii="Arial" w:hAnsi="Arial" w:cs="Arial"/>
          <w:i/>
          <w:sz w:val="22"/>
          <w:szCs w:val="22"/>
        </w:rPr>
        <w:lastRenderedPageBreak/>
        <w:t>Página de assinaturas 2/4 do “</w:t>
      </w:r>
      <w:r>
        <w:rPr>
          <w:rFonts w:ascii="Arial" w:hAnsi="Arial" w:cs="Arial"/>
          <w:i/>
          <w:sz w:val="22"/>
          <w:szCs w:val="22"/>
        </w:rPr>
        <w:t xml:space="preserve">Décimo Sexto </w:t>
      </w:r>
      <w:r>
        <w:rPr>
          <w:rFonts w:ascii="Arial" w:hAnsi="Arial" w:cs="Arial"/>
          <w:i/>
          <w:sz w:val="22"/>
          <w:szCs w:val="22"/>
        </w:rPr>
        <w:t>Aditamento ao Contrato de Cessão Fiduciária de Direitos, Administração de Contas e Outras Avenças”</w:t>
      </w:r>
    </w:p>
    <w:p>
      <w:pPr>
        <w:widowControl w:val="0"/>
        <w:suppressAutoHyphens/>
        <w:spacing w:line="340" w:lineRule="exact"/>
        <w:jc w:val="both"/>
        <w:rPr>
          <w:rFonts w:ascii="Arial" w:hAnsi="Arial" w:cs="Arial"/>
          <w:i/>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r>
        <w:rPr>
          <w:rFonts w:ascii="Arial" w:hAnsi="Arial" w:cs="Arial"/>
          <w:b/>
          <w:bCs/>
          <w:sz w:val="22"/>
          <w:szCs w:val="22"/>
        </w:rPr>
        <w:t>SIMPLIFIC PAVARINI DISTRIBUIDORA DE TÍTULOS E VALORES MOBILIÁRIOS LTDA.</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5000" w:type="pct"/>
        <w:tblCellMar>
          <w:left w:w="70" w:type="dxa"/>
          <w:right w:w="70" w:type="dxa"/>
        </w:tblCellMar>
        <w:tblLook w:val="0000" w:firstRow="0" w:lastRow="0" w:firstColumn="0" w:lastColumn="0" w:noHBand="0" w:noVBand="0"/>
      </w:tblPr>
      <w:tblGrid>
        <w:gridCol w:w="4703"/>
        <w:gridCol w:w="4703"/>
      </w:tblGrid>
      <w:tr>
        <w:trPr>
          <w:cantSplit/>
          <w:trHeight w:val="80"/>
        </w:trPr>
        <w:tc>
          <w:tcPr>
            <w:tcW w:w="2500" w:type="pct"/>
          </w:tcPr>
          <w:p>
            <w:pPr>
              <w:widowControl w:val="0"/>
              <w:spacing w:line="340" w:lineRule="exact"/>
              <w:rPr>
                <w:rFonts w:ascii="Arial" w:hAnsi="Arial" w:cs="Arial"/>
                <w:sz w:val="22"/>
                <w:szCs w:val="22"/>
              </w:rPr>
            </w:pPr>
            <w:r>
              <w:rPr>
                <w:rFonts w:ascii="Arial" w:hAnsi="Arial" w:cs="Arial"/>
                <w:sz w:val="22"/>
                <w:szCs w:val="22"/>
              </w:rPr>
              <w:t xml:space="preserve"> ______________________________</w:t>
            </w:r>
          </w:p>
          <w:p>
            <w:pPr>
              <w:widowControl w:val="0"/>
              <w:spacing w:line="340" w:lineRule="exact"/>
              <w:rPr>
                <w:rFonts w:ascii="Arial" w:hAnsi="Arial" w:cs="Arial"/>
                <w:sz w:val="22"/>
                <w:szCs w:val="22"/>
              </w:rPr>
            </w:pPr>
            <w:r>
              <w:rPr>
                <w:rFonts w:ascii="Arial" w:hAnsi="Arial" w:cs="Arial"/>
                <w:sz w:val="22"/>
                <w:szCs w:val="22"/>
              </w:rPr>
              <w:t xml:space="preserve">Nome: </w:t>
            </w:r>
          </w:p>
          <w:p>
            <w:pPr>
              <w:widowControl w:val="0"/>
              <w:spacing w:line="340" w:lineRule="exact"/>
              <w:rPr>
                <w:rFonts w:ascii="Arial" w:hAnsi="Arial" w:cs="Arial"/>
                <w:sz w:val="22"/>
                <w:szCs w:val="22"/>
              </w:rPr>
            </w:pPr>
            <w:r>
              <w:rPr>
                <w:rFonts w:ascii="Arial" w:hAnsi="Arial" w:cs="Arial"/>
                <w:sz w:val="22"/>
                <w:szCs w:val="22"/>
              </w:rPr>
              <w:t>Cargo:</w:t>
            </w:r>
          </w:p>
        </w:tc>
        <w:tc>
          <w:tcPr>
            <w:tcW w:w="2500" w:type="pct"/>
          </w:tcPr>
          <w:p>
            <w:pPr>
              <w:widowControl w:val="0"/>
              <w:spacing w:line="340" w:lineRule="exact"/>
              <w:rPr>
                <w:rFonts w:ascii="Arial" w:hAnsi="Arial" w:cs="Arial"/>
                <w:sz w:val="22"/>
                <w:szCs w:val="22"/>
              </w:rPr>
            </w:pPr>
            <w:r>
              <w:rPr>
                <w:rFonts w:ascii="Arial" w:hAnsi="Arial" w:cs="Arial"/>
                <w:sz w:val="22"/>
                <w:szCs w:val="22"/>
              </w:rPr>
              <w:t>______________________________</w:t>
            </w:r>
          </w:p>
          <w:p>
            <w:pPr>
              <w:widowControl w:val="0"/>
              <w:spacing w:line="340" w:lineRule="exact"/>
              <w:rPr>
                <w:rFonts w:ascii="Arial" w:hAnsi="Arial" w:cs="Arial"/>
                <w:sz w:val="22"/>
                <w:szCs w:val="22"/>
              </w:rPr>
            </w:pPr>
            <w:r>
              <w:rPr>
                <w:rFonts w:ascii="Arial" w:hAnsi="Arial" w:cs="Arial"/>
                <w:sz w:val="22"/>
                <w:szCs w:val="22"/>
              </w:rPr>
              <w:t>Nome:</w:t>
            </w:r>
          </w:p>
          <w:p>
            <w:pPr>
              <w:widowControl w:val="0"/>
              <w:spacing w:line="340" w:lineRule="exact"/>
              <w:rPr>
                <w:rFonts w:ascii="Arial" w:hAnsi="Arial" w:cs="Arial"/>
                <w:sz w:val="22"/>
                <w:szCs w:val="22"/>
              </w:rPr>
            </w:pPr>
            <w:r>
              <w:rPr>
                <w:rFonts w:ascii="Arial" w:hAnsi="Arial" w:cs="Arial"/>
                <w:sz w:val="22"/>
                <w:szCs w:val="22"/>
              </w:rPr>
              <w:t>Cargo:</w:t>
            </w:r>
          </w:p>
        </w:tc>
      </w:tr>
    </w:tbl>
    <w:p>
      <w:pPr>
        <w:widowControl w:val="0"/>
        <w:spacing w:line="340" w:lineRule="exact"/>
        <w:rPr>
          <w:rFonts w:ascii="Arial" w:hAnsi="Arial" w:cs="Arial"/>
          <w:b/>
          <w:sz w:val="22"/>
          <w:szCs w:val="22"/>
        </w:rPr>
      </w:pPr>
    </w:p>
    <w:p>
      <w:pPr>
        <w:widowControl w:val="0"/>
        <w:spacing w:line="340" w:lineRule="exact"/>
        <w:rPr>
          <w:rFonts w:ascii="Arial" w:hAnsi="Arial" w:cs="Arial"/>
          <w:sz w:val="22"/>
          <w:szCs w:val="22"/>
        </w:rPr>
      </w:pPr>
      <w:r>
        <w:rPr>
          <w:rFonts w:ascii="Arial" w:hAnsi="Arial" w:cs="Arial"/>
          <w:sz w:val="22"/>
          <w:szCs w:val="22"/>
        </w:rPr>
        <w:br w:type="page"/>
      </w:r>
    </w:p>
    <w:p>
      <w:pPr>
        <w:widowControl w:val="0"/>
        <w:suppressAutoHyphens/>
        <w:spacing w:line="340" w:lineRule="exact"/>
        <w:jc w:val="both"/>
        <w:rPr>
          <w:rFonts w:ascii="Arial" w:hAnsi="Arial" w:cs="Arial"/>
          <w:i/>
          <w:sz w:val="22"/>
          <w:szCs w:val="22"/>
        </w:rPr>
      </w:pPr>
      <w:r>
        <w:rPr>
          <w:rFonts w:ascii="Arial" w:hAnsi="Arial" w:cs="Arial"/>
          <w:i/>
          <w:sz w:val="22"/>
          <w:szCs w:val="22"/>
        </w:rPr>
        <w:lastRenderedPageBreak/>
        <w:t>Página de assinaturas 3/4 do “</w:t>
      </w:r>
      <w:r>
        <w:rPr>
          <w:rFonts w:ascii="Arial" w:hAnsi="Arial" w:cs="Arial"/>
          <w:i/>
          <w:sz w:val="22"/>
          <w:szCs w:val="22"/>
        </w:rPr>
        <w:t xml:space="preserve">Décimo Sexto </w:t>
      </w:r>
      <w:r>
        <w:rPr>
          <w:rFonts w:ascii="Arial" w:hAnsi="Arial" w:cs="Arial"/>
          <w:i/>
          <w:sz w:val="22"/>
          <w:szCs w:val="22"/>
        </w:rPr>
        <w:t>Aditamento ao Contrato de Cessão Fiduciária de Direitos, Administração de Contas e Outras Avenças”</w:t>
      </w:r>
    </w:p>
    <w:p>
      <w:pPr>
        <w:widowControl w:val="0"/>
        <w:suppressAutoHyphens/>
        <w:spacing w:line="340" w:lineRule="exact"/>
        <w:jc w:val="both"/>
        <w:rPr>
          <w:rFonts w:ascii="Arial" w:hAnsi="Arial" w:cs="Arial"/>
          <w:i/>
          <w:sz w:val="22"/>
          <w:szCs w:val="22"/>
        </w:rPr>
      </w:pPr>
    </w:p>
    <w:p>
      <w:pPr>
        <w:pStyle w:val="Cabealho"/>
        <w:widowControl w:val="0"/>
        <w:spacing w:line="340" w:lineRule="exact"/>
        <w:jc w:val="both"/>
        <w:rPr>
          <w:rFonts w:ascii="Arial" w:hAnsi="Arial" w:cs="Arial"/>
          <w:i/>
          <w:sz w:val="22"/>
          <w:szCs w:val="22"/>
        </w:rPr>
      </w:pPr>
    </w:p>
    <w:p>
      <w:pPr>
        <w:widowControl w:val="0"/>
        <w:spacing w:line="340" w:lineRule="exact"/>
        <w:jc w:val="center"/>
        <w:rPr>
          <w:rFonts w:ascii="Arial" w:hAnsi="Arial" w:cs="Arial"/>
          <w:sz w:val="22"/>
          <w:szCs w:val="22"/>
        </w:rPr>
      </w:pPr>
    </w:p>
    <w:p>
      <w:pPr>
        <w:widowControl w:val="0"/>
        <w:spacing w:line="340" w:lineRule="exact"/>
        <w:jc w:val="center"/>
        <w:rPr>
          <w:rFonts w:ascii="Arial" w:hAnsi="Arial" w:cs="Arial"/>
          <w:b/>
          <w:sz w:val="22"/>
          <w:szCs w:val="22"/>
        </w:rPr>
      </w:pPr>
      <w:r>
        <w:rPr>
          <w:rFonts w:ascii="Arial" w:hAnsi="Arial" w:cs="Arial"/>
          <w:b/>
          <w:sz w:val="22"/>
          <w:szCs w:val="22"/>
        </w:rPr>
        <w:t>OLIVEIRA TRUST SERVICER S.A.</w:t>
      </w:r>
    </w:p>
    <w:p>
      <w:pPr>
        <w:widowControl w:val="0"/>
        <w:spacing w:line="340" w:lineRule="exact"/>
        <w:jc w:val="center"/>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5000" w:type="pct"/>
        <w:tblCellMar>
          <w:left w:w="70" w:type="dxa"/>
          <w:right w:w="70" w:type="dxa"/>
        </w:tblCellMar>
        <w:tblLook w:val="0000" w:firstRow="0" w:lastRow="0" w:firstColumn="0" w:lastColumn="0" w:noHBand="0" w:noVBand="0"/>
      </w:tblPr>
      <w:tblGrid>
        <w:gridCol w:w="4703"/>
        <w:gridCol w:w="4703"/>
      </w:tblGrid>
      <w:tr>
        <w:trPr>
          <w:cantSplit/>
          <w:trHeight w:val="383"/>
        </w:trPr>
        <w:tc>
          <w:tcPr>
            <w:tcW w:w="2500" w:type="pct"/>
          </w:tcPr>
          <w:p>
            <w:pPr>
              <w:widowControl w:val="0"/>
              <w:spacing w:line="340" w:lineRule="exact"/>
              <w:rPr>
                <w:rFonts w:ascii="Arial" w:hAnsi="Arial" w:cs="Arial"/>
                <w:sz w:val="22"/>
                <w:szCs w:val="22"/>
              </w:rPr>
            </w:pPr>
            <w:r>
              <w:rPr>
                <w:rFonts w:ascii="Arial" w:hAnsi="Arial" w:cs="Arial"/>
                <w:sz w:val="22"/>
                <w:szCs w:val="22"/>
              </w:rPr>
              <w:t>______________________________</w:t>
            </w:r>
          </w:p>
          <w:p>
            <w:pPr>
              <w:widowControl w:val="0"/>
              <w:spacing w:line="340" w:lineRule="exact"/>
              <w:rPr>
                <w:rFonts w:ascii="Arial" w:hAnsi="Arial" w:cs="Arial"/>
                <w:sz w:val="22"/>
                <w:szCs w:val="22"/>
              </w:rPr>
            </w:pPr>
            <w:r>
              <w:rPr>
                <w:rFonts w:ascii="Arial" w:hAnsi="Arial" w:cs="Arial"/>
                <w:sz w:val="22"/>
                <w:szCs w:val="22"/>
              </w:rPr>
              <w:t xml:space="preserve">Nome: </w:t>
            </w:r>
          </w:p>
          <w:p>
            <w:pPr>
              <w:widowControl w:val="0"/>
              <w:spacing w:line="340" w:lineRule="exact"/>
              <w:rPr>
                <w:rFonts w:ascii="Arial" w:hAnsi="Arial" w:cs="Arial"/>
                <w:sz w:val="22"/>
                <w:szCs w:val="22"/>
              </w:rPr>
            </w:pPr>
            <w:r>
              <w:rPr>
                <w:rFonts w:ascii="Arial" w:hAnsi="Arial" w:cs="Arial"/>
                <w:sz w:val="22"/>
                <w:szCs w:val="22"/>
              </w:rPr>
              <w:t>Cargo:</w:t>
            </w:r>
          </w:p>
        </w:tc>
        <w:tc>
          <w:tcPr>
            <w:tcW w:w="2500" w:type="pct"/>
          </w:tcPr>
          <w:p>
            <w:pPr>
              <w:widowControl w:val="0"/>
              <w:spacing w:line="340" w:lineRule="exact"/>
              <w:rPr>
                <w:rFonts w:ascii="Arial" w:hAnsi="Arial" w:cs="Arial"/>
                <w:sz w:val="22"/>
                <w:szCs w:val="22"/>
              </w:rPr>
            </w:pPr>
            <w:r>
              <w:rPr>
                <w:rFonts w:ascii="Arial" w:hAnsi="Arial" w:cs="Arial"/>
                <w:sz w:val="22"/>
                <w:szCs w:val="22"/>
              </w:rPr>
              <w:t>______________________________</w:t>
            </w:r>
          </w:p>
          <w:p>
            <w:pPr>
              <w:widowControl w:val="0"/>
              <w:spacing w:line="340" w:lineRule="exact"/>
              <w:rPr>
                <w:rFonts w:ascii="Arial" w:hAnsi="Arial" w:cs="Arial"/>
                <w:sz w:val="22"/>
                <w:szCs w:val="22"/>
              </w:rPr>
            </w:pPr>
            <w:r>
              <w:rPr>
                <w:rFonts w:ascii="Arial" w:hAnsi="Arial" w:cs="Arial"/>
                <w:sz w:val="22"/>
                <w:szCs w:val="22"/>
              </w:rPr>
              <w:t>Nome:</w:t>
            </w:r>
          </w:p>
          <w:p>
            <w:pPr>
              <w:widowControl w:val="0"/>
              <w:spacing w:line="340" w:lineRule="exact"/>
              <w:rPr>
                <w:rFonts w:ascii="Arial" w:hAnsi="Arial" w:cs="Arial"/>
                <w:sz w:val="22"/>
                <w:szCs w:val="22"/>
              </w:rPr>
            </w:pPr>
            <w:r>
              <w:rPr>
                <w:rFonts w:ascii="Arial" w:hAnsi="Arial" w:cs="Arial"/>
                <w:sz w:val="22"/>
                <w:szCs w:val="22"/>
              </w:rPr>
              <w:t>Cargo:</w:t>
            </w:r>
          </w:p>
        </w:tc>
      </w:tr>
    </w:tbl>
    <w:p>
      <w:pPr>
        <w:widowControl w:val="0"/>
        <w:spacing w:line="340" w:lineRule="exact"/>
        <w:rPr>
          <w:rFonts w:ascii="Arial" w:hAnsi="Arial" w:cs="Arial"/>
          <w:i/>
          <w:sz w:val="22"/>
          <w:szCs w:val="22"/>
        </w:rPr>
      </w:pPr>
    </w:p>
    <w:p>
      <w:pPr>
        <w:widowControl w:val="0"/>
        <w:spacing w:line="340" w:lineRule="exact"/>
        <w:rPr>
          <w:rFonts w:ascii="Arial" w:hAnsi="Arial" w:cs="Arial"/>
          <w:i/>
          <w:sz w:val="22"/>
          <w:szCs w:val="22"/>
        </w:rPr>
      </w:pPr>
      <w:r>
        <w:rPr>
          <w:rFonts w:ascii="Arial" w:hAnsi="Arial" w:cs="Arial"/>
          <w:i/>
          <w:sz w:val="22"/>
          <w:szCs w:val="22"/>
        </w:rPr>
        <w:br w:type="page"/>
      </w:r>
    </w:p>
    <w:p>
      <w:pPr>
        <w:widowControl w:val="0"/>
        <w:spacing w:line="340" w:lineRule="exact"/>
        <w:rPr>
          <w:rFonts w:ascii="Arial" w:hAnsi="Arial" w:cs="Arial"/>
          <w:i/>
          <w:sz w:val="22"/>
          <w:szCs w:val="22"/>
        </w:rPr>
      </w:pPr>
    </w:p>
    <w:p>
      <w:pPr>
        <w:widowControl w:val="0"/>
        <w:suppressAutoHyphens/>
        <w:spacing w:line="340" w:lineRule="exact"/>
        <w:jc w:val="both"/>
        <w:rPr>
          <w:rFonts w:ascii="Arial" w:hAnsi="Arial" w:cs="Arial"/>
          <w:i/>
          <w:sz w:val="22"/>
          <w:szCs w:val="22"/>
        </w:rPr>
      </w:pPr>
      <w:r>
        <w:rPr>
          <w:rFonts w:ascii="Arial" w:hAnsi="Arial" w:cs="Arial"/>
          <w:i/>
          <w:sz w:val="22"/>
          <w:szCs w:val="22"/>
        </w:rPr>
        <w:t>Página de assinaturas 4/4 do “</w:t>
      </w:r>
      <w:r>
        <w:rPr>
          <w:rFonts w:ascii="Arial" w:hAnsi="Arial" w:cs="Arial"/>
          <w:i/>
          <w:sz w:val="22"/>
          <w:szCs w:val="22"/>
        </w:rPr>
        <w:t xml:space="preserve">Décimo Sexto </w:t>
      </w:r>
      <w:r>
        <w:rPr>
          <w:rFonts w:ascii="Arial" w:hAnsi="Arial" w:cs="Arial"/>
          <w:i/>
          <w:sz w:val="22"/>
          <w:szCs w:val="22"/>
        </w:rPr>
        <w:t>Aditamento ao Contrato de Cessão Fiduciária de Direitos, Administração de Contas e Outras Avenças”</w:t>
      </w:r>
    </w:p>
    <w:p>
      <w:pPr>
        <w:widowControl w:val="0"/>
        <w:spacing w:line="340" w:lineRule="exact"/>
        <w:rPr>
          <w:rFonts w:ascii="Arial" w:hAnsi="Arial" w:cs="Arial"/>
          <w:i/>
          <w:sz w:val="22"/>
          <w:szCs w:val="22"/>
        </w:rPr>
      </w:pPr>
    </w:p>
    <w:p>
      <w:pPr>
        <w:widowControl w:val="0"/>
        <w:spacing w:line="340" w:lineRule="exact"/>
        <w:rPr>
          <w:rFonts w:ascii="Arial" w:hAnsi="Arial" w:cs="Arial"/>
          <w:i/>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b/>
          <w:sz w:val="22"/>
          <w:szCs w:val="22"/>
        </w:rPr>
      </w:pPr>
      <w:r>
        <w:rPr>
          <w:rFonts w:ascii="Arial" w:hAnsi="Arial" w:cs="Arial"/>
          <w:b/>
          <w:sz w:val="22"/>
          <w:szCs w:val="22"/>
        </w:rPr>
        <w:t>TESTEMUNHAS:</w:t>
      </w:r>
    </w:p>
    <w:p>
      <w:pPr>
        <w:pStyle w:val="Rodap"/>
        <w:widowControl w:val="0"/>
        <w:tabs>
          <w:tab w:val="clear" w:pos="4419"/>
          <w:tab w:val="clear" w:pos="8838"/>
        </w:tabs>
        <w:spacing w:line="340" w:lineRule="exact"/>
        <w:rPr>
          <w:rFonts w:ascii="Arial" w:hAnsi="Arial" w:cs="Arial"/>
          <w:sz w:val="22"/>
          <w:szCs w:val="22"/>
        </w:rPr>
      </w:pPr>
    </w:p>
    <w:p>
      <w:pPr>
        <w:pStyle w:val="Rodap"/>
        <w:widowControl w:val="0"/>
        <w:tabs>
          <w:tab w:val="clear" w:pos="4419"/>
          <w:tab w:val="clear" w:pos="8838"/>
        </w:tabs>
        <w:spacing w:line="340" w:lineRule="exact"/>
        <w:rPr>
          <w:rFonts w:ascii="Arial" w:hAnsi="Arial" w:cs="Arial"/>
          <w:sz w:val="22"/>
          <w:szCs w:val="22"/>
        </w:rPr>
      </w:pPr>
    </w:p>
    <w:p>
      <w:pPr>
        <w:pStyle w:val="Rodap"/>
        <w:widowControl w:val="0"/>
        <w:tabs>
          <w:tab w:val="clear" w:pos="4419"/>
          <w:tab w:val="clear" w:pos="8838"/>
        </w:tabs>
        <w:spacing w:line="340" w:lineRule="exact"/>
        <w:rPr>
          <w:rFonts w:ascii="Arial" w:hAnsi="Arial" w:cs="Arial"/>
          <w:sz w:val="22"/>
          <w:szCs w:val="22"/>
        </w:rPr>
      </w:pPr>
    </w:p>
    <w:tbl>
      <w:tblPr>
        <w:tblW w:w="5000" w:type="pct"/>
        <w:tblCellMar>
          <w:left w:w="70" w:type="dxa"/>
          <w:right w:w="70" w:type="dxa"/>
        </w:tblCellMar>
        <w:tblLook w:val="0000" w:firstRow="0" w:lastRow="0" w:firstColumn="0" w:lastColumn="0" w:noHBand="0" w:noVBand="0"/>
      </w:tblPr>
      <w:tblGrid>
        <w:gridCol w:w="4703"/>
        <w:gridCol w:w="4703"/>
      </w:tblGrid>
      <w:tr>
        <w:trPr>
          <w:cantSplit/>
        </w:trPr>
        <w:tc>
          <w:tcPr>
            <w:tcW w:w="2500" w:type="pct"/>
          </w:tcPr>
          <w:p>
            <w:pPr>
              <w:widowControl w:val="0"/>
              <w:spacing w:line="340" w:lineRule="exact"/>
              <w:rPr>
                <w:rFonts w:ascii="Arial" w:hAnsi="Arial" w:cs="Arial"/>
                <w:sz w:val="22"/>
                <w:szCs w:val="22"/>
              </w:rPr>
            </w:pPr>
            <w:r>
              <w:rPr>
                <w:rFonts w:ascii="Arial" w:hAnsi="Arial" w:cs="Arial"/>
                <w:sz w:val="22"/>
                <w:szCs w:val="22"/>
              </w:rPr>
              <w:t>1. ______________________________</w:t>
            </w:r>
          </w:p>
          <w:p>
            <w:pPr>
              <w:widowControl w:val="0"/>
              <w:spacing w:line="340" w:lineRule="exact"/>
              <w:rPr>
                <w:rFonts w:ascii="Arial" w:hAnsi="Arial" w:cs="Arial"/>
                <w:sz w:val="22"/>
                <w:szCs w:val="22"/>
              </w:rPr>
            </w:pPr>
            <w:r>
              <w:rPr>
                <w:rFonts w:ascii="Arial" w:hAnsi="Arial" w:cs="Arial"/>
                <w:sz w:val="22"/>
                <w:szCs w:val="22"/>
              </w:rPr>
              <w:t>Nome:</w:t>
            </w:r>
          </w:p>
          <w:p>
            <w:pPr>
              <w:widowControl w:val="0"/>
              <w:spacing w:line="340" w:lineRule="exact"/>
              <w:rPr>
                <w:rFonts w:ascii="Arial" w:hAnsi="Arial" w:cs="Arial"/>
                <w:sz w:val="22"/>
                <w:szCs w:val="22"/>
              </w:rPr>
            </w:pPr>
            <w:r>
              <w:rPr>
                <w:rFonts w:ascii="Arial" w:hAnsi="Arial" w:cs="Arial"/>
                <w:sz w:val="22"/>
                <w:szCs w:val="22"/>
              </w:rPr>
              <w:t>RG:</w:t>
            </w:r>
          </w:p>
          <w:p>
            <w:pPr>
              <w:widowControl w:val="0"/>
              <w:spacing w:line="340" w:lineRule="exact"/>
              <w:rPr>
                <w:rFonts w:ascii="Arial" w:hAnsi="Arial" w:cs="Arial"/>
                <w:sz w:val="22"/>
                <w:szCs w:val="22"/>
              </w:rPr>
            </w:pPr>
            <w:r>
              <w:rPr>
                <w:rFonts w:ascii="Arial" w:hAnsi="Arial" w:cs="Arial"/>
                <w:sz w:val="22"/>
                <w:szCs w:val="22"/>
              </w:rPr>
              <w:t>CPF/ME:</w:t>
            </w:r>
          </w:p>
        </w:tc>
        <w:tc>
          <w:tcPr>
            <w:tcW w:w="2500" w:type="pct"/>
          </w:tcPr>
          <w:p>
            <w:pPr>
              <w:widowControl w:val="0"/>
              <w:spacing w:line="340" w:lineRule="exact"/>
              <w:rPr>
                <w:rFonts w:ascii="Arial" w:hAnsi="Arial" w:cs="Arial"/>
                <w:sz w:val="22"/>
                <w:szCs w:val="22"/>
              </w:rPr>
            </w:pPr>
            <w:r>
              <w:rPr>
                <w:rFonts w:ascii="Arial" w:hAnsi="Arial" w:cs="Arial"/>
                <w:sz w:val="22"/>
                <w:szCs w:val="22"/>
              </w:rPr>
              <w:t>2. ______________________________</w:t>
            </w:r>
          </w:p>
          <w:p>
            <w:pPr>
              <w:widowControl w:val="0"/>
              <w:spacing w:line="340" w:lineRule="exact"/>
              <w:rPr>
                <w:rFonts w:ascii="Arial" w:hAnsi="Arial" w:cs="Arial"/>
                <w:sz w:val="22"/>
                <w:szCs w:val="22"/>
              </w:rPr>
            </w:pPr>
            <w:r>
              <w:rPr>
                <w:rFonts w:ascii="Arial" w:hAnsi="Arial" w:cs="Arial"/>
                <w:sz w:val="22"/>
                <w:szCs w:val="22"/>
              </w:rPr>
              <w:t>Nome:</w:t>
            </w:r>
          </w:p>
          <w:p>
            <w:pPr>
              <w:widowControl w:val="0"/>
              <w:spacing w:line="340" w:lineRule="exact"/>
              <w:rPr>
                <w:rFonts w:ascii="Arial" w:hAnsi="Arial" w:cs="Arial"/>
                <w:sz w:val="22"/>
                <w:szCs w:val="22"/>
              </w:rPr>
            </w:pPr>
            <w:r>
              <w:rPr>
                <w:rFonts w:ascii="Arial" w:hAnsi="Arial" w:cs="Arial"/>
                <w:sz w:val="22"/>
                <w:szCs w:val="22"/>
              </w:rPr>
              <w:t>RG:</w:t>
            </w:r>
          </w:p>
          <w:p>
            <w:pPr>
              <w:widowControl w:val="0"/>
              <w:spacing w:line="340" w:lineRule="exact"/>
              <w:rPr>
                <w:rFonts w:ascii="Arial" w:hAnsi="Arial" w:cs="Arial"/>
                <w:sz w:val="22"/>
                <w:szCs w:val="22"/>
              </w:rPr>
            </w:pPr>
            <w:r>
              <w:rPr>
                <w:rFonts w:ascii="Arial" w:hAnsi="Arial" w:cs="Arial"/>
                <w:sz w:val="22"/>
                <w:szCs w:val="22"/>
              </w:rPr>
              <w:t>CPF/ME:</w:t>
            </w:r>
          </w:p>
        </w:tc>
      </w:tr>
    </w:tbl>
    <w:p>
      <w:pPr>
        <w:widowControl w:val="0"/>
        <w:spacing w:line="340" w:lineRule="exact"/>
        <w:rPr>
          <w:rFonts w:ascii="Arial" w:hAnsi="Arial" w:cs="Arial"/>
          <w:i/>
          <w:sz w:val="22"/>
          <w:szCs w:val="22"/>
        </w:rPr>
      </w:pPr>
      <w:r>
        <w:rPr>
          <w:rFonts w:ascii="Arial" w:hAnsi="Arial" w:cs="Arial"/>
          <w:i/>
          <w:sz w:val="22"/>
          <w:szCs w:val="22"/>
        </w:rPr>
        <w:br w:type="page"/>
      </w:r>
    </w:p>
    <w:p>
      <w:pPr>
        <w:widowControl w:val="0"/>
        <w:autoSpaceDE w:val="0"/>
        <w:autoSpaceDN w:val="0"/>
        <w:adjustRightInd w:val="0"/>
        <w:spacing w:line="340" w:lineRule="exact"/>
        <w:jc w:val="center"/>
        <w:rPr>
          <w:rFonts w:ascii="Arial" w:hAnsi="Arial" w:cs="Arial"/>
          <w:b/>
          <w:sz w:val="22"/>
          <w:szCs w:val="22"/>
          <w:u w:val="single"/>
        </w:rPr>
      </w:pPr>
      <w:bookmarkStart w:id="18" w:name="_DV_M286"/>
      <w:bookmarkStart w:id="19" w:name="_DV_M293"/>
      <w:bookmarkStart w:id="20" w:name="_DV_M294"/>
      <w:bookmarkStart w:id="21" w:name="_DV_M295"/>
      <w:bookmarkStart w:id="22" w:name="_DV_M296"/>
      <w:bookmarkStart w:id="23" w:name="_DV_M297"/>
      <w:bookmarkStart w:id="24" w:name="_DV_M315"/>
      <w:bookmarkStart w:id="25" w:name="_DV_M319"/>
      <w:bookmarkEnd w:id="18"/>
      <w:bookmarkEnd w:id="19"/>
      <w:bookmarkEnd w:id="20"/>
      <w:bookmarkEnd w:id="21"/>
      <w:bookmarkEnd w:id="22"/>
      <w:bookmarkEnd w:id="23"/>
      <w:bookmarkEnd w:id="24"/>
      <w:bookmarkEnd w:id="25"/>
      <w:r>
        <w:rPr>
          <w:rFonts w:ascii="Arial" w:hAnsi="Arial" w:cs="Arial"/>
          <w:b/>
          <w:sz w:val="22"/>
          <w:szCs w:val="22"/>
          <w:u w:val="single"/>
        </w:rPr>
        <w:lastRenderedPageBreak/>
        <w:t>APÊNDICE A</w:t>
      </w:r>
    </w:p>
    <w:p>
      <w:pPr>
        <w:widowControl w:val="0"/>
        <w:autoSpaceDE w:val="0"/>
        <w:autoSpaceDN w:val="0"/>
        <w:adjustRightInd w:val="0"/>
        <w:spacing w:line="340" w:lineRule="exact"/>
        <w:jc w:val="center"/>
        <w:rPr>
          <w:rFonts w:ascii="Arial" w:hAnsi="Arial" w:cs="Arial"/>
          <w:b/>
          <w:sz w:val="22"/>
          <w:szCs w:val="22"/>
        </w:rPr>
      </w:pPr>
      <w:r>
        <w:rPr>
          <w:rFonts w:ascii="Arial" w:hAnsi="Arial" w:cs="Arial"/>
          <w:b/>
          <w:sz w:val="22"/>
          <w:szCs w:val="22"/>
        </w:rPr>
        <w:t>AO</w:t>
      </w:r>
    </w:p>
    <w:p>
      <w:pPr>
        <w:widowControl w:val="0"/>
        <w:autoSpaceDE w:val="0"/>
        <w:autoSpaceDN w:val="0"/>
        <w:adjustRightInd w:val="0"/>
        <w:spacing w:line="340" w:lineRule="exact"/>
        <w:jc w:val="center"/>
        <w:rPr>
          <w:rFonts w:ascii="Arial" w:hAnsi="Arial" w:cs="Arial"/>
          <w:b/>
          <w:sz w:val="22"/>
          <w:szCs w:val="22"/>
        </w:rPr>
      </w:pPr>
      <w:r>
        <w:rPr>
          <w:rFonts w:ascii="Arial" w:hAnsi="Arial" w:cs="Arial"/>
          <w:b/>
          <w:sz w:val="22"/>
          <w:szCs w:val="22"/>
        </w:rPr>
        <w:t>DÉCIMO SEXTO</w:t>
      </w:r>
      <w:r>
        <w:rPr>
          <w:rFonts w:ascii="Arial" w:hAnsi="Arial" w:cs="Arial"/>
          <w:i/>
          <w:sz w:val="22"/>
          <w:szCs w:val="22"/>
        </w:rPr>
        <w:t xml:space="preserve"> </w:t>
      </w:r>
      <w:r>
        <w:rPr>
          <w:rFonts w:ascii="Arial" w:hAnsi="Arial" w:cs="Arial"/>
          <w:b/>
          <w:sz w:val="22"/>
          <w:szCs w:val="22"/>
        </w:rPr>
        <w:t xml:space="preserve">ADITAMENTO AO CONTRATO DE CESSÃO FIDUCIÁRIA DE DIREITOS, ADMINISTRAÇÃO DE CONTAS E OUTRAS AVENÇAS DATADO DE [●] DE SETEMBRO DE </w:t>
      </w:r>
      <w:bookmarkStart w:id="26" w:name="_GoBack"/>
      <w:bookmarkEnd w:id="26"/>
      <w:r>
        <w:rPr>
          <w:rFonts w:ascii="Arial" w:hAnsi="Arial" w:cs="Arial"/>
          <w:b/>
          <w:sz w:val="22"/>
          <w:szCs w:val="22"/>
        </w:rPr>
        <w:t>2021</w:t>
      </w:r>
    </w:p>
    <w:p>
      <w:pPr>
        <w:widowControl w:val="0"/>
        <w:autoSpaceDE w:val="0"/>
        <w:autoSpaceDN w:val="0"/>
        <w:adjustRightInd w:val="0"/>
        <w:spacing w:line="340" w:lineRule="exact"/>
        <w:jc w:val="center"/>
        <w:rPr>
          <w:rFonts w:ascii="Arial" w:hAnsi="Arial" w:cs="Arial"/>
          <w:b/>
          <w:sz w:val="22"/>
          <w:szCs w:val="22"/>
        </w:rPr>
      </w:pPr>
    </w:p>
    <w:p>
      <w:pPr>
        <w:widowControl w:val="0"/>
        <w:autoSpaceDE w:val="0"/>
        <w:autoSpaceDN w:val="0"/>
        <w:adjustRightInd w:val="0"/>
        <w:spacing w:line="340" w:lineRule="exact"/>
        <w:jc w:val="center"/>
        <w:rPr>
          <w:rFonts w:ascii="Arial" w:hAnsi="Arial" w:cs="Arial"/>
          <w:b/>
          <w:sz w:val="22"/>
          <w:szCs w:val="22"/>
        </w:rPr>
      </w:pPr>
      <w:r>
        <w:rPr>
          <w:rFonts w:ascii="Arial" w:hAnsi="Arial" w:cs="Arial"/>
          <w:b/>
          <w:sz w:val="22"/>
          <w:szCs w:val="22"/>
        </w:rPr>
        <w:t>NOVO ANEXO III AO CONTRATO DE CESSÃO FIDUCIÁRIA DE DIREITOS, ADMINISTRAÇÃO DE CONTAS E OUTRAS AVENÇAS</w:t>
      </w:r>
    </w:p>
    <w:p>
      <w:pPr>
        <w:widowControl w:val="0"/>
        <w:spacing w:line="340" w:lineRule="exact"/>
        <w:jc w:val="both"/>
        <w:rPr>
          <w:rFonts w:ascii="Arial" w:hAnsi="Arial" w:cs="Arial"/>
          <w:bCs/>
          <w:caps/>
          <w:sz w:val="22"/>
          <w:szCs w:val="22"/>
        </w:rPr>
      </w:pPr>
      <w:bookmarkStart w:id="27" w:name="_DV_M25"/>
      <w:bookmarkEnd w:id="27"/>
    </w:p>
    <w:p>
      <w:pPr>
        <w:widowControl w:val="0"/>
        <w:spacing w:line="340" w:lineRule="exact"/>
        <w:jc w:val="center"/>
        <w:rPr>
          <w:rFonts w:ascii="Arial" w:hAnsi="Arial" w:cs="Arial"/>
          <w:b/>
          <w:sz w:val="22"/>
          <w:szCs w:val="22"/>
        </w:rPr>
      </w:pPr>
      <w:r>
        <w:rPr>
          <w:rFonts w:ascii="Arial" w:hAnsi="Arial" w:cs="Arial"/>
          <w:b/>
          <w:sz w:val="22"/>
          <w:szCs w:val="22"/>
        </w:rPr>
        <w:t>Termos e Condições das Obrigações Garantidas</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i/>
          <w:sz w:val="22"/>
          <w:szCs w:val="22"/>
        </w:rPr>
      </w:pPr>
      <w:r>
        <w:rPr>
          <w:rFonts w:ascii="Arial" w:hAnsi="Arial" w:cs="Arial"/>
          <w:i/>
          <w:sz w:val="22"/>
          <w:szCs w:val="22"/>
        </w:rPr>
        <w:t>A presente descrição visa apenas atender requisitos legais e não se destina a modificar, alterar, restringir, cancelar e/ou substituir os termos e condições das obrigações garantidas ao longo do tempo, nem poderá limitar o exercício de direitos dos Debenturistas.</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bookmarkStart w:id="28" w:name="_DV_M213"/>
      <w:bookmarkEnd w:id="28"/>
      <w:r>
        <w:rPr>
          <w:rFonts w:ascii="Arial" w:hAnsi="Arial" w:cs="Arial"/>
          <w:sz w:val="22"/>
          <w:szCs w:val="22"/>
        </w:rPr>
        <w:t>(i)</w:t>
      </w:r>
      <w:r>
        <w:rPr>
          <w:rFonts w:ascii="Arial" w:hAnsi="Arial" w:cs="Arial"/>
          <w:sz w:val="22"/>
          <w:szCs w:val="22"/>
        </w:rPr>
        <w:tab/>
      </w:r>
      <w:r>
        <w:rPr>
          <w:rFonts w:ascii="Arial" w:hAnsi="Arial" w:cs="Arial"/>
          <w:b/>
          <w:sz w:val="22"/>
          <w:szCs w:val="22"/>
        </w:rPr>
        <w:t>Valor Total da Emissão</w:t>
      </w:r>
      <w:r>
        <w:rPr>
          <w:rFonts w:ascii="Arial" w:hAnsi="Arial" w:cs="Arial"/>
          <w:sz w:val="22"/>
          <w:szCs w:val="22"/>
        </w:rPr>
        <w:t>: R$ 750.000.000,00 (setecentos e cinquenta milhões de reais).</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(ii)</w:t>
      </w:r>
      <w:r>
        <w:rPr>
          <w:rFonts w:ascii="Arial" w:hAnsi="Arial" w:cs="Arial"/>
          <w:sz w:val="22"/>
          <w:szCs w:val="22"/>
        </w:rPr>
        <w:tab/>
      </w:r>
      <w:r>
        <w:rPr>
          <w:rFonts w:ascii="Arial" w:hAnsi="Arial" w:cs="Arial"/>
          <w:b/>
          <w:sz w:val="22"/>
          <w:szCs w:val="22"/>
        </w:rPr>
        <w:t>Data de Vencimento</w:t>
      </w:r>
      <w:r>
        <w:rPr>
          <w:rFonts w:ascii="Arial" w:hAnsi="Arial" w:cs="Arial"/>
          <w:sz w:val="22"/>
          <w:szCs w:val="22"/>
        </w:rPr>
        <w:t>: As Debêntures terão prazo de vigência de [●] ([●]) meses a contar da Data de Emissão, vencendo, portanto, em [●] de [●] de [●].</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(iii)</w:t>
      </w:r>
      <w:r>
        <w:rPr>
          <w:rFonts w:ascii="Arial" w:hAnsi="Arial" w:cs="Arial"/>
          <w:sz w:val="22"/>
          <w:szCs w:val="22"/>
        </w:rPr>
        <w:tab/>
      </w:r>
      <w:r>
        <w:rPr>
          <w:rFonts w:ascii="Arial" w:hAnsi="Arial" w:cs="Arial"/>
          <w:b/>
          <w:sz w:val="22"/>
          <w:szCs w:val="22"/>
        </w:rPr>
        <w:t>Taxa De Juros</w:t>
      </w:r>
      <w:r>
        <w:rPr>
          <w:rFonts w:ascii="Arial" w:hAnsi="Arial" w:cs="Arial"/>
          <w:sz w:val="22"/>
          <w:szCs w:val="22"/>
        </w:rPr>
        <w:t xml:space="preserve">: </w:t>
      </w:r>
      <w:r>
        <w:rPr>
          <w:rFonts w:ascii="Arial" w:eastAsia="Arial Unicode MS" w:hAnsi="Arial" w:cs="Arial"/>
          <w:bCs/>
          <w:sz w:val="22"/>
          <w:szCs w:val="22"/>
        </w:rPr>
        <w:t xml:space="preserve">Sobre o Valor Nominal Unitário ou saldo do Valor Nominal Unitário, conforme o caso, </w:t>
      </w:r>
      <w:bookmarkStart w:id="29" w:name="_Ref137107209"/>
      <w:r>
        <w:rPr>
          <w:rFonts w:ascii="Arial" w:eastAsia="Arial Unicode MS" w:hAnsi="Arial" w:cs="Arial"/>
          <w:bCs/>
          <w:sz w:val="22"/>
          <w:szCs w:val="22"/>
        </w:rPr>
        <w:t>incidirão juros remuneratórios correspondentes a (i) um percentual da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rede mundial de computadores (http://www.b3.com.br) (“</w:t>
      </w:r>
      <w:r>
        <w:rPr>
          <w:rFonts w:ascii="Arial" w:eastAsia="Arial Unicode MS" w:hAnsi="Arial" w:cs="Arial"/>
          <w:b/>
          <w:bCs/>
          <w:sz w:val="22"/>
          <w:szCs w:val="22"/>
        </w:rPr>
        <w:t>Percentual DI</w:t>
      </w:r>
      <w:r>
        <w:rPr>
          <w:rFonts w:ascii="Arial" w:eastAsia="Arial Unicode MS" w:hAnsi="Arial" w:cs="Arial"/>
          <w:bCs/>
          <w:sz w:val="22"/>
          <w:szCs w:val="22"/>
        </w:rPr>
        <w:t>” e “</w:t>
      </w:r>
      <w:r>
        <w:rPr>
          <w:rFonts w:ascii="Arial" w:eastAsia="Arial Unicode MS" w:hAnsi="Arial" w:cs="Arial"/>
          <w:b/>
          <w:bCs/>
          <w:sz w:val="22"/>
          <w:szCs w:val="22"/>
        </w:rPr>
        <w:t>Taxa DI</w:t>
      </w:r>
      <w:r>
        <w:rPr>
          <w:rFonts w:ascii="Arial" w:eastAsia="Arial Unicode MS" w:hAnsi="Arial" w:cs="Arial"/>
          <w:bCs/>
          <w:sz w:val="22"/>
          <w:szCs w:val="22"/>
        </w:rPr>
        <w:t>”, respectivamente), até a</w:t>
      </w:r>
      <w:r>
        <w:rPr>
          <w:rFonts w:ascii="Arial" w:hAnsi="Arial" w:cs="Arial"/>
          <w:bCs/>
          <w:sz w:val="22"/>
          <w:szCs w:val="22"/>
        </w:rPr>
        <w:t xml:space="preserve"> Data de Pagamento da Remuneração de [●], exclusive</w:t>
      </w:r>
      <w:r>
        <w:rPr>
          <w:rFonts w:ascii="Arial" w:eastAsia="Arial Unicode MS" w:hAnsi="Arial" w:cs="Arial"/>
          <w:bCs/>
          <w:sz w:val="22"/>
          <w:szCs w:val="22"/>
        </w:rPr>
        <w:t>, o Percentual DI corresponderá a [</w:t>
      </w:r>
      <w:r>
        <w:rPr>
          <w:rFonts w:ascii="Arial" w:eastAsia="Arial Unicode MS" w:hAnsi="Arial" w:cs="Arial"/>
          <w:bCs/>
          <w:sz w:val="22"/>
          <w:szCs w:val="22"/>
          <w:highlight w:val="yellow"/>
        </w:rPr>
        <w:t>100,0100% (cem inteiros e cem décimos de milésimo por cento); e (ii) a</w:t>
      </w:r>
      <w:r>
        <w:rPr>
          <w:rFonts w:ascii="Arial" w:hAnsi="Arial" w:cs="Arial"/>
          <w:bCs/>
          <w:sz w:val="22"/>
          <w:szCs w:val="22"/>
          <w:highlight w:val="yellow"/>
        </w:rPr>
        <w:t xml:space="preserve"> partir da Data de Pagamento da Remuneração de [●], inclusive</w:t>
      </w:r>
      <w:r>
        <w:rPr>
          <w:rFonts w:ascii="Arial" w:eastAsia="Arial Unicode MS" w:hAnsi="Arial" w:cs="Arial"/>
          <w:bCs/>
          <w:sz w:val="22"/>
          <w:szCs w:val="22"/>
          <w:highlight w:val="yellow"/>
        </w:rPr>
        <w:t xml:space="preserve">, incidirão juros remuneratórios correspondentes a </w:t>
      </w:r>
      <w:r>
        <w:rPr>
          <w:rFonts w:ascii="Arial" w:hAnsi="Arial" w:cs="Arial"/>
          <w:bCs/>
          <w:sz w:val="22"/>
          <w:szCs w:val="22"/>
          <w:highlight w:val="yellow"/>
        </w:rPr>
        <w:t>[●]</w:t>
      </w:r>
      <w:r>
        <w:rPr>
          <w:rFonts w:ascii="Arial" w:eastAsia="Arial Unicode MS" w:hAnsi="Arial" w:cs="Arial"/>
          <w:bCs/>
          <w:sz w:val="22"/>
          <w:szCs w:val="22"/>
          <w:highlight w:val="yellow"/>
        </w:rPr>
        <w:t>]</w:t>
      </w:r>
      <w:r>
        <w:rPr>
          <w:rFonts w:ascii="Arial" w:eastAsia="Arial Unicode MS" w:hAnsi="Arial" w:cs="Arial"/>
          <w:bCs/>
          <w:sz w:val="22"/>
          <w:szCs w:val="22"/>
        </w:rPr>
        <w:t xml:space="preserve">, calculados de forma exponencial e cumulativa </w:t>
      </w:r>
      <w:r>
        <w:rPr>
          <w:rFonts w:ascii="Arial" w:eastAsia="Arial Unicode MS" w:hAnsi="Arial" w:cs="Arial"/>
          <w:bCs/>
          <w:i/>
          <w:sz w:val="22"/>
          <w:szCs w:val="22"/>
        </w:rPr>
        <w:t>pro rata temporis</w:t>
      </w:r>
      <w:r>
        <w:rPr>
          <w:rFonts w:ascii="Arial" w:eastAsia="Arial Unicode MS" w:hAnsi="Arial" w:cs="Arial"/>
          <w:bCs/>
          <w:sz w:val="22"/>
          <w:szCs w:val="22"/>
        </w:rPr>
        <w:t xml:space="preserve"> por Dias Úteis decorridos, desde a Primeira Data de Subscrição (conforme definido na Escritura de Emissão) ou Data de Pagamento da Remuneração (conforme definido na Escritura de Emissão) imediatamente anterior, conforme o caso, inclusive, até a Data </w:t>
      </w:r>
      <w:bookmarkEnd w:id="29"/>
      <w:r>
        <w:rPr>
          <w:rFonts w:ascii="Arial" w:eastAsia="Arial Unicode MS" w:hAnsi="Arial" w:cs="Arial"/>
          <w:bCs/>
          <w:sz w:val="22"/>
          <w:szCs w:val="22"/>
        </w:rPr>
        <w:t>de Pagamento da Remuneração subsequente, exclusive, sendo a última devida na Data de Vencimento (“</w:t>
      </w:r>
      <w:r>
        <w:rPr>
          <w:rFonts w:ascii="Arial" w:eastAsia="Arial Unicode MS" w:hAnsi="Arial" w:cs="Arial"/>
          <w:b/>
          <w:bCs/>
          <w:sz w:val="22"/>
          <w:szCs w:val="22"/>
        </w:rPr>
        <w:t>Remuneração</w:t>
      </w:r>
      <w:r>
        <w:rPr>
          <w:rFonts w:ascii="Arial" w:eastAsia="Arial Unicode MS" w:hAnsi="Arial" w:cs="Arial"/>
          <w:bCs/>
          <w:sz w:val="22"/>
          <w:szCs w:val="22"/>
        </w:rPr>
        <w:t>”)</w:t>
      </w:r>
      <w:r>
        <w:rPr>
          <w:rFonts w:ascii="Arial" w:hAnsi="Arial" w:cs="Arial"/>
          <w:sz w:val="22"/>
          <w:szCs w:val="22"/>
        </w:rPr>
        <w:t xml:space="preserve">. A Remuneração deverá ser calculada de acordo com a fórmula estabelecida na Escritura de </w:t>
      </w:r>
      <w:r>
        <w:rPr>
          <w:rFonts w:ascii="Arial" w:hAnsi="Arial" w:cs="Arial"/>
          <w:sz w:val="22"/>
          <w:szCs w:val="22"/>
        </w:rPr>
        <w:lastRenderedPageBreak/>
        <w:t>Emissão. [</w:t>
      </w:r>
      <w:r>
        <w:rPr>
          <w:rFonts w:ascii="Arial" w:hAnsi="Arial" w:cs="Arial"/>
          <w:b/>
          <w:sz w:val="22"/>
          <w:szCs w:val="22"/>
          <w:highlight w:val="yellow"/>
        </w:rPr>
        <w:t>Nota PNA</w:t>
      </w:r>
      <w:r>
        <w:rPr>
          <w:rFonts w:ascii="Arial" w:hAnsi="Arial" w:cs="Arial"/>
          <w:sz w:val="22"/>
          <w:szCs w:val="22"/>
          <w:highlight w:val="yellow"/>
        </w:rPr>
        <w:t>: A ser definido conforme nova taxa de remuneração</w:t>
      </w:r>
      <w:r>
        <w:rPr>
          <w:rFonts w:ascii="Arial" w:hAnsi="Arial" w:cs="Arial"/>
          <w:sz w:val="22"/>
          <w:szCs w:val="22"/>
        </w:rPr>
        <w:t>]</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(iv)</w:t>
      </w:r>
      <w:r>
        <w:rPr>
          <w:rFonts w:ascii="Arial" w:hAnsi="Arial" w:cs="Arial"/>
          <w:sz w:val="22"/>
          <w:szCs w:val="22"/>
        </w:rPr>
        <w:tab/>
      </w:r>
      <w:r>
        <w:rPr>
          <w:rFonts w:ascii="Arial" w:hAnsi="Arial" w:cs="Arial"/>
          <w:b/>
          <w:sz w:val="22"/>
          <w:szCs w:val="22"/>
        </w:rPr>
        <w:t>Atualização Monetária</w:t>
      </w:r>
      <w:r>
        <w:rPr>
          <w:rFonts w:ascii="Arial" w:hAnsi="Arial" w:cs="Arial"/>
          <w:sz w:val="22"/>
          <w:szCs w:val="22"/>
        </w:rPr>
        <w:t>: As Debêntures não serão objeto de atualização monetária.</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(v)</w:t>
      </w:r>
      <w:r>
        <w:rPr>
          <w:rFonts w:ascii="Arial" w:hAnsi="Arial" w:cs="Arial"/>
          <w:sz w:val="22"/>
          <w:szCs w:val="22"/>
        </w:rPr>
        <w:tab/>
      </w:r>
      <w:r>
        <w:rPr>
          <w:rFonts w:ascii="Arial" w:hAnsi="Arial" w:cs="Arial"/>
          <w:b/>
          <w:sz w:val="22"/>
          <w:szCs w:val="22"/>
        </w:rPr>
        <w:t>Encargos Moratórios</w:t>
      </w:r>
      <w:r>
        <w:rPr>
          <w:rFonts w:ascii="Arial" w:hAnsi="Arial" w:cs="Arial"/>
          <w:sz w:val="22"/>
          <w:szCs w:val="22"/>
        </w:rPr>
        <w:t xml:space="preserve">: ocorrendo impontualidade no pagamento de qualquer quantia devida e não paga aos titulares das Debêntures, os débitos em atraso ficarão sujeitos à multa moratória e não compensatória de 2% (dois por cento) sobre o valor inadimplido e juros de mora calculados desde a data de inadimplemento, até a data do efetivo pagamento, à taxa de 1% (um por cento) ao mês ou fração, calculados </w:t>
      </w:r>
      <w:r>
        <w:rPr>
          <w:rFonts w:ascii="Arial" w:hAnsi="Arial" w:cs="Arial"/>
          <w:i/>
          <w:sz w:val="22"/>
          <w:szCs w:val="22"/>
        </w:rPr>
        <w:t xml:space="preserve">pro rata temporis </w:t>
      </w:r>
      <w:r>
        <w:rPr>
          <w:rFonts w:ascii="Arial" w:hAnsi="Arial" w:cs="Arial"/>
          <w:sz w:val="22"/>
          <w:szCs w:val="22"/>
        </w:rPr>
        <w:t>sobre o montante assim devido e não pago, independentemente de aviso, notificação ou interpelação judicial ou extrajudicial, além das despesas incorridas para cobrança.</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Os demais termos e condições estão previstos na Escritura de Emissão.</w:t>
      </w:r>
    </w:p>
    <w:p>
      <w:pPr>
        <w:widowControl w:val="0"/>
        <w:spacing w:line="340" w:lineRule="exact"/>
        <w:jc w:val="both"/>
        <w:rPr>
          <w:rFonts w:ascii="Arial" w:hAnsi="Arial" w:cs="Arial"/>
          <w:sz w:val="22"/>
          <w:szCs w:val="22"/>
        </w:rPr>
      </w:pPr>
    </w:p>
    <w:p>
      <w:pPr>
        <w:widowControl w:val="0"/>
        <w:spacing w:line="340" w:lineRule="exact"/>
        <w:jc w:val="center"/>
        <w:rPr>
          <w:rFonts w:ascii="Arial" w:hAnsi="Arial" w:cs="Arial"/>
          <w:b/>
          <w:bCs/>
          <w:caps/>
          <w:sz w:val="22"/>
          <w:szCs w:val="22"/>
          <w:u w:val="single"/>
        </w:rPr>
      </w:pPr>
      <w:r>
        <w:rPr>
          <w:rFonts w:ascii="Arial" w:hAnsi="Arial" w:cs="Arial"/>
          <w:b/>
          <w:bCs/>
          <w:caps/>
          <w:sz w:val="22"/>
          <w:szCs w:val="22"/>
          <w:u w:val="single"/>
        </w:rPr>
        <w:t>(Fim do anexo III)</w:t>
      </w:r>
    </w:p>
    <w:p>
      <w:pPr>
        <w:rPr>
          <w:rFonts w:ascii="Arial" w:hAnsi="Arial" w:cs="Arial"/>
          <w:sz w:val="22"/>
          <w:szCs w:val="22"/>
        </w:rPr>
      </w:pPr>
    </w:p>
    <w:sectPr>
      <w:headerReference w:type="even" r:id="rId8"/>
      <w:headerReference w:type="default" r:id="rId9"/>
      <w:footerReference w:type="even" r:id="rId10"/>
      <w:footerReference w:type="default" r:id="rId11"/>
      <w:headerReference w:type="first" r:id="rId12"/>
      <w:footerReference w:type="first" r:id="rId13"/>
      <w:pgSz w:w="12242" w:h="15842" w:code="1"/>
      <w:pgMar w:top="1843" w:right="1418" w:bottom="1843" w:left="1418" w:header="680" w:footer="680" w:gutter="0"/>
      <w:paperSrc w:first="15" w:other="15"/>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Goudy Old Style"/>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altName w:val="Times New Roman"/>
    <w:panose1 w:val="00000000000000000000"/>
    <w:charset w:val="00"/>
    <w:family w:val="roman"/>
    <w:notTrueType/>
    <w:pitch w:val="default"/>
  </w:font>
  <w:font w:name="Swiss">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framePr w:wrap="around" w:vAnchor="text" w:hAnchor="margin" w:xAlign="right" w:y="1"/>
      <w:rPr>
        <w:rStyle w:val="Nmerodepgina"/>
        <w:color w:val="FFFFFF" w:themeColor="background1"/>
      </w:rPr>
    </w:pPr>
    <w:r>
      <w:rPr>
        <w:rStyle w:val="Nmerodepgina"/>
        <w:color w:val="FFFFFF" w:themeColor="background1"/>
      </w:rPr>
      <w:fldChar w:fldCharType="begin"/>
    </w:r>
    <w:r>
      <w:rPr>
        <w:rStyle w:val="Nmerodepgina"/>
        <w:color w:val="FFFFFF" w:themeColor="background1"/>
      </w:rPr>
      <w:instrText xml:space="preserve">PAGE  </w:instrText>
    </w:r>
    <w:r>
      <w:rPr>
        <w:rStyle w:val="Nmerodepgina"/>
        <w:color w:val="FFFFFF" w:themeColor="background1"/>
      </w:rPr>
      <w:fldChar w:fldCharType="end"/>
    </w:r>
  </w:p>
  <w:p>
    <w:pPr>
      <w:pStyle w:val="Rodap"/>
      <w:ind w:right="360"/>
      <w:rPr>
        <w:color w:val="FFFFFF" w:themeColor="background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rFonts w:ascii="Verdana" w:hAnsi="Verdana" w:cs="Arial"/>
        <w:color w:val="FFFFFF" w:themeColor="background1"/>
        <w:sz w:val="14"/>
        <w:szCs w:val="16"/>
      </w:rPr>
    </w:pPr>
    <w:r>
      <w:rPr>
        <w:rFonts w:ascii="Verdana" w:hAnsi="Verdana" w:cs="Arial"/>
        <w:color w:val="FFFFFF" w:themeColor="background1"/>
        <w:sz w:val="14"/>
        <w:szCs w:val="16"/>
      </w:rPr>
      <w:fldChar w:fldCharType="begin"/>
    </w:r>
    <w:r>
      <w:rPr>
        <w:rFonts w:ascii="Verdana" w:hAnsi="Verdana" w:cs="Arial"/>
        <w:color w:val="FFFFFF" w:themeColor="background1"/>
        <w:sz w:val="14"/>
        <w:szCs w:val="16"/>
      </w:rPr>
      <w:instrText xml:space="preserve"> DOCPROPERTY "iManageFooter"  \* MERGEFORMAT </w:instrText>
    </w:r>
    <w:r>
      <w:rPr>
        <w:rFonts w:ascii="Verdana" w:hAnsi="Verdana" w:cs="Arial"/>
        <w:color w:val="FFFFFF" w:themeColor="background1"/>
        <w:sz w:val="14"/>
        <w:szCs w:val="16"/>
      </w:rPr>
      <w:fldChar w:fldCharType="separate"/>
    </w:r>
    <w:r>
      <w:rPr>
        <w:rFonts w:ascii="Verdana" w:hAnsi="Verdana" w:cs="Arial"/>
        <w:color w:val="FFFFFF" w:themeColor="background1"/>
        <w:sz w:val="14"/>
        <w:szCs w:val="16"/>
      </w:rPr>
      <w:t>JUR_SP - 41715894v3 - 11361002.482263</w:t>
    </w:r>
    <w:r>
      <w:rPr>
        <w:rFonts w:ascii="Verdana" w:hAnsi="Verdana" w:cs="Arial"/>
        <w:color w:val="FFFFFF" w:themeColor="background1"/>
        <w:sz w:val="14"/>
        <w:szCs w:val="16"/>
      </w:rPr>
      <w:fldChar w:fldCharType="end"/>
    </w:r>
  </w:p>
  <w:p>
    <w:pPr>
      <w:pStyle w:val="Rodap"/>
      <w:jc w:val="center"/>
      <w:rPr>
        <w:color w:val="FFFFFF" w:themeColor="background1"/>
        <w:sz w:val="16"/>
        <w:szCs w:val="18"/>
      </w:rPr>
    </w:pPr>
    <w:r>
      <w:rPr>
        <w:rFonts w:ascii="Verdana" w:hAnsi="Verdana" w:cs="Arial"/>
        <w:sz w:val="18"/>
        <w:szCs w:val="18"/>
      </w:rPr>
      <w:fldChar w:fldCharType="begin"/>
    </w:r>
    <w:r>
      <w:rPr>
        <w:rFonts w:ascii="Verdana" w:hAnsi="Verdana" w:cs="Arial"/>
        <w:sz w:val="18"/>
        <w:szCs w:val="18"/>
      </w:rPr>
      <w:instrText>PAGE   \* MERGEFORMAT</w:instrText>
    </w:r>
    <w:r>
      <w:rPr>
        <w:rFonts w:ascii="Verdana" w:hAnsi="Verdana" w:cs="Arial"/>
        <w:sz w:val="18"/>
        <w:szCs w:val="18"/>
      </w:rPr>
      <w:fldChar w:fldCharType="separate"/>
    </w:r>
    <w:r>
      <w:rPr>
        <w:rFonts w:ascii="Verdana" w:hAnsi="Verdana" w:cs="Arial"/>
        <w:noProof/>
        <w:sz w:val="18"/>
        <w:szCs w:val="18"/>
      </w:rPr>
      <w:t>11</w:t>
    </w:r>
    <w:r>
      <w:rPr>
        <w:rFonts w:ascii="Verdana" w:hAnsi="Verdana" w:cs="Arial"/>
        <w:sz w:val="18"/>
        <w:szCs w:val="18"/>
      </w:rPr>
      <w:fldChar w:fldCharType="end"/>
    </w:r>
  </w:p>
  <w:p>
    <w:pPr>
      <w:pStyle w:val="Rodap"/>
      <w:ind w:right="360"/>
      <w:jc w:val="center"/>
      <w:rPr>
        <w:color w:val="FFFFFF" w:themeColor="background1"/>
        <w:sz w:val="16"/>
        <w:szCs w:val="18"/>
      </w:rPr>
    </w:pPr>
    <w:r>
      <w:rPr>
        <w:color w:val="FFFFFF" w:themeColor="background1"/>
        <w:sz w:val="16"/>
        <w:szCs w:val="18"/>
      </w:rPr>
      <w:t xml:space="preserve"> SP - 11508549v1</w:t>
    </w:r>
  </w:p>
  <w:p>
    <w:pPr>
      <w:pStyle w:val="Rodap"/>
      <w:ind w:right="360"/>
      <w:jc w:val="center"/>
      <w:rPr>
        <w:rFonts w:ascii="Tahoma" w:hAnsi="Tahoma" w:cs="Tahoma"/>
        <w:sz w:val="12"/>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rFonts w:ascii="Verdana" w:hAnsi="Verdana"/>
        <w:sz w:val="18"/>
        <w:szCs w:val="18"/>
      </w:rPr>
    </w:pPr>
    <w:r>
      <w:rPr>
        <w:rFonts w:ascii="Verdana" w:hAnsi="Verdana"/>
        <w:sz w:val="18"/>
        <w:szCs w:val="18"/>
      </w:rPr>
      <w:fldChar w:fldCharType="begin"/>
    </w:r>
    <w:r>
      <w:rPr>
        <w:rFonts w:ascii="Verdana" w:hAnsi="Verdana"/>
        <w:sz w:val="18"/>
        <w:szCs w:val="18"/>
      </w:rPr>
      <w:instrText xml:space="preserve"> DOCPROPERTY iManageFooter \* MERGEFORMAT </w:instrText>
    </w:r>
    <w:r>
      <w:rPr>
        <w:rFonts w:ascii="Verdana" w:hAnsi="Verdana"/>
        <w:sz w:val="18"/>
        <w:szCs w:val="18"/>
      </w:rPr>
      <w:fldChar w:fldCharType="separate"/>
    </w:r>
    <w:r>
      <w:rPr>
        <w:rFonts w:ascii="Verdana" w:hAnsi="Verdana"/>
        <w:sz w:val="18"/>
        <w:szCs w:val="18"/>
      </w:rPr>
      <w:t>JUR_SP - 33822806v5 - 34045.429258</w:t>
    </w:r>
    <w:r>
      <w:rPr>
        <w:rFonts w:ascii="Verdana" w:hAnsi="Verdan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Arial" w:hAnsi="Arial" w:cs="Arial"/>
        <w:b/>
        <w:sz w:val="22"/>
        <w:szCs w:val="22"/>
      </w:rPr>
    </w:pPr>
    <w:r>
      <w:rPr>
        <w:rFonts w:ascii="Arial" w:hAnsi="Arial" w:cs="Arial"/>
        <w:b/>
        <w:sz w:val="22"/>
        <w:szCs w:val="22"/>
      </w:rPr>
      <w:t>MINUTA</w:t>
    </w:r>
  </w:p>
  <w:p>
    <w:pPr>
      <w:pStyle w:val="Cabealho"/>
      <w:jc w:val="right"/>
      <w:rPr>
        <w:rFonts w:ascii="Arial" w:hAnsi="Arial" w:cs="Arial"/>
        <w:sz w:val="22"/>
        <w:szCs w:val="22"/>
      </w:rPr>
    </w:pPr>
    <w:r>
      <w:rPr>
        <w:rFonts w:ascii="Arial" w:hAnsi="Arial" w:cs="Arial"/>
        <w:sz w:val="22"/>
        <w:szCs w:val="22"/>
      </w:rPr>
      <w:t>(23.9.2021)</w:t>
    </w:r>
  </w:p>
  <w:p>
    <w:pPr>
      <w:pStyle w:val="Cabealho"/>
      <w:jc w:val="right"/>
      <w:rPr>
        <w:rFonts w:ascii="Verdana" w:hAnsi="Verdana"/>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45F0E"/>
    <w:multiLevelType w:val="hybridMultilevel"/>
    <w:tmpl w:val="0546A398"/>
    <w:lvl w:ilvl="0" w:tplc="06123EF8">
      <w:start w:val="1"/>
      <w:numFmt w:val="lowerLetter"/>
      <w:lvlText w:val="(%1)"/>
      <w:lvlJc w:val="left"/>
      <w:pPr>
        <w:tabs>
          <w:tab w:val="num" w:pos="480"/>
        </w:tabs>
        <w:ind w:left="480" w:hanging="360"/>
      </w:pPr>
      <w:rPr>
        <w:rFonts w:hint="default"/>
      </w:rPr>
    </w:lvl>
    <w:lvl w:ilvl="1" w:tplc="8A788EF0">
      <w:start w:val="1"/>
      <w:numFmt w:val="lowerRoman"/>
      <w:lvlText w:val="%2."/>
      <w:lvlJc w:val="left"/>
      <w:pPr>
        <w:tabs>
          <w:tab w:val="num" w:pos="1440"/>
        </w:tabs>
        <w:ind w:left="1440" w:hanging="360"/>
      </w:pPr>
      <w:rPr>
        <w:rFonts w:hint="default"/>
      </w:rPr>
    </w:lvl>
    <w:lvl w:ilvl="2" w:tplc="7D0E0380">
      <w:start w:val="1"/>
      <w:numFmt w:val="decimal"/>
      <w:lvlText w:val="%3."/>
      <w:lvlJc w:val="left"/>
      <w:pPr>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853008B"/>
    <w:multiLevelType w:val="hybridMultilevel"/>
    <w:tmpl w:val="00B20F7C"/>
    <w:lvl w:ilvl="0" w:tplc="217AB14E">
      <w:start w:val="1"/>
      <w:numFmt w:val="lowerLetter"/>
      <w:lvlText w:val="(%1)"/>
      <w:lvlJc w:val="left"/>
      <w:pPr>
        <w:ind w:left="720" w:hanging="360"/>
      </w:pPr>
      <w:rPr>
        <w:rFonts w:cs="Times New Roman" w:hint="default"/>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9C0335"/>
    <w:multiLevelType w:val="multilevel"/>
    <w:tmpl w:val="6C92BB98"/>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134323D"/>
    <w:multiLevelType w:val="multilevel"/>
    <w:tmpl w:val="22825A56"/>
    <w:lvl w:ilvl="0">
      <w:start w:val="1"/>
      <w:numFmt w:val="decimal"/>
      <w:pStyle w:val="Schedule1"/>
      <w:lvlText w:val="%1"/>
      <w:lvlJc w:val="left"/>
      <w:pPr>
        <w:tabs>
          <w:tab w:val="num" w:pos="680"/>
        </w:tabs>
        <w:ind w:left="680" w:hanging="680"/>
      </w:pPr>
      <w:rPr>
        <w:b/>
        <w:i w:val="0"/>
        <w:sz w:val="22"/>
      </w:rPr>
    </w:lvl>
    <w:lvl w:ilvl="1">
      <w:start w:val="1"/>
      <w:numFmt w:val="decimal"/>
      <w:pStyle w:val="Schedule1"/>
      <w:lvlText w:val="%1.%2"/>
      <w:lvlJc w:val="left"/>
      <w:pPr>
        <w:tabs>
          <w:tab w:val="num" w:pos="680"/>
        </w:tabs>
        <w:ind w:left="680" w:hanging="680"/>
      </w:pPr>
      <w:rPr>
        <w:b/>
        <w:i w:val="0"/>
        <w:sz w:val="21"/>
      </w:rPr>
    </w:lvl>
    <w:lvl w:ilvl="2">
      <w:start w:val="1"/>
      <w:numFmt w:val="decimal"/>
      <w:lvlText w:val="%1.%2.%3"/>
      <w:lvlJc w:val="left"/>
      <w:pPr>
        <w:tabs>
          <w:tab w:val="num" w:pos="1361"/>
        </w:tabs>
        <w:ind w:left="1361" w:hanging="681"/>
      </w:pPr>
      <w:rPr>
        <w:b/>
        <w:i w:val="0"/>
        <w:sz w:val="22"/>
        <w:szCs w:val="22"/>
      </w:rPr>
    </w:lvl>
    <w:lvl w:ilvl="3">
      <w:start w:val="1"/>
      <w:numFmt w:val="lowerRoman"/>
      <w:lvlText w:val="(%4)"/>
      <w:lvlJc w:val="left"/>
      <w:pPr>
        <w:tabs>
          <w:tab w:val="num" w:pos="2041"/>
        </w:tabs>
        <w:ind w:left="2041" w:hanging="680"/>
      </w:pPr>
    </w:lvl>
    <w:lvl w:ilvl="4">
      <w:start w:val="1"/>
      <w:numFmt w:val="lowerLetter"/>
      <w:lvlText w:val="(%5)"/>
      <w:lvlJc w:val="left"/>
      <w:pPr>
        <w:tabs>
          <w:tab w:val="num" w:pos="2608"/>
        </w:tabs>
        <w:ind w:left="2608" w:hanging="567"/>
      </w:pPr>
    </w:lvl>
    <w:lvl w:ilvl="5">
      <w:start w:val="1"/>
      <w:numFmt w:val="upperRoman"/>
      <w:lvlText w:val="(%6)"/>
      <w:lvlJc w:val="left"/>
      <w:pPr>
        <w:tabs>
          <w:tab w:val="num" w:pos="3288"/>
        </w:tabs>
        <w:ind w:left="3288"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4"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1"/>
      <w:lvlText w:val="(%4)"/>
      <w:lvlJc w:val="left"/>
      <w:pPr>
        <w:tabs>
          <w:tab w:val="num" w:pos="2722"/>
        </w:tabs>
        <w:ind w:left="2041" w:firstLine="0"/>
      </w:pPr>
      <w:rPr>
        <w:rFonts w:ascii="Tahoma" w:hAnsi="Tahoma" w:hint="default"/>
      </w:rPr>
    </w:lvl>
    <w:lvl w:ilvl="4">
      <w:start w:val="1"/>
      <w:numFmt w:val="lowerLetter"/>
      <w:pStyle w:val="Level2"/>
      <w:lvlText w:val="(%5)"/>
      <w:lvlJc w:val="left"/>
      <w:pPr>
        <w:tabs>
          <w:tab w:val="num" w:pos="3289"/>
        </w:tabs>
        <w:ind w:left="2722" w:firstLine="0"/>
      </w:pPr>
      <w:rPr>
        <w:rFonts w:ascii="Tahoma" w:hAnsi="Tahoma" w:hint="default"/>
      </w:rPr>
    </w:lvl>
    <w:lvl w:ilvl="5">
      <w:start w:val="1"/>
      <w:numFmt w:val="upperRoman"/>
      <w:pStyle w:val="Level3"/>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E6D04D6"/>
    <w:multiLevelType w:val="hybridMultilevel"/>
    <w:tmpl w:val="BCF23098"/>
    <w:lvl w:ilvl="0" w:tplc="B0009614">
      <w:start w:val="1"/>
      <w:numFmt w:val="lowerRoman"/>
      <w:lvlText w:val="%1."/>
      <w:lvlJc w:val="right"/>
      <w:pPr>
        <w:tabs>
          <w:tab w:val="num" w:pos="709"/>
        </w:tabs>
        <w:ind w:left="709" w:hanging="709"/>
      </w:pPr>
      <w:rPr>
        <w:b/>
      </w:rPr>
    </w:lvl>
    <w:lvl w:ilvl="1" w:tplc="CDA00CFA">
      <w:start w:val="1"/>
      <w:numFmt w:val="upperRoman"/>
      <w:lvlText w:val="%2."/>
      <w:lvlJc w:val="left"/>
      <w:pPr>
        <w:tabs>
          <w:tab w:val="num" w:pos="1800"/>
        </w:tabs>
        <w:ind w:left="1800" w:hanging="72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6" w15:restartNumberingAfterBreak="0">
    <w:nsid w:val="25394107"/>
    <w:multiLevelType w:val="hybridMultilevel"/>
    <w:tmpl w:val="27C284F0"/>
    <w:lvl w:ilvl="0" w:tplc="DAF0E97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3A5936A8"/>
    <w:multiLevelType w:val="multilevel"/>
    <w:tmpl w:val="38266FB8"/>
    <w:lvl w:ilvl="0">
      <w:start w:val="1"/>
      <w:numFmt w:val="upperRoman"/>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C89112B"/>
    <w:multiLevelType w:val="multilevel"/>
    <w:tmpl w:val="72E2D5C6"/>
    <w:lvl w:ilvl="0">
      <w:start w:val="1"/>
      <w:numFmt w:val="decimal"/>
      <w:lvlText w:val="%1."/>
      <w:lvlJc w:val="left"/>
      <w:pPr>
        <w:ind w:left="360" w:hanging="360"/>
      </w:pPr>
      <w:rPr>
        <w:i w:val="0"/>
      </w:rPr>
    </w:lvl>
    <w:lvl w:ilvl="1">
      <w:start w:val="1"/>
      <w:numFmt w:val="decimal"/>
      <w:lvlText w:val="%1.%2."/>
      <w:lvlJc w:val="left"/>
      <w:pPr>
        <w:ind w:left="792" w:hanging="432"/>
      </w:pPr>
      <w:rPr>
        <w:rFonts w:ascii="Verdana" w:hAnsi="Verdana" w:hint="default"/>
        <w:b/>
        <w:i w:val="0"/>
        <w:sz w:val="20"/>
        <w:szCs w:val="20"/>
      </w:rPr>
    </w:lvl>
    <w:lvl w:ilvl="2">
      <w:start w:val="1"/>
      <w:numFmt w:val="decimal"/>
      <w:lvlText w:val="%1.%2.%3."/>
      <w:lvlJc w:val="left"/>
      <w:pPr>
        <w:ind w:left="504" w:hanging="504"/>
      </w:pPr>
      <w:rPr>
        <w:b/>
      </w:rPr>
    </w:lvl>
    <w:lvl w:ilvl="3">
      <w:start w:val="1"/>
      <w:numFmt w:val="decimal"/>
      <w:lvlText w:val="%1.%2.%3.%4."/>
      <w:lvlJc w:val="left"/>
      <w:pPr>
        <w:ind w:left="64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CB3AE4"/>
    <w:multiLevelType w:val="hybridMultilevel"/>
    <w:tmpl w:val="A28C7D9C"/>
    <w:lvl w:ilvl="0" w:tplc="CDCC7F92">
      <w:start w:val="8"/>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F723D2D"/>
    <w:multiLevelType w:val="hybridMultilevel"/>
    <w:tmpl w:val="36FCDF0E"/>
    <w:lvl w:ilvl="0" w:tplc="0416001B">
      <w:start w:val="1"/>
      <w:numFmt w:val="lowerRoman"/>
      <w:lvlText w:val="%1."/>
      <w:lvlJc w:val="right"/>
      <w:pPr>
        <w:ind w:left="1788" w:hanging="360"/>
      </w:p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1" w15:restartNumberingAfterBreak="0">
    <w:nsid w:val="43A26C65"/>
    <w:multiLevelType w:val="hybridMultilevel"/>
    <w:tmpl w:val="7CB00FB8"/>
    <w:lvl w:ilvl="0" w:tplc="1C60FE0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468D44A0"/>
    <w:multiLevelType w:val="hybridMultilevel"/>
    <w:tmpl w:val="F810315E"/>
    <w:lvl w:ilvl="0" w:tplc="8A788EF0">
      <w:start w:val="1"/>
      <w:numFmt w:val="lowerRoman"/>
      <w:lvlText w:val="%1."/>
      <w:lvlJc w:val="left"/>
      <w:pPr>
        <w:tabs>
          <w:tab w:val="num" w:pos="1440"/>
        </w:tabs>
        <w:ind w:left="144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A544C31"/>
    <w:multiLevelType w:val="hybridMultilevel"/>
    <w:tmpl w:val="8E747512"/>
    <w:lvl w:ilvl="0" w:tplc="DF16FFB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866162C"/>
    <w:multiLevelType w:val="hybridMultilevel"/>
    <w:tmpl w:val="27C284F0"/>
    <w:lvl w:ilvl="0" w:tplc="DAF0E97E">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5" w15:restartNumberingAfterBreak="0">
    <w:nsid w:val="63376F74"/>
    <w:multiLevelType w:val="hybridMultilevel"/>
    <w:tmpl w:val="205E3EE8"/>
    <w:lvl w:ilvl="0" w:tplc="8A788EF0">
      <w:start w:val="1"/>
      <w:numFmt w:val="lowerRoman"/>
      <w:lvlText w:val="%1."/>
      <w:lvlJc w:val="left"/>
      <w:pPr>
        <w:tabs>
          <w:tab w:val="num" w:pos="1440"/>
        </w:tabs>
        <w:ind w:left="14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651E799B"/>
    <w:multiLevelType w:val="multilevel"/>
    <w:tmpl w:val="C6AC67A0"/>
    <w:lvl w:ilvl="0">
      <w:start w:val="1"/>
      <w:numFmt w:val="decimal"/>
      <w:pStyle w:val="ContratoN1"/>
      <w:lvlText w:val="%1."/>
      <w:lvlJc w:val="left"/>
      <w:pPr>
        <w:tabs>
          <w:tab w:val="num" w:pos="1134"/>
        </w:tabs>
        <w:ind w:left="1134" w:hanging="1134"/>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2"/>
      <w:lvlText w:val="%1.%2.%3."/>
      <w:lvlJc w:val="left"/>
      <w:pPr>
        <w:tabs>
          <w:tab w:val="num" w:pos="1080"/>
        </w:tabs>
        <w:ind w:left="1134"/>
      </w:pPr>
      <w:rPr>
        <w:rFonts w:cs="Times New Roman" w:hint="default"/>
      </w:rPr>
    </w:lvl>
    <w:lvl w:ilvl="3">
      <w:start w:val="1"/>
      <w:numFmt w:val="decimal"/>
      <w:lvlText w:val="%1.%2.%3.%4."/>
      <w:lvlJc w:val="left"/>
      <w:pPr>
        <w:tabs>
          <w:tab w:val="num" w:pos="1701"/>
        </w:tabs>
        <w:ind w:left="1368" w:hanging="234"/>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7" w15:restartNumberingAfterBreak="0">
    <w:nsid w:val="663F4E65"/>
    <w:multiLevelType w:val="hybridMultilevel"/>
    <w:tmpl w:val="219CB7E6"/>
    <w:lvl w:ilvl="0" w:tplc="A58C6900">
      <w:start w:val="1"/>
      <w:numFmt w:val="lowerLetter"/>
      <w:lvlText w:val="(%1)"/>
      <w:lvlJc w:val="left"/>
      <w:pPr>
        <w:tabs>
          <w:tab w:val="num" w:pos="737"/>
        </w:tabs>
      </w:pPr>
      <w:rPr>
        <w:rFonts w:ascii="Verdana"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76E2BBE"/>
    <w:multiLevelType w:val="hybridMultilevel"/>
    <w:tmpl w:val="27C284F0"/>
    <w:lvl w:ilvl="0" w:tplc="DAF0E97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75E23119"/>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7C051F1D"/>
    <w:multiLevelType w:val="hybridMultilevel"/>
    <w:tmpl w:val="6A164480"/>
    <w:lvl w:ilvl="0" w:tplc="0B088562">
      <w:start w:val="1"/>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0"/>
  </w:num>
  <w:num w:numId="3">
    <w:abstractNumId w:val="18"/>
  </w:num>
  <w:num w:numId="4">
    <w:abstractNumId w:val="12"/>
  </w:num>
  <w:num w:numId="5">
    <w:abstractNumId w:val="11"/>
  </w:num>
  <w:num w:numId="6">
    <w:abstractNumId w:val="20"/>
  </w:num>
  <w:num w:numId="7">
    <w:abstractNumId w:val="9"/>
  </w:num>
  <w:num w:numId="8">
    <w:abstractNumId w:val="19"/>
  </w:num>
  <w:num w:numId="9">
    <w:abstractNumId w:val="15"/>
  </w:num>
  <w:num w:numId="10">
    <w:abstractNumId w:val="2"/>
  </w:num>
  <w:num w:numId="11">
    <w:abstractNumId w:val="4"/>
  </w:num>
  <w:num w:numId="12">
    <w:abstractNumId w:val="16"/>
  </w:num>
  <w:num w:numId="13">
    <w:abstractNumId w:val="1"/>
  </w:num>
  <w:num w:numId="14">
    <w:abstractNumId w:val="10"/>
  </w:num>
  <w:num w:numId="15">
    <w:abstractNumId w:val="17"/>
  </w:num>
  <w:num w:numId="16">
    <w:abstractNumId w:val="7"/>
  </w:num>
  <w:num w:numId="17">
    <w:abstractNumId w:val="8"/>
  </w:num>
  <w:num w:numId="18">
    <w:abstractNumId w:val="13"/>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pt-B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617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o:shapelayout v:ext="edit">
      <o:idmap v:ext="edit" data="1"/>
    </o:shapelayout>
  </w:shapeDefaults>
  <w:decimalSymbol w:val=","/>
  <w:listSeparator w:val=";"/>
  <w15:docId w15:val="{39D05FBD-6854-4F0F-830F-5B3CAADE7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pPr>
      <w:keepNext/>
      <w:spacing w:before="240" w:after="60"/>
      <w:jc w:val="both"/>
      <w:outlineLvl w:val="1"/>
    </w:pPr>
    <w:rPr>
      <w:rFonts w:ascii="Arial" w:hAnsi="Arial" w:cs="Arial"/>
      <w:b/>
      <w:bCs/>
      <w:i/>
      <w:iCs/>
    </w:rPr>
  </w:style>
  <w:style w:type="paragraph" w:styleId="Ttulo3">
    <w:name w:val="heading 3"/>
    <w:basedOn w:val="Normal"/>
    <w:next w:val="Normal"/>
    <w:link w:val="Ttulo3Char"/>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paragraph" w:styleId="Ttulo8">
    <w:name w:val="heading 8"/>
    <w:basedOn w:val="Normal"/>
    <w:next w:val="Normal"/>
    <w:link w:val="Ttulo8Char"/>
    <w:qFormat/>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hAnsi="Arial" w:cs="Arial"/>
      <w:b/>
      <w:bCs/>
      <w:kern w:val="32"/>
      <w:sz w:val="32"/>
      <w:szCs w:val="32"/>
    </w:rPr>
  </w:style>
  <w:style w:type="character" w:customStyle="1" w:styleId="Ttulo2Char">
    <w:name w:val="Título 2 Char"/>
    <w:basedOn w:val="Fontepargpadro"/>
    <w:link w:val="Ttulo2"/>
    <w:rPr>
      <w:rFonts w:ascii="Arial" w:hAnsi="Arial" w:cs="Arial"/>
      <w:b/>
      <w:bCs/>
      <w:i/>
      <w:iCs/>
      <w:sz w:val="24"/>
      <w:szCs w:val="24"/>
    </w:rPr>
  </w:style>
  <w:style w:type="character" w:customStyle="1" w:styleId="Ttulo3Char">
    <w:name w:val="Título 3 Char"/>
    <w:basedOn w:val="Fontepargpadro"/>
    <w:link w:val="Ttulo3"/>
    <w:semiHidden/>
    <w:rPr>
      <w:rFonts w:asciiTheme="majorHAnsi" w:eastAsiaTheme="majorEastAsia" w:hAnsiTheme="majorHAnsi" w:cstheme="majorBidi"/>
      <w:color w:val="243F60" w:themeColor="accent1" w:themeShade="7F"/>
      <w:sz w:val="24"/>
      <w:szCs w:val="24"/>
    </w:rPr>
  </w:style>
  <w:style w:type="character" w:customStyle="1" w:styleId="Ttulo8Char">
    <w:name w:val="Título 8 Char"/>
    <w:basedOn w:val="Fontepargpadro"/>
    <w:link w:val="Ttulo8"/>
    <w:rPr>
      <w:i/>
      <w:iCs/>
      <w:sz w:val="24"/>
      <w:szCs w:val="24"/>
    </w:rPr>
  </w:style>
  <w:style w:type="paragraph" w:customStyle="1" w:styleId="citcar">
    <w:name w:val="citcar"/>
    <w:basedOn w:val="Normal"/>
    <w:qFormat/>
    <w:pPr>
      <w:widowControl w:val="0"/>
      <w:spacing w:line="240" w:lineRule="exact"/>
      <w:ind w:left="1134" w:right="1134"/>
    </w:pPr>
  </w:style>
  <w:style w:type="paragraph" w:customStyle="1" w:styleId="citpet">
    <w:name w:val="citpet"/>
    <w:basedOn w:val="citcar"/>
    <w:qFormat/>
    <w:pPr>
      <w:ind w:left="1418" w:right="1418"/>
    </w:pPr>
    <w:rPr>
      <w:sz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locked/>
    <w:rPr>
      <w:sz w:val="24"/>
      <w:szCs w:val="24"/>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rFonts w:ascii="Arial" w:hAnsi="Arial"/>
      <w:sz w:val="24"/>
      <w:szCs w:val="24"/>
    </w:rPr>
  </w:style>
  <w:style w:type="paragraph" w:customStyle="1" w:styleId="E-Pat">
    <w:name w:val="E-Pat"/>
    <w:basedOn w:val="Normal"/>
    <w:link w:val="E-PatChar"/>
    <w:qFormat/>
    <w:pPr>
      <w:ind w:firstLine="2829"/>
    </w:pPr>
  </w:style>
  <w:style w:type="character" w:customStyle="1" w:styleId="E-PatChar">
    <w:name w:val="E-Pat Char"/>
    <w:basedOn w:val="Fontepargpadro"/>
    <w:link w:val="E-Pat"/>
    <w:rPr>
      <w:rFonts w:ascii="Arial" w:hAnsi="Arial"/>
      <w:sz w:val="24"/>
      <w:szCs w:val="24"/>
    </w:rPr>
  </w:style>
  <w:style w:type="paragraph" w:customStyle="1" w:styleId="E-PatCitao">
    <w:name w:val="E-Pat Citação"/>
    <w:basedOn w:val="Normal"/>
    <w:link w:val="E-PatCitaoChar"/>
    <w:qFormat/>
    <w:pPr>
      <w:ind w:left="1418" w:right="1134"/>
    </w:pPr>
  </w:style>
  <w:style w:type="character" w:customStyle="1" w:styleId="E-PatCitaoChar">
    <w:name w:val="E-Pat Citação Char"/>
    <w:basedOn w:val="Fontepargpadro"/>
    <w:link w:val="E-PatCitao"/>
    <w:rPr>
      <w:rFonts w:ascii="Arial" w:hAnsi="Arial"/>
      <w:sz w:val="24"/>
      <w:szCs w:val="24"/>
    </w:rPr>
  </w:style>
  <w:style w:type="paragraph" w:customStyle="1" w:styleId="Teste">
    <w:name w:val="Teste"/>
    <w:basedOn w:val="citpet"/>
    <w:link w:val="TesteChar"/>
    <w:autoRedefine/>
    <w:pPr>
      <w:jc w:val="center"/>
    </w:pPr>
    <w:rPr>
      <w:b/>
      <w:sz w:val="24"/>
    </w:rPr>
  </w:style>
  <w:style w:type="character" w:customStyle="1" w:styleId="TesteChar">
    <w:name w:val="Teste Char"/>
    <w:basedOn w:val="Fontepargpadro"/>
    <w:link w:val="Teste"/>
    <w:rPr>
      <w:rFonts w:ascii="Arial" w:hAnsi="Arial"/>
      <w:b/>
      <w:sz w:val="24"/>
      <w:szCs w:val="24"/>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Arial"/>
      <w:b/>
      <w:bCs/>
      <w:color w:val="auto"/>
      <w:spacing w:val="0"/>
      <w:sz w:val="32"/>
      <w:szCs w:val="32"/>
    </w:r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customStyle="1" w:styleId="EscopoNTITituloChar">
    <w:name w:val="EscopoNTITitulo Char"/>
    <w:link w:val="EscopoNTITitulo"/>
    <w:rPr>
      <w:rFonts w:ascii="Arial" w:hAnsi="Arial" w:cs="Arial"/>
      <w:b/>
      <w:bCs/>
      <w:kern w:val="28"/>
      <w:sz w:val="32"/>
      <w:szCs w:val="32"/>
    </w:rPr>
  </w:style>
  <w:style w:type="paragraph" w:customStyle="1" w:styleId="EscopoNTISubTitulo">
    <w:name w:val="EscopoNTISubTitulo"/>
    <w:link w:val="EscopoNTISubTituloChar"/>
    <w:pPr>
      <w:numPr>
        <w:numId w:val="1"/>
      </w:numPr>
    </w:pPr>
    <w:rPr>
      <w:rFonts w:ascii="Arial" w:hAnsi="Arial" w:cs="Arial"/>
      <w:b/>
      <w:bCs/>
      <w:sz w:val="24"/>
      <w:szCs w:val="22"/>
    </w:rPr>
  </w:style>
  <w:style w:type="character" w:customStyle="1" w:styleId="EscopoNTISubTituloChar">
    <w:name w:val="EscopoNTISubTitulo Char"/>
    <w:link w:val="EscopoNTISubTitulo"/>
    <w:rPr>
      <w:rFonts w:ascii="Arial" w:hAnsi="Arial" w:cs="Arial"/>
      <w:b/>
      <w:bCs/>
      <w:sz w:val="24"/>
      <w:szCs w:val="22"/>
    </w:rPr>
  </w:style>
  <w:style w:type="paragraph" w:customStyle="1" w:styleId="EscopoNTIItem">
    <w:name w:val="EscopoNTIItem"/>
    <w:link w:val="EscopoNTIItemChar"/>
    <w:pPr>
      <w:ind w:left="567"/>
    </w:pPr>
    <w:rPr>
      <w:rFonts w:ascii="Arial" w:hAnsi="Arial" w:cs="Arial"/>
      <w:b/>
      <w:szCs w:val="24"/>
    </w:rPr>
  </w:style>
  <w:style w:type="character" w:customStyle="1" w:styleId="EscopoNTIItemChar">
    <w:name w:val="EscopoNTIItem Char"/>
    <w:link w:val="EscopoNTIItem"/>
    <w:rPr>
      <w:rFonts w:ascii="Arial" w:hAnsi="Arial" w:cs="Arial"/>
      <w:b/>
      <w:szCs w:val="24"/>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Pr>
      <w:color w:val="0000FF" w:themeColor="hyperlink"/>
      <w:u w:val="single"/>
    </w:rPr>
  </w:style>
  <w:style w:type="paragraph" w:styleId="Corpodetexto3">
    <w:name w:val="Body Text 3"/>
    <w:basedOn w:val="Normal"/>
    <w:link w:val="Corpodetexto3Char"/>
    <w:pPr>
      <w:autoSpaceDE w:val="0"/>
      <w:autoSpaceDN w:val="0"/>
      <w:adjustRightInd w:val="0"/>
      <w:jc w:val="both"/>
    </w:pPr>
    <w:rPr>
      <w:color w:val="000000"/>
      <w:szCs w:val="22"/>
    </w:rPr>
  </w:style>
  <w:style w:type="character" w:customStyle="1" w:styleId="Corpodetexto3Char">
    <w:name w:val="Corpo de texto 3 Char"/>
    <w:basedOn w:val="Fontepargpadro"/>
    <w:link w:val="Corpodetexto3"/>
    <w:rPr>
      <w:color w:val="000000"/>
      <w:sz w:val="24"/>
      <w:szCs w:val="22"/>
    </w:rPr>
  </w:style>
  <w:style w:type="paragraph" w:customStyle="1" w:styleId="p0">
    <w:name w:val="p0"/>
    <w:basedOn w:val="Normal"/>
    <w:pPr>
      <w:tabs>
        <w:tab w:val="left" w:pos="720"/>
      </w:tabs>
      <w:spacing w:line="240" w:lineRule="atLeast"/>
      <w:jc w:val="both"/>
    </w:pPr>
    <w:rPr>
      <w:rFonts w:ascii="Times" w:hAnsi="Times"/>
      <w:szCs w:val="20"/>
      <w:lang w:eastAsia="en-US"/>
    </w:rPr>
  </w:style>
  <w:style w:type="paragraph" w:styleId="Recuodecorpodetexto2">
    <w:name w:val="Body Text Indent 2"/>
    <w:basedOn w:val="Normal"/>
    <w:link w:val="Recuodecorpodetexto2Char"/>
    <w:pPr>
      <w:tabs>
        <w:tab w:val="left" w:pos="720"/>
      </w:tabs>
      <w:spacing w:line="320" w:lineRule="exact"/>
      <w:ind w:left="720" w:hanging="720"/>
      <w:jc w:val="both"/>
    </w:pPr>
    <w:rPr>
      <w:rFonts w:ascii="Frutiger Light" w:hAnsi="Frutiger Light"/>
      <w:color w:val="000000"/>
      <w:sz w:val="26"/>
    </w:rPr>
  </w:style>
  <w:style w:type="character" w:customStyle="1" w:styleId="Recuodecorpodetexto2Char">
    <w:name w:val="Recuo de corpo de texto 2 Char"/>
    <w:basedOn w:val="Fontepargpadro"/>
    <w:link w:val="Recuodecorpodetexto2"/>
    <w:rPr>
      <w:rFonts w:ascii="Frutiger Light" w:hAnsi="Frutiger Light"/>
      <w:color w:val="000000"/>
      <w:sz w:val="26"/>
      <w:szCs w:val="24"/>
    </w:rPr>
  </w:style>
  <w:style w:type="paragraph" w:styleId="Recuodecorpodetexto3">
    <w:name w:val="Body Text Indent 3"/>
    <w:basedOn w:val="Normal"/>
    <w:link w:val="Recuodecorpodetexto3Char"/>
    <w:pPr>
      <w:tabs>
        <w:tab w:val="left" w:pos="720"/>
      </w:tabs>
      <w:spacing w:line="320" w:lineRule="exact"/>
      <w:ind w:left="720" w:hanging="720"/>
      <w:jc w:val="both"/>
    </w:pPr>
    <w:rPr>
      <w:rFonts w:ascii="Frutiger Light" w:hAnsi="Frutiger Light"/>
      <w:sz w:val="26"/>
    </w:rPr>
  </w:style>
  <w:style w:type="character" w:customStyle="1" w:styleId="Recuodecorpodetexto3Char">
    <w:name w:val="Recuo de corpo de texto 3 Char"/>
    <w:basedOn w:val="Fontepargpadro"/>
    <w:link w:val="Recuodecorpodetexto3"/>
    <w:rPr>
      <w:rFonts w:ascii="Frutiger Light" w:hAnsi="Frutiger Light"/>
      <w:sz w:val="26"/>
      <w:szCs w:val="24"/>
    </w:rPr>
  </w:style>
  <w:style w:type="paragraph" w:styleId="Corpodetexto2">
    <w:name w:val="Body Text 2"/>
    <w:basedOn w:val="Normal"/>
    <w:link w:val="Corpodetexto2Char"/>
    <w:pPr>
      <w:jc w:val="both"/>
    </w:pPr>
  </w:style>
  <w:style w:type="character" w:customStyle="1" w:styleId="Corpodetexto2Char">
    <w:name w:val="Corpo de texto 2 Char"/>
    <w:basedOn w:val="Fontepargpadro"/>
    <w:link w:val="Corpodetexto2"/>
    <w:rPr>
      <w:sz w:val="24"/>
      <w:szCs w:val="24"/>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basedOn w:val="Fontepargpadro"/>
    <w:link w:val="Textodebalo"/>
    <w:rPr>
      <w:rFonts w:ascii="Tahoma" w:hAnsi="Tahoma" w:cs="Tahoma"/>
      <w:sz w:val="16"/>
      <w:szCs w:val="16"/>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style>
  <w:style w:type="character" w:styleId="Refdenotaderodap">
    <w:name w:val="footnote reference"/>
    <w:rPr>
      <w:vertAlign w:val="superscript"/>
    </w:rPr>
  </w:style>
  <w:style w:type="paragraph" w:customStyle="1" w:styleId="CharChar">
    <w:name w:val="Char Char"/>
    <w:basedOn w:val="Normal"/>
    <w:pPr>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Pr>
      <w:color w:val="0000FF"/>
      <w:spacing w:val="0"/>
      <w:u w:val="double"/>
    </w:rPr>
  </w:style>
  <w:style w:type="paragraph" w:styleId="Recuodecorpodetexto">
    <w:name w:val="Body Text Indent"/>
    <w:basedOn w:val="Normal"/>
    <w:link w:val="RecuodecorpodetextoChar"/>
    <w:pPr>
      <w:spacing w:after="120"/>
      <w:ind w:left="283"/>
    </w:pPr>
  </w:style>
  <w:style w:type="character" w:customStyle="1" w:styleId="RecuodecorpodetextoChar">
    <w:name w:val="Recuo de corpo de texto Char"/>
    <w:basedOn w:val="Fontepargpadro"/>
    <w:link w:val="Recuodecorpodetexto"/>
    <w:rPr>
      <w:sz w:val="24"/>
      <w:szCs w:val="24"/>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character" w:styleId="Forte">
    <w:name w:val="Strong"/>
    <w:qFormat/>
    <w:rPr>
      <w:b/>
      <w:bCs/>
    </w:rPr>
  </w:style>
  <w:style w:type="character" w:customStyle="1" w:styleId="DeltaViewMoveDestination">
    <w:name w:val="DeltaView Move Destination"/>
    <w:rPr>
      <w:color w:val="00C000"/>
      <w:spacing w:val="0"/>
      <w:u w:val="double"/>
    </w:rPr>
  </w:style>
  <w:style w:type="paragraph" w:styleId="Corpodetexto">
    <w:name w:val="Body Text"/>
    <w:basedOn w:val="Normal"/>
    <w:link w:val="CorpodetextoChar"/>
    <w:pPr>
      <w:spacing w:after="120"/>
    </w:pPr>
  </w:style>
  <w:style w:type="character" w:customStyle="1" w:styleId="CorpodetextoChar">
    <w:name w:val="Corpo de texto Char"/>
    <w:basedOn w:val="Fontepargpadro"/>
    <w:link w:val="Corpodetexto"/>
    <w:rPr>
      <w:sz w:val="24"/>
      <w:szCs w:val="24"/>
    </w:rPr>
  </w:style>
  <w:style w:type="paragraph" w:styleId="Sumrio1">
    <w:name w:val="toc 1"/>
    <w:basedOn w:val="Normal"/>
    <w:next w:val="Normal"/>
    <w:autoRedefine/>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style>
  <w:style w:type="paragraph" w:customStyle="1" w:styleId="corpodetexto21">
    <w:name w:val="corpodetexto21"/>
    <w:basedOn w:val="Normal"/>
    <w:pPr>
      <w:spacing w:before="100" w:beforeAutospacing="1" w:after="100" w:afterAutospacing="1"/>
    </w:p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pPr>
      <w:spacing w:after="160" w:line="240" w:lineRule="exact"/>
    </w:pPr>
    <w:rPr>
      <w:rFonts w:ascii="Verdana" w:hAnsi="Verdana"/>
      <w:sz w:val="20"/>
      <w:szCs w:val="20"/>
      <w:lang w:val="en-US" w:eastAsia="en-US"/>
    </w:rPr>
  </w:style>
  <w:style w:type="paragraph" w:customStyle="1" w:styleId="Corpodotexto">
    <w:name w:val="Corpo do texto"/>
    <w:pPr>
      <w:widowControl w:val="0"/>
      <w:adjustRightInd w:val="0"/>
      <w:spacing w:line="360" w:lineRule="atLeast"/>
      <w:ind w:left="232" w:hanging="232"/>
      <w:jc w:val="both"/>
      <w:textAlignment w:val="baseline"/>
    </w:pPr>
    <w:rPr>
      <w:rFonts w:ascii="Helvetica" w:hAnsi="Helvetica"/>
      <w:b/>
      <w:snapToGrid w:val="0"/>
      <w:color w:val="00000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NormalNormalDOT">
    <w:name w:val="Normal.Normal.DOT"/>
    <w:rPr>
      <w:sz w:val="24"/>
    </w:rPr>
  </w:style>
  <w:style w:type="paragraph" w:customStyle="1" w:styleId="CharChar1CharCharCharCharCharCharCharCharCharChar">
    <w:name w:val="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spacing w:after="160" w:line="240" w:lineRule="exact"/>
    </w:pPr>
    <w:rPr>
      <w:rFonts w:ascii="Verdana" w:eastAsia="MS Mincho" w:hAnsi="Verdana"/>
      <w:sz w:val="20"/>
      <w:szCs w:val="20"/>
      <w:lang w:val="en-US" w:eastAsia="en-US"/>
    </w:rPr>
  </w:style>
  <w:style w:type="paragraph" w:customStyle="1" w:styleId="EstiloVerdana10pt">
    <w:name w:val="Estilo Verdana 10 pt"/>
    <w:basedOn w:val="Normal"/>
    <w:pPr>
      <w:spacing w:before="120" w:after="120"/>
      <w:jc w:val="both"/>
    </w:pPr>
    <w:rPr>
      <w:rFonts w:ascii="Verdana" w:hAnsi="Verdana"/>
      <w:sz w:val="20"/>
      <w:szCs w:val="20"/>
    </w:rPr>
  </w:style>
  <w:style w:type="character" w:customStyle="1" w:styleId="deltaviewinsertion0">
    <w:name w:val="deltaviewinsertion"/>
    <w:basedOn w:val="Fontepargpadro"/>
  </w:style>
  <w:style w:type="paragraph" w:customStyle="1" w:styleId="CharChar1CharCharCharCharCharCharCharCharCharCharCharCharCharCharChar1CharCharChar">
    <w:name w:val="Char Char1 Char Char Char Char Char Char Char Char Char Char Char Char Char Char Char1 Char Char Char"/>
    <w:basedOn w:val="Normal"/>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
    <w:name w:val="Char Char1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
    <w:name w:val="Char Char1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Textodenotaderodap1">
    <w:name w:val="Texto de nota de rodapé1"/>
    <w:aliases w:val="Car"/>
    <w:basedOn w:val="Normal"/>
    <w:hidden/>
    <w:pPr>
      <w:widowControl w:val="0"/>
      <w:autoSpaceDE w:val="0"/>
      <w:autoSpaceDN w:val="0"/>
      <w:adjustRightInd w:val="0"/>
    </w:pPr>
    <w:rPr>
      <w:sz w:val="20"/>
      <w:szCs w:val="20"/>
      <w:lang w:eastAsia="en-US"/>
    </w:rPr>
  </w:style>
  <w:style w:type="paragraph" w:customStyle="1" w:styleId="Estilo1">
    <w:name w:val="Estilo1"/>
    <w:basedOn w:val="Ttulo1"/>
    <w:qFormat/>
    <w:pPr>
      <w:widowControl w:val="0"/>
      <w:autoSpaceDE w:val="0"/>
      <w:autoSpaceDN w:val="0"/>
      <w:adjustRightInd w:val="0"/>
      <w:spacing w:before="0" w:after="0" w:line="260" w:lineRule="exact"/>
      <w:jc w:val="both"/>
    </w:pPr>
    <w:rPr>
      <w:rFonts w:ascii="Courier New" w:hAnsi="Courier New" w:cs="Times New Roman"/>
      <w:b w:val="0"/>
      <w:bCs w:val="0"/>
      <w:i/>
      <w:kern w:val="0"/>
      <w:sz w:val="24"/>
      <w:szCs w:val="20"/>
    </w:rPr>
  </w:style>
  <w:style w:type="paragraph" w:customStyle="1" w:styleId="Celso1">
    <w:name w:val="Celso1"/>
    <w:basedOn w:val="Normal"/>
    <w:pPr>
      <w:widowControl w:val="0"/>
      <w:autoSpaceDE w:val="0"/>
      <w:autoSpaceDN w:val="0"/>
      <w:adjustRightInd w:val="0"/>
      <w:jc w:val="both"/>
    </w:pPr>
    <w:rPr>
      <w:rFonts w:ascii="Univers (W1)" w:hAnsi="Univers (W1)" w:cs="Univers (W1)"/>
    </w:rPr>
  </w:style>
  <w:style w:type="paragraph" w:styleId="PargrafodaLista">
    <w:name w:val="List Paragraph"/>
    <w:basedOn w:val="Normal"/>
    <w:link w:val="PargrafodaListaChar"/>
    <w:uiPriority w:val="1"/>
    <w:qFormat/>
    <w:pPr>
      <w:ind w:left="708"/>
    </w:pPr>
  </w:style>
  <w:style w:type="character" w:customStyle="1" w:styleId="PargrafodaListaChar">
    <w:name w:val="Parágrafo da Lista Char"/>
    <w:basedOn w:val="Fontepargpadro"/>
    <w:link w:val="PargrafodaLista"/>
    <w:uiPriority w:val="34"/>
    <w:rPr>
      <w:sz w:val="24"/>
      <w:szCs w:val="24"/>
    </w:rPr>
  </w:style>
  <w:style w:type="paragraph" w:styleId="NormalWeb">
    <w:name w:val="Normal (Web)"/>
    <w:basedOn w:val="Normal"/>
    <w:uiPriority w:val="99"/>
    <w:unhideWhenUsed/>
    <w:pPr>
      <w:spacing w:before="100" w:beforeAutospacing="1" w:after="100" w:afterAutospacing="1"/>
    </w:p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basedOn w:val="Fontepargpadro"/>
    <w:link w:val="Textodecomentrio"/>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b/>
      <w:bCs/>
    </w:rPr>
  </w:style>
  <w:style w:type="paragraph" w:styleId="Reviso">
    <w:name w:val="Revision"/>
    <w:hidden/>
    <w:uiPriority w:val="99"/>
    <w:semiHidden/>
    <w:rPr>
      <w:sz w:val="24"/>
      <w:szCs w:val="24"/>
    </w:rPr>
  </w:style>
  <w:style w:type="paragraph" w:customStyle="1" w:styleId="Level1">
    <w:name w:val="Level 1"/>
    <w:basedOn w:val="Normal"/>
    <w:pPr>
      <w:numPr>
        <w:numId w:val="11"/>
      </w:numPr>
      <w:spacing w:after="140" w:line="290" w:lineRule="auto"/>
      <w:jc w:val="both"/>
    </w:pPr>
    <w:rPr>
      <w:rFonts w:ascii="Tahoma" w:hAnsi="Tahoma"/>
      <w:kern w:val="20"/>
      <w:sz w:val="20"/>
      <w:szCs w:val="28"/>
      <w:lang w:eastAsia="en-US"/>
    </w:rPr>
  </w:style>
  <w:style w:type="paragraph" w:customStyle="1" w:styleId="Level2">
    <w:name w:val="Level 2"/>
    <w:basedOn w:val="Normal"/>
    <w:pPr>
      <w:numPr>
        <w:ilvl w:val="1"/>
        <w:numId w:val="11"/>
      </w:numPr>
      <w:spacing w:after="140" w:line="290" w:lineRule="auto"/>
      <w:jc w:val="both"/>
    </w:pPr>
    <w:rPr>
      <w:rFonts w:ascii="Tahoma" w:hAnsi="Tahoma"/>
      <w:kern w:val="20"/>
      <w:sz w:val="20"/>
      <w:szCs w:val="28"/>
      <w:lang w:eastAsia="en-US"/>
    </w:rPr>
  </w:style>
  <w:style w:type="paragraph" w:customStyle="1" w:styleId="Level3">
    <w:name w:val="Level 3"/>
    <w:basedOn w:val="Normal"/>
    <w:pPr>
      <w:numPr>
        <w:ilvl w:val="2"/>
        <w:numId w:val="11"/>
      </w:numPr>
      <w:spacing w:after="140" w:line="290" w:lineRule="auto"/>
      <w:jc w:val="both"/>
    </w:pPr>
    <w:rPr>
      <w:rFonts w:ascii="Tahoma" w:hAnsi="Tahoma"/>
      <w:kern w:val="20"/>
      <w:sz w:val="20"/>
      <w:szCs w:val="28"/>
      <w:lang w:eastAsia="en-US"/>
    </w:rPr>
  </w:style>
  <w:style w:type="paragraph" w:customStyle="1" w:styleId="Level4">
    <w:name w:val="Level 4"/>
    <w:basedOn w:val="Normal"/>
    <w:pPr>
      <w:tabs>
        <w:tab w:val="num" w:pos="2722"/>
      </w:tabs>
      <w:spacing w:after="140" w:line="290" w:lineRule="auto"/>
      <w:ind w:left="2041"/>
      <w:jc w:val="both"/>
    </w:pPr>
    <w:rPr>
      <w:rFonts w:ascii="Tahoma" w:hAnsi="Tahoma"/>
      <w:kern w:val="20"/>
      <w:sz w:val="20"/>
      <w:lang w:eastAsia="en-US"/>
    </w:rPr>
  </w:style>
  <w:style w:type="paragraph" w:customStyle="1" w:styleId="Level5">
    <w:name w:val="Level 5"/>
    <w:basedOn w:val="Normal"/>
    <w:pPr>
      <w:tabs>
        <w:tab w:val="num" w:pos="3289"/>
      </w:tabs>
      <w:spacing w:after="140" w:line="290" w:lineRule="auto"/>
      <w:ind w:left="2722"/>
      <w:jc w:val="both"/>
    </w:pPr>
    <w:rPr>
      <w:rFonts w:ascii="Tahoma" w:hAnsi="Tahoma"/>
      <w:kern w:val="20"/>
      <w:sz w:val="20"/>
      <w:lang w:eastAsia="en-US"/>
    </w:rPr>
  </w:style>
  <w:style w:type="paragraph" w:customStyle="1" w:styleId="Level6">
    <w:name w:val="Level 6"/>
    <w:basedOn w:val="Normal"/>
    <w:pPr>
      <w:tabs>
        <w:tab w:val="num" w:pos="3969"/>
      </w:tabs>
      <w:spacing w:after="140" w:line="290" w:lineRule="auto"/>
      <w:ind w:left="3289"/>
      <w:jc w:val="both"/>
    </w:pPr>
    <w:rPr>
      <w:rFonts w:ascii="Tahoma" w:hAnsi="Tahoma"/>
      <w:kern w:val="20"/>
      <w:sz w:val="20"/>
      <w:lang w:eastAsia="en-US"/>
    </w:rPr>
  </w:style>
  <w:style w:type="paragraph" w:customStyle="1" w:styleId="BodyText22">
    <w:name w:val="Body Text 22"/>
    <w:basedOn w:val="Normal"/>
    <w:pPr>
      <w:widowControl w:val="0"/>
      <w:adjustRightInd w:val="0"/>
      <w:jc w:val="both"/>
      <w:textAlignment w:val="baseline"/>
    </w:pPr>
  </w:style>
  <w:style w:type="paragraph" w:customStyle="1" w:styleId="ContratoN2">
    <w:name w:val="Contrato_N2"/>
    <w:basedOn w:val="Normal"/>
    <w:link w:val="ContratoN2CharChar"/>
    <w:uiPriority w:val="99"/>
    <w:pPr>
      <w:numPr>
        <w:ilvl w:val="1"/>
        <w:numId w:val="12"/>
      </w:numPr>
      <w:spacing w:before="360" w:after="120" w:line="300" w:lineRule="exact"/>
      <w:jc w:val="both"/>
    </w:pPr>
    <w:rPr>
      <w:szCs w:val="20"/>
      <w:lang w:val="en-US" w:eastAsia="en-US"/>
    </w:rPr>
  </w:style>
  <w:style w:type="character" w:customStyle="1" w:styleId="ContratoN2CharChar">
    <w:name w:val="Contrato_N2 Char Char"/>
    <w:link w:val="ContratoN2"/>
    <w:uiPriority w:val="99"/>
    <w:locked/>
    <w:rPr>
      <w:sz w:val="24"/>
      <w:lang w:val="en-US" w:eastAsia="en-US"/>
    </w:rPr>
  </w:style>
  <w:style w:type="paragraph" w:customStyle="1" w:styleId="ContratoN1">
    <w:name w:val="Contrato_N1"/>
    <w:basedOn w:val="Normal"/>
    <w:uiPriority w:val="99"/>
    <w:pPr>
      <w:numPr>
        <w:numId w:val="12"/>
      </w:numPr>
      <w:spacing w:before="600" w:after="120"/>
      <w:jc w:val="both"/>
    </w:pPr>
    <w:rPr>
      <w:rFonts w:ascii="Times New Roman Negrito" w:hAnsi="Times New Roman Negrito"/>
      <w:b/>
      <w:caps/>
    </w:rPr>
  </w:style>
  <w:style w:type="paragraph" w:customStyle="1" w:styleId="ContratoN3">
    <w:name w:val="Contrato_N3"/>
    <w:basedOn w:val="ContratoN2"/>
    <w:uiPriority w:val="99"/>
    <w:pPr>
      <w:numPr>
        <w:ilvl w:val="2"/>
      </w:numPr>
      <w:tabs>
        <w:tab w:val="clear" w:pos="1080"/>
        <w:tab w:val="num" w:pos="1440"/>
        <w:tab w:val="num" w:pos="3766"/>
      </w:tabs>
      <w:ind w:left="3766" w:hanging="180"/>
    </w:pPr>
  </w:style>
  <w:style w:type="paragraph" w:customStyle="1" w:styleId="CharChar1CharCharCharCharCharCharCharCharCharCharCharCharCharCharChar1CharCharChar0">
    <w:name w:val="Char Char1 Char Char Char Char Char Char Char Char Char Char Char Char Char Char Char1 Char Char Char"/>
    <w:basedOn w:val="Normal"/>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1CharCharChar1">
    <w:name w:val="Char Char1 Char Char Char Char Char Char Char Char Char Char Char Char Char Char Char1 Char Char Char"/>
    <w:basedOn w:val="Normal"/>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1CharCharChar2">
    <w:name w:val="Char Char1 Char Char Char Char Char Char Char Char Char Char Char Char Char Char Char1 Char Char Char"/>
    <w:basedOn w:val="Normal"/>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Default">
    <w:name w:val="Default"/>
    <w:link w:val="DefaultChar"/>
    <w:pPr>
      <w:autoSpaceDE w:val="0"/>
      <w:autoSpaceDN w:val="0"/>
      <w:adjustRightInd w:val="0"/>
    </w:pPr>
    <w:rPr>
      <w:color w:val="000000"/>
      <w:sz w:val="24"/>
      <w:szCs w:val="24"/>
    </w:rPr>
  </w:style>
  <w:style w:type="character" w:customStyle="1" w:styleId="DefaultChar">
    <w:name w:val="Default Char"/>
    <w:basedOn w:val="Fontepargpadro"/>
    <w:link w:val="Default"/>
    <w:rPr>
      <w:color w:val="000000"/>
      <w:sz w:val="24"/>
      <w:szCs w:val="24"/>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Schedule1">
    <w:name w:val="Schedule 1"/>
    <w:basedOn w:val="Normal"/>
    <w:pPr>
      <w:numPr>
        <w:numId w:val="20"/>
      </w:numPr>
      <w:spacing w:after="140" w:line="288" w:lineRule="auto"/>
      <w:jc w:val="both"/>
    </w:pPr>
    <w:rPr>
      <w:rFonts w:ascii="Tahoma" w:hAnsi="Tahoma" w:cs="Tahoma"/>
      <w:color w:val="000000"/>
      <w:kern w:val="20"/>
      <w:sz w:val="22"/>
      <w:szCs w:val="22"/>
    </w:rPr>
  </w:style>
  <w:style w:type="paragraph" w:customStyle="1" w:styleId="Schedule2">
    <w:name w:val="Schedule 2"/>
    <w:basedOn w:val="Normal"/>
    <w:pPr>
      <w:tabs>
        <w:tab w:val="num" w:pos="680"/>
      </w:tabs>
      <w:spacing w:after="140" w:line="288" w:lineRule="auto"/>
      <w:ind w:left="680" w:hanging="680"/>
      <w:jc w:val="both"/>
    </w:pPr>
    <w:rPr>
      <w:rFonts w:ascii="Tahoma" w:hAnsi="Tahoma" w:cs="Tahoma"/>
      <w:color w:val="000000"/>
      <w:kern w:val="20"/>
      <w:sz w:val="22"/>
      <w:szCs w:val="22"/>
    </w:rPr>
  </w:style>
  <w:style w:type="paragraph" w:customStyle="1" w:styleId="Schedule3">
    <w:name w:val="Schedule 3"/>
    <w:basedOn w:val="Normal"/>
    <w:pPr>
      <w:tabs>
        <w:tab w:val="num" w:pos="1361"/>
      </w:tabs>
      <w:spacing w:after="140" w:line="288" w:lineRule="auto"/>
      <w:ind w:left="1361" w:hanging="681"/>
      <w:jc w:val="both"/>
    </w:pPr>
    <w:rPr>
      <w:rFonts w:ascii="Tahoma" w:hAnsi="Tahoma" w:cs="Tahoma"/>
      <w:color w:val="000000"/>
      <w:kern w:val="20"/>
      <w:sz w:val="22"/>
      <w:szCs w:val="22"/>
    </w:rPr>
  </w:style>
  <w:style w:type="paragraph" w:customStyle="1" w:styleId="Schedule4">
    <w:name w:val="Schedule 4"/>
    <w:basedOn w:val="Normal"/>
    <w:pPr>
      <w:tabs>
        <w:tab w:val="num" w:pos="2041"/>
      </w:tabs>
      <w:spacing w:after="140" w:line="288" w:lineRule="auto"/>
      <w:ind w:left="2041" w:hanging="680"/>
      <w:jc w:val="both"/>
    </w:pPr>
    <w:rPr>
      <w:rFonts w:ascii="Tahoma" w:hAnsi="Tahoma" w:cs="Tahoma"/>
      <w:color w:val="000000"/>
      <w:kern w:val="20"/>
      <w:sz w:val="22"/>
      <w:szCs w:val="22"/>
    </w:rPr>
  </w:style>
  <w:style w:type="paragraph" w:customStyle="1" w:styleId="Schedule5">
    <w:name w:val="Schedule 5"/>
    <w:basedOn w:val="Normal"/>
    <w:pPr>
      <w:tabs>
        <w:tab w:val="num" w:pos="2608"/>
      </w:tabs>
      <w:spacing w:after="140" w:line="288" w:lineRule="auto"/>
      <w:ind w:left="2608" w:hanging="567"/>
      <w:jc w:val="both"/>
    </w:pPr>
    <w:rPr>
      <w:rFonts w:ascii="Tahoma" w:hAnsi="Tahoma" w:cs="Tahoma"/>
      <w:color w:val="000000"/>
      <w:kern w:val="20"/>
      <w:sz w:val="22"/>
      <w:szCs w:val="22"/>
    </w:rPr>
  </w:style>
  <w:style w:type="paragraph" w:customStyle="1" w:styleId="Schedule6">
    <w:name w:val="Schedule 6"/>
    <w:basedOn w:val="Normal"/>
    <w:pPr>
      <w:tabs>
        <w:tab w:val="num" w:pos="3288"/>
      </w:tabs>
      <w:spacing w:after="140" w:line="288" w:lineRule="auto"/>
      <w:ind w:left="3288" w:hanging="680"/>
      <w:jc w:val="both"/>
    </w:pPr>
    <w:rPr>
      <w:rFonts w:ascii="Tahoma" w:hAnsi="Tahoma" w:cs="Tahoma"/>
      <w:color w:val="000000"/>
      <w:kern w:val="20"/>
      <w:sz w:val="22"/>
      <w:szCs w:val="22"/>
    </w:rPr>
  </w:style>
  <w:style w:type="paragraph" w:customStyle="1" w:styleId="AONormal">
    <w:name w:val="AONormal"/>
    <w:pPr>
      <w:spacing w:line="260" w:lineRule="atLeast"/>
      <w:jc w:val="both"/>
    </w:pPr>
    <w:rPr>
      <w:rFonts w:eastAsia="SimSun"/>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726168">
      <w:bodyDiv w:val="1"/>
      <w:marLeft w:val="0"/>
      <w:marRight w:val="0"/>
      <w:marTop w:val="0"/>
      <w:marBottom w:val="0"/>
      <w:divBdr>
        <w:top w:val="none" w:sz="0" w:space="0" w:color="auto"/>
        <w:left w:val="none" w:sz="0" w:space="0" w:color="auto"/>
        <w:bottom w:val="none" w:sz="0" w:space="0" w:color="auto"/>
        <w:right w:val="none" w:sz="0" w:space="0" w:color="auto"/>
      </w:divBdr>
    </w:div>
    <w:div w:id="825822045">
      <w:bodyDiv w:val="1"/>
      <w:marLeft w:val="0"/>
      <w:marRight w:val="0"/>
      <w:marTop w:val="0"/>
      <w:marBottom w:val="0"/>
      <w:divBdr>
        <w:top w:val="none" w:sz="0" w:space="0" w:color="auto"/>
        <w:left w:val="none" w:sz="0" w:space="0" w:color="auto"/>
        <w:bottom w:val="none" w:sz="0" w:space="0" w:color="auto"/>
        <w:right w:val="none" w:sz="0" w:space="0" w:color="auto"/>
      </w:divBdr>
    </w:div>
    <w:div w:id="948588674">
      <w:bodyDiv w:val="1"/>
      <w:marLeft w:val="0"/>
      <w:marRight w:val="0"/>
      <w:marTop w:val="0"/>
      <w:marBottom w:val="0"/>
      <w:divBdr>
        <w:top w:val="none" w:sz="0" w:space="0" w:color="auto"/>
        <w:left w:val="none" w:sz="0" w:space="0" w:color="auto"/>
        <w:bottom w:val="none" w:sz="0" w:space="0" w:color="auto"/>
        <w:right w:val="none" w:sz="0" w:space="0" w:color="auto"/>
      </w:divBdr>
    </w:div>
    <w:div w:id="1263303271">
      <w:bodyDiv w:val="1"/>
      <w:marLeft w:val="0"/>
      <w:marRight w:val="0"/>
      <w:marTop w:val="0"/>
      <w:marBottom w:val="0"/>
      <w:divBdr>
        <w:top w:val="none" w:sz="0" w:space="0" w:color="auto"/>
        <w:left w:val="none" w:sz="0" w:space="0" w:color="auto"/>
        <w:bottom w:val="none" w:sz="0" w:space="0" w:color="auto"/>
        <w:right w:val="none" w:sz="0" w:space="0" w:color="auto"/>
      </w:divBdr>
    </w:div>
    <w:div w:id="1473056396">
      <w:bodyDiv w:val="1"/>
      <w:marLeft w:val="0"/>
      <w:marRight w:val="0"/>
      <w:marTop w:val="0"/>
      <w:marBottom w:val="0"/>
      <w:divBdr>
        <w:top w:val="none" w:sz="0" w:space="0" w:color="auto"/>
        <w:left w:val="none" w:sz="0" w:space="0" w:color="auto"/>
        <w:bottom w:val="none" w:sz="0" w:space="0" w:color="auto"/>
        <w:right w:val="none" w:sz="0" w:space="0" w:color="auto"/>
      </w:divBdr>
    </w:div>
    <w:div w:id="1611889039">
      <w:bodyDiv w:val="1"/>
      <w:marLeft w:val="0"/>
      <w:marRight w:val="0"/>
      <w:marTop w:val="0"/>
      <w:marBottom w:val="0"/>
      <w:divBdr>
        <w:top w:val="none" w:sz="0" w:space="0" w:color="auto"/>
        <w:left w:val="none" w:sz="0" w:space="0" w:color="auto"/>
        <w:bottom w:val="none" w:sz="0" w:space="0" w:color="auto"/>
        <w:right w:val="none" w:sz="0" w:space="0" w:color="auto"/>
      </w:divBdr>
    </w:div>
    <w:div w:id="1668899586">
      <w:bodyDiv w:val="1"/>
      <w:marLeft w:val="0"/>
      <w:marRight w:val="0"/>
      <w:marTop w:val="0"/>
      <w:marBottom w:val="0"/>
      <w:divBdr>
        <w:top w:val="none" w:sz="0" w:space="0" w:color="auto"/>
        <w:left w:val="none" w:sz="0" w:space="0" w:color="auto"/>
        <w:bottom w:val="none" w:sz="0" w:space="0" w:color="auto"/>
        <w:right w:val="none" w:sz="0" w:space="0" w:color="auto"/>
      </w:divBdr>
    </w:div>
    <w:div w:id="1724063811">
      <w:bodyDiv w:val="1"/>
      <w:marLeft w:val="0"/>
      <w:marRight w:val="0"/>
      <w:marTop w:val="0"/>
      <w:marBottom w:val="0"/>
      <w:divBdr>
        <w:top w:val="none" w:sz="0" w:space="0" w:color="auto"/>
        <w:left w:val="none" w:sz="0" w:space="0" w:color="auto"/>
        <w:bottom w:val="none" w:sz="0" w:space="0" w:color="auto"/>
        <w:right w:val="none" w:sz="0" w:space="0" w:color="auto"/>
      </w:divBdr>
    </w:div>
    <w:div w:id="1780948265">
      <w:bodyDiv w:val="1"/>
      <w:marLeft w:val="0"/>
      <w:marRight w:val="0"/>
      <w:marTop w:val="0"/>
      <w:marBottom w:val="0"/>
      <w:divBdr>
        <w:top w:val="none" w:sz="0" w:space="0" w:color="auto"/>
        <w:left w:val="none" w:sz="0" w:space="0" w:color="auto"/>
        <w:bottom w:val="none" w:sz="0" w:space="0" w:color="auto"/>
        <w:right w:val="none" w:sz="0" w:space="0" w:color="auto"/>
      </w:divBdr>
    </w:div>
    <w:div w:id="213755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 J U R _ S P ! 4 1 7 1 5 8 9 4 . 3 < / d o c u m e n t i d >  
     < s e n d e r i d > L R H < / s e n d e r i d >  
     < s e n d e r e m a i l > L M A R I N H O @ P N . C O M . B R < / s e n d e r e m a i l >  
     < l a s t m o d i f i e d > 2 0 2 1 - 0 9 - 2 3 T 0 9 : 1 6 : 0 0 . 0 0 0 0 0 0 0 - 0 3 : 0 0 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1ACDB-258E-4501-8219-0A28E43E3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2079</Words>
  <Characters>11228</Characters>
  <Application>Microsoft Office Word</Application>
  <DocSecurity>0</DocSecurity>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Neto Advogados</dc:creator>
  <cp:lastModifiedBy>Pinheiro Neto Advogados</cp:lastModifiedBy>
  <cp:revision>3</cp:revision>
  <cp:lastPrinted>2019-07-05T16:51:00Z</cp:lastPrinted>
  <dcterms:created xsi:type="dcterms:W3CDTF">2021-09-23T12:16:00Z</dcterms:created>
  <dcterms:modified xsi:type="dcterms:W3CDTF">2021-09-23T12:16:00Z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- 41715894v3 - 11361002.482263</vt:lpwstr>
  </property>
</Properties>
</file>