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tabs>
          <w:tab w:val="left" w:pos="709"/>
          <w:tab w:val="left" w:pos="1418"/>
        </w:tabs>
        <w:spacing w:after="0" w:line="340" w:lineRule="exact"/>
        <w:rPr>
          <w:rFonts w:ascii="Arial" w:hAnsi="Arial" w:cs="Arial"/>
          <w:b/>
          <w:bCs/>
          <w:caps/>
          <w:color w:val="000000"/>
          <w:sz w:val="22"/>
          <w:szCs w:val="22"/>
        </w:rPr>
      </w:pPr>
    </w:p>
    <w:p>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pPr>
        <w:pStyle w:val="Corpodetexto"/>
        <w:spacing w:after="0" w:line="340" w:lineRule="exact"/>
        <w:rPr>
          <w:rFonts w:ascii="Arial" w:hAnsi="Arial" w:cs="Arial"/>
          <w:color w:val="000000"/>
          <w:sz w:val="22"/>
          <w:szCs w:val="22"/>
        </w:rPr>
      </w:pPr>
    </w:p>
    <w:p>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pPr>
        <w:spacing w:after="0" w:line="340" w:lineRule="exact"/>
        <w:rPr>
          <w:rFonts w:ascii="Arial" w:hAnsi="Arial" w:cs="Arial"/>
          <w:bCs/>
          <w:sz w:val="22"/>
          <w:szCs w:val="22"/>
        </w:rPr>
      </w:pPr>
    </w:p>
    <w:p>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pPr>
        <w:tabs>
          <w:tab w:val="left" w:pos="709"/>
          <w:tab w:val="left" w:pos="1134"/>
          <w:tab w:val="left" w:pos="1418"/>
        </w:tabs>
        <w:spacing w:after="0" w:line="340" w:lineRule="exact"/>
        <w:rPr>
          <w:rFonts w:ascii="Arial" w:eastAsia="Batang"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em 24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Décimo Sexto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pPr>
        <w:pStyle w:val="PargrafodaLista"/>
        <w:tabs>
          <w:tab w:val="left" w:pos="1134"/>
        </w:tabs>
        <w:spacing w:after="0" w:line="340" w:lineRule="exact"/>
        <w:ind w:left="1134"/>
        <w:rPr>
          <w:rFonts w:ascii="Arial" w:hAnsi="Arial" w:cs="Arial"/>
          <w:sz w:val="22"/>
          <w:szCs w:val="22"/>
        </w:rPr>
      </w:pPr>
    </w:p>
    <w:p>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pPr>
        <w:spacing w:after="0" w:line="340" w:lineRule="exact"/>
        <w:rPr>
          <w:rFonts w:ascii="Arial" w:hAnsi="Arial" w:cs="Arial"/>
          <w:color w:val="000000"/>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1" w:name="_Ref524611841"/>
      <w:bookmarkStart w:id="2" w:name="_Ref428131603"/>
      <w:r>
        <w:rPr>
          <w:rFonts w:ascii="Arial" w:hAnsi="Arial" w:cs="Arial"/>
          <w:b w:val="0"/>
          <w:color w:val="000000"/>
          <w:sz w:val="22"/>
          <w:szCs w:val="22"/>
        </w:rPr>
        <w:t>O presente Aditamento é celebrado de acordo com:</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1"/>
      <w:r>
        <w:rPr>
          <w:rFonts w:ascii="Arial" w:hAnsi="Arial" w:cs="Arial"/>
          <w:b w:val="0"/>
          <w:color w:val="000000"/>
          <w:sz w:val="22"/>
          <w:szCs w:val="22"/>
        </w:rPr>
        <w:t xml:space="preserve">ão da </w:t>
      </w:r>
      <w:bookmarkEnd w:id="2"/>
      <w:r>
        <w:rPr>
          <w:rFonts w:ascii="Arial" w:hAnsi="Arial" w:cs="Arial"/>
          <w:b w:val="0"/>
          <w:color w:val="000000"/>
          <w:sz w:val="22"/>
          <w:szCs w:val="22"/>
        </w:rPr>
        <w:t xml:space="preserve">Assembleia Geral Extraordinária de acionistas da Emissora realizada </w:t>
      </w:r>
      <w:r>
        <w:rPr>
          <w:rFonts w:ascii="Arial" w:hAnsi="Arial" w:cs="Arial"/>
          <w:b w:val="0"/>
          <w:color w:val="000000"/>
          <w:sz w:val="22"/>
          <w:szCs w:val="22"/>
        </w:rPr>
        <w:lastRenderedPageBreak/>
        <w:t>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24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pPr>
        <w:spacing w:after="0" w:line="340" w:lineRule="exact"/>
        <w:rPr>
          <w:rFonts w:ascii="Arial" w:hAnsi="Arial" w:cs="Arial"/>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24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p>
    <w:p>
      <w:pPr>
        <w:spacing w:after="0" w:line="340" w:lineRule="exact"/>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tabs>
          <w:tab w:val="left" w:pos="1134"/>
        </w:tabs>
        <w:spacing w:after="0" w:line="340" w:lineRule="exact"/>
        <w:rPr>
          <w:rFonts w:ascii="Arial" w:hAnsi="Arial" w:cs="Arial"/>
          <w:b/>
          <w:sz w:val="22"/>
          <w:szCs w:val="22"/>
        </w:rPr>
      </w:pPr>
      <w:bookmarkStart w:id="3"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3"/>
    </w:p>
    <w:p>
      <w:pPr>
        <w:pStyle w:val="PargrafodaLista"/>
        <w:tabs>
          <w:tab w:val="left" w:pos="1134"/>
        </w:tabs>
        <w:spacing w:after="0" w:line="340" w:lineRule="exact"/>
        <w:ind w:left="0"/>
        <w:rPr>
          <w:rFonts w:ascii="Arial" w:hAnsi="Arial" w:cs="Arial"/>
          <w:b/>
          <w:sz w:val="22"/>
          <w:szCs w:val="22"/>
        </w:rPr>
      </w:pPr>
    </w:p>
    <w:p>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pPr>
        <w:pStyle w:val="PargrafodaLista"/>
        <w:tabs>
          <w:tab w:val="left" w:pos="1134"/>
        </w:tabs>
        <w:spacing w:after="0" w:line="340" w:lineRule="exact"/>
        <w:ind w:left="0"/>
        <w:rPr>
          <w:rFonts w:ascii="Arial" w:hAnsi="Arial" w:cs="Arial"/>
          <w:sz w:val="22"/>
          <w:szCs w:val="22"/>
        </w:rPr>
      </w:pPr>
    </w:p>
    <w:p>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54 (cinquenta e quatro) meses a contar da Data de Emissão, vencendo, portanto, em 30 de março de 2023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temporis, desde a Primeira Data de Subscrição ou a última Data de Pagamento da Remuneração (conforme definido no item 4.3.2.2), bem como de eventuais Encargos Moratórios (conforme definido no item 4.6.1 abaixo), conforme aplicável.</w:t>
      </w:r>
    </w:p>
    <w:p>
      <w:pPr>
        <w:pStyle w:val="PargrafodaLista"/>
        <w:spacing w:after="0" w:line="340" w:lineRule="exact"/>
        <w:ind w:left="716"/>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trPr>
          <w:tblHeader/>
        </w:trPr>
        <w:tc>
          <w:tcPr>
            <w:tcW w:w="3054" w:type="dxa"/>
            <w:shd w:val="clear" w:color="auto" w:fill="BFBFBF"/>
            <w:noWrap/>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9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16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23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tc>
          <w:tcPr>
            <w:tcW w:w="3054" w:type="dxa"/>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pPr>
        <w:tabs>
          <w:tab w:val="left" w:pos="1134"/>
        </w:tabs>
        <w:spacing w:after="0" w:line="340" w:lineRule="exact"/>
        <w:ind w:left="708"/>
        <w:rPr>
          <w:rFonts w:ascii="Arial" w:hAnsi="Arial" w:cs="Arial"/>
          <w:i/>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4" w:name="_DV_M119"/>
      <w:bookmarkStart w:id="5" w:name="_DV_M141"/>
      <w:bookmarkStart w:id="6" w:name="_DV_M142"/>
      <w:bookmarkStart w:id="7" w:name="_DV_M143"/>
      <w:bookmarkStart w:id="8" w:name="_DV_M144"/>
      <w:bookmarkStart w:id="9" w:name="_DV_M145"/>
      <w:bookmarkStart w:id="10" w:name="_DV_M168"/>
      <w:bookmarkEnd w:id="4"/>
      <w:bookmarkEnd w:id="5"/>
      <w:bookmarkEnd w:id="6"/>
      <w:bookmarkEnd w:id="7"/>
      <w:bookmarkEnd w:id="8"/>
      <w:bookmarkEnd w:id="9"/>
      <w:bookmarkEnd w:id="10"/>
      <w:r>
        <w:rPr>
          <w:rFonts w:ascii="Arial" w:eastAsia="Arial Unicode MS" w:hAnsi="Arial" w:cs="Arial"/>
          <w:b w:val="0"/>
          <w:bCs/>
          <w:i/>
          <w:color w:val="auto"/>
          <w:sz w:val="22"/>
          <w:szCs w:val="22"/>
        </w:rPr>
        <w:t xml:space="preserve"> Sobre o Valor Nominal Unitário ou saldo do Valor Nominal Unitário, conforme o caso, </w:t>
      </w:r>
      <w:bookmarkStart w:id="11" w:name="_Ref137107209"/>
      <w:r>
        <w:rPr>
          <w:rFonts w:ascii="Arial" w:eastAsia="Arial Unicode MS" w:hAnsi="Arial" w:cs="Arial"/>
          <w:b w:val="0"/>
          <w:bCs/>
          <w:i/>
          <w:color w:val="auto"/>
          <w:sz w:val="22"/>
          <w:szCs w:val="22"/>
        </w:rPr>
        <w:t xml:space="preserve">incidirão juros remuneratórios correspondentes (i)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até a</w:t>
      </w:r>
      <w:r>
        <w:rPr>
          <w:rFonts w:ascii="Arial" w:hAnsi="Arial" w:cs="Arial"/>
          <w:b w:val="0"/>
          <w:bCs/>
          <w:i/>
          <w:color w:val="auto"/>
          <w:sz w:val="22"/>
          <w:szCs w:val="22"/>
        </w:rPr>
        <w:t xml:space="preserve"> Data de Pagamento da Remuneração de 29 de setembro de 2021, exclusive</w:t>
      </w:r>
      <w:r>
        <w:rPr>
          <w:rFonts w:ascii="Arial" w:eastAsia="Arial Unicode MS" w:hAnsi="Arial" w:cs="Arial"/>
          <w:b w:val="0"/>
          <w:bCs/>
          <w:i/>
          <w:color w:val="auto"/>
          <w:sz w:val="22"/>
          <w:szCs w:val="22"/>
        </w:rPr>
        <w:t xml:space="preserve">, o Percentual DI corresponderá a </w:t>
      </w:r>
      <w:bookmarkStart w:id="12" w:name="_GoBack"/>
      <w:r>
        <w:rPr>
          <w:rFonts w:ascii="Arial" w:eastAsia="Arial Unicode MS" w:hAnsi="Arial" w:cs="Arial"/>
          <w:b w:val="0"/>
          <w:bCs/>
          <w:i/>
          <w:color w:val="auto"/>
          <w:sz w:val="22"/>
          <w:szCs w:val="22"/>
        </w:rPr>
        <w:t>[</w:t>
      </w:r>
      <w:bookmarkEnd w:id="12"/>
      <w:r>
        <w:rPr>
          <w:rFonts w:ascii="Arial" w:eastAsia="Arial Unicode MS" w:hAnsi="Arial" w:cs="Arial"/>
          <w:b w:val="0"/>
          <w:bCs/>
          <w:i/>
          <w:color w:val="auto"/>
          <w:sz w:val="22"/>
          <w:szCs w:val="22"/>
        </w:rPr>
        <w:t>100,0160% (cem inteiros e dezesseis centésimos cem décimos de milésimo por cento)]; e (ii) a</w:t>
      </w:r>
      <w:r>
        <w:rPr>
          <w:rFonts w:ascii="Arial" w:hAnsi="Arial" w:cs="Arial"/>
          <w:b w:val="0"/>
          <w:bCs/>
          <w:i/>
          <w:color w:val="auto"/>
          <w:sz w:val="22"/>
          <w:szCs w:val="22"/>
        </w:rPr>
        <w:t xml:space="preserve"> partir da Data de Pagamento da Remuneração de 30 de março de 2022, </w:t>
      </w:r>
      <w:proofErr w:type="spellStart"/>
      <w:r>
        <w:rPr>
          <w:rFonts w:ascii="Arial" w:hAnsi="Arial" w:cs="Arial"/>
          <w:b w:val="0"/>
          <w:bCs/>
          <w:i/>
          <w:color w:val="auto"/>
          <w:sz w:val="22"/>
          <w:szCs w:val="22"/>
        </w:rPr>
        <w:t>inclusive</w:t>
      </w:r>
      <w:r>
        <w:rPr>
          <w:rFonts w:ascii="Arial" w:eastAsia="Arial Unicode MS" w:hAnsi="Arial" w:cs="Arial"/>
          <w:b w:val="0"/>
          <w:bCs/>
          <w:i/>
          <w:color w:val="auto"/>
          <w:sz w:val="22"/>
          <w:szCs w:val="22"/>
        </w:rPr>
        <w:t>incidirão</w:t>
      </w:r>
      <w:proofErr w:type="spellEnd"/>
      <w:r>
        <w:rPr>
          <w:rFonts w:ascii="Arial" w:eastAsia="Arial Unicode MS" w:hAnsi="Arial" w:cs="Arial"/>
          <w:b w:val="0"/>
          <w:bCs/>
          <w:i/>
          <w:color w:val="auto"/>
          <w:sz w:val="22"/>
          <w:szCs w:val="22"/>
        </w:rPr>
        <w:t xml:space="preserve"> juros remuneratórios correspondentes a </w:t>
      </w:r>
      <w:commentRangeStart w:id="13"/>
      <w:r>
        <w:rPr>
          <w:rFonts w:ascii="Arial" w:eastAsia="Arial Unicode MS" w:hAnsi="Arial" w:cs="Arial"/>
          <w:b w:val="0"/>
          <w:bCs/>
          <w:i/>
          <w:color w:val="auto"/>
          <w:sz w:val="22"/>
          <w:szCs w:val="22"/>
        </w:rPr>
        <w:t>[●]</w:t>
      </w:r>
      <w:commentRangeEnd w:id="13"/>
      <w:r>
        <w:rPr>
          <w:rStyle w:val="Refdecomentrio"/>
          <w:rFonts w:ascii="Times New Roman" w:hAnsi="Times New Roman"/>
          <w:b w:val="0"/>
          <w:color w:val="auto"/>
        </w:rPr>
        <w:commentReference w:id="13"/>
      </w:r>
      <w:r>
        <w:rPr>
          <w:rFonts w:ascii="Arial" w:eastAsia="Arial Unicode MS" w:hAnsi="Arial" w:cs="Arial"/>
          <w:b w:val="0"/>
          <w:bCs/>
          <w:i/>
          <w:color w:val="auto"/>
          <w:sz w:val="22"/>
          <w:szCs w:val="22"/>
        </w:rPr>
        <w:t xml:space="preserve">, calculados de forma exponencial e cumulativa pro rata temporis por Dias Úteis decorridos, desde a Primeira Data de Subscrição ou Data de Pagamento da Remuneração imediatamente anterior, conforme o caso, inclusive, até a Data </w:t>
      </w:r>
      <w:bookmarkEnd w:id="11"/>
      <w:r>
        <w:rPr>
          <w:rFonts w:ascii="Arial" w:eastAsia="Arial Unicode MS" w:hAnsi="Arial" w:cs="Arial"/>
          <w:b w:val="0"/>
          <w:bCs/>
          <w:i/>
          <w:color w:val="auto"/>
          <w:sz w:val="22"/>
          <w:szCs w:val="22"/>
        </w:rPr>
        <w:t>de Pagamento da Remuneração subsequente, exclusive, sendo a última devida na Data de Vencimento (“</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w:t>
      </w: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14"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14"/>
    </w:p>
    <w:p>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9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16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23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r>
    </w:tbl>
    <w:p>
      <w:pPr>
        <w:spacing w:after="0" w:line="340" w:lineRule="exact"/>
        <w:rPr>
          <w:rFonts w:ascii="Arial" w:eastAsia="Arial Unicode MS" w:hAnsi="Arial" w:cs="Arial"/>
          <w:bCs/>
          <w:i/>
          <w:sz w:val="22"/>
          <w:szCs w:val="22"/>
        </w:rPr>
      </w:pPr>
    </w:p>
    <w:p>
      <w:pPr>
        <w:spacing w:after="0" w:line="340" w:lineRule="exact"/>
        <w:rPr>
          <w:rFonts w:ascii="Arial" w:eastAsia="Arial Unicode MS" w:hAnsi="Arial" w:cs="Arial"/>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 A Remuneração a ser paga em 29 de setembro de 2021, exclusivamente, deverá ser calculada de acordo com a seguinte fórmula: </w:t>
      </w:r>
    </w:p>
    <w:p>
      <w:pPr>
        <w:spacing w:after="0" w:line="340" w:lineRule="exact"/>
        <w:ind w:left="708"/>
        <w:rPr>
          <w:rFonts w:ascii="Arial" w:eastAsia="Arial Unicode MS" w:hAnsi="Arial" w:cs="Arial"/>
          <w:bCs/>
          <w:i/>
          <w:sz w:val="22"/>
          <w:szCs w:val="22"/>
        </w:rPr>
      </w:pPr>
    </w:p>
    <w:p>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pPr>
        <w:spacing w:after="0" w:line="340" w:lineRule="exact"/>
        <w:ind w:left="708"/>
        <w:rPr>
          <w:rFonts w:ascii="Arial" w:eastAsia="Arial Unicode MS" w:hAnsi="Arial" w:cs="Arial"/>
          <w:bCs/>
          <w:i/>
          <w:sz w:val="22"/>
          <w:szCs w:val="22"/>
        </w:rPr>
      </w:pP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pPr>
        <w:spacing w:after="0" w:line="340" w:lineRule="exact"/>
        <w:ind w:left="708"/>
        <w:rPr>
          <w:rFonts w:ascii="Arial" w:hAnsi="Arial" w:cs="Arial"/>
          <w:i/>
          <w:sz w:val="22"/>
          <w:szCs w:val="22"/>
        </w:rPr>
      </w:pP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r>
        <w:rPr>
          <w:rFonts w:ascii="Arial" w:hAnsi="Arial" w:cs="Arial"/>
          <w:i/>
          <w:sz w:val="22"/>
          <w:szCs w:val="22"/>
        </w:rPr>
        <w:t xml:space="preserve">k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pPr>
        <w:spacing w:after="0" w:line="340" w:lineRule="exact"/>
        <w:ind w:left="708"/>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pPr>
        <w:spacing w:after="0" w:line="340" w:lineRule="exact"/>
        <w:ind w:left="708"/>
        <w:rPr>
          <w:rFonts w:ascii="Arial" w:hAnsi="Arial" w:cs="Arial"/>
          <w:i/>
          <w:sz w:val="22"/>
          <w:szCs w:val="22"/>
        </w:rPr>
      </w:pPr>
      <w:r>
        <w:rPr>
          <w:rFonts w:ascii="Arial" w:hAnsi="Arial" w:cs="Arial"/>
          <w:i/>
          <w:sz w:val="22"/>
          <w:szCs w:val="22"/>
        </w:rPr>
        <w:t>S = 100,160 até</w:t>
      </w:r>
      <w:r>
        <w:rPr>
          <w:rFonts w:ascii="Arial" w:hAnsi="Arial" w:cs="Arial"/>
          <w:bCs/>
          <w:i/>
          <w:sz w:val="22"/>
          <w:szCs w:val="22"/>
        </w:rPr>
        <w:t xml:space="preserve"> 29 de setembro de 2021</w:t>
      </w:r>
      <w:r>
        <w:rPr>
          <w:rFonts w:ascii="Arial" w:hAnsi="Arial" w:cs="Arial"/>
          <w:i/>
          <w:sz w:val="22"/>
          <w:szCs w:val="22"/>
        </w:rPr>
        <w:t>, exclusive;</w:t>
      </w:r>
    </w:p>
    <w:p>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pPr>
        <w:spacing w:after="0" w:line="340" w:lineRule="exact"/>
        <w:ind w:left="708"/>
        <w:rPr>
          <w:rFonts w:ascii="Arial" w:hAnsi="Arial" w:cs="Arial"/>
          <w:i/>
          <w:sz w:val="22"/>
          <w:szCs w:val="22"/>
        </w:rPr>
      </w:pPr>
    </w:p>
    <w:p>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 xml:space="preserve">efetua-se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 xml:space="preserve">4.3.2.4. A Remuneração paga após a Data de Pagamento da Remuneração mencionada na Cláusula 4.3.2.3 (exclusivamente) deverá ser calculada sobre o valor nominal unitário (ou sobre o saldo do Valor Nominal Unitário, conforme o caso) das Debêntures, sendo que incidirão juros remuneratórios correspondentes a </w:t>
      </w:r>
      <w:commentRangeStart w:id="15"/>
      <w:r>
        <w:rPr>
          <w:rFonts w:ascii="Arial" w:hAnsi="Arial" w:cs="Arial"/>
          <w:bCs/>
          <w:i/>
          <w:sz w:val="22"/>
          <w:szCs w:val="22"/>
          <w:highlight w:val="yellow"/>
        </w:rPr>
        <w:t>[●]</w:t>
      </w:r>
      <w:r>
        <w:rPr>
          <w:rFonts w:ascii="Arial" w:hAnsi="Arial" w:cs="Arial"/>
          <w:bCs/>
          <w:i/>
          <w:sz w:val="22"/>
          <w:szCs w:val="22"/>
        </w:rPr>
        <w:t>% (</w:t>
      </w:r>
      <w:r>
        <w:rPr>
          <w:rFonts w:ascii="Arial" w:hAnsi="Arial" w:cs="Arial"/>
          <w:bCs/>
          <w:i/>
          <w:sz w:val="22"/>
          <w:szCs w:val="22"/>
          <w:highlight w:val="yellow"/>
        </w:rPr>
        <w:t>[●]</w:t>
      </w:r>
      <w:r>
        <w:rPr>
          <w:rFonts w:ascii="Arial" w:hAnsi="Arial" w:cs="Arial"/>
          <w:bCs/>
          <w:i/>
          <w:sz w:val="22"/>
          <w:szCs w:val="22"/>
        </w:rPr>
        <w:t xml:space="preserve"> por cento</w:t>
      </w:r>
      <w:proofErr w:type="gramStart"/>
      <w:r>
        <w:rPr>
          <w:rFonts w:ascii="Arial" w:hAnsi="Arial" w:cs="Arial"/>
          <w:bCs/>
          <w:i/>
          <w:sz w:val="22"/>
          <w:szCs w:val="22"/>
        </w:rPr>
        <w:t xml:space="preserve">) </w:t>
      </w:r>
      <w:commentRangeEnd w:id="15"/>
      <w:r>
        <w:rPr>
          <w:rStyle w:val="Refdecomentrio"/>
        </w:rPr>
        <w:commentReference w:id="15"/>
      </w:r>
      <w:r>
        <w:rPr>
          <w:rFonts w:ascii="Arial" w:hAnsi="Arial" w:cs="Arial"/>
          <w:bCs/>
          <w:i/>
          <w:sz w:val="22"/>
          <w:szCs w:val="22"/>
        </w:rPr>
        <w:t>.</w:t>
      </w:r>
      <w:proofErr w:type="gramEnd"/>
      <w:r>
        <w:rPr>
          <w:rFonts w:ascii="Arial" w:hAnsi="Arial" w:cs="Arial"/>
          <w:bCs/>
          <w:i/>
          <w:sz w:val="22"/>
          <w:szCs w:val="22"/>
        </w:rPr>
        <w:t xml:space="preserve"> </w:t>
      </w:r>
      <w:proofErr w:type="gramStart"/>
      <w:r>
        <w:rPr>
          <w:rFonts w:ascii="Arial" w:eastAsia="Arial Unicode MS" w:hAnsi="Arial" w:cs="Arial"/>
          <w:bCs/>
          <w:i/>
          <w:sz w:val="22"/>
          <w:szCs w:val="22"/>
        </w:rPr>
        <w:t>calculados</w:t>
      </w:r>
      <w:proofErr w:type="gramEnd"/>
      <w:r>
        <w:rPr>
          <w:rFonts w:ascii="Arial" w:eastAsia="Arial Unicode MS" w:hAnsi="Arial" w:cs="Arial"/>
          <w:bCs/>
          <w:i/>
          <w:sz w:val="22"/>
          <w:szCs w:val="22"/>
        </w:rPr>
        <w:t xml:space="preserve"> de forma exponencial e cumulativa pro rata temporis por Dias Úteis decorridos, desde a Data de Pagamento da Remuneração imediatamente anterior até a Data de Pagamento da Remuneração subsequente, exclusive, sendo a última devida na Data de Vencimento (“</w:t>
      </w:r>
      <w:r>
        <w:rPr>
          <w:rFonts w:ascii="Arial" w:eastAsia="Arial Unicode MS" w:hAnsi="Arial" w:cs="Arial"/>
          <w:bCs/>
          <w:i/>
          <w:sz w:val="22"/>
          <w:szCs w:val="22"/>
          <w:u w:val="single"/>
        </w:rPr>
        <w:t>Remuneração</w:t>
      </w:r>
      <w:r>
        <w:rPr>
          <w:rFonts w:ascii="Arial" w:eastAsia="Arial Unicode MS" w:hAnsi="Arial" w:cs="Arial"/>
          <w:bCs/>
          <w:i/>
          <w:sz w:val="22"/>
          <w:szCs w:val="22"/>
        </w:rPr>
        <w:t>”).</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O cálculo da Remuneração das Debêntures obedecerá à seguinte fórmula:</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jc w:val="center"/>
        <w:rPr>
          <w:rFonts w:ascii="Arial" w:hAnsi="Arial" w:cs="Arial"/>
          <w:bCs/>
          <w:i/>
          <w:sz w:val="22"/>
          <w:szCs w:val="22"/>
          <w:lang w:val="en-US"/>
        </w:rPr>
      </w:pPr>
      <w:r>
        <w:rPr>
          <w:rFonts w:ascii="Arial" w:hAnsi="Arial" w:cs="Arial"/>
          <w:bCs/>
          <w:i/>
          <w:sz w:val="22"/>
          <w:szCs w:val="22"/>
          <w:lang w:val="en-US"/>
        </w:rPr>
        <w:t xml:space="preserve">J = </w:t>
      </w:r>
      <w:proofErr w:type="spellStart"/>
      <w:r>
        <w:rPr>
          <w:rFonts w:ascii="Arial" w:hAnsi="Arial" w:cs="Arial"/>
          <w:bCs/>
          <w:i/>
          <w:sz w:val="22"/>
          <w:szCs w:val="22"/>
          <w:lang w:val="en-US"/>
        </w:rPr>
        <w:t>VNa</w:t>
      </w:r>
      <w:proofErr w:type="spellEnd"/>
      <w:r>
        <w:rPr>
          <w:rFonts w:ascii="Arial" w:hAnsi="Arial" w:cs="Arial"/>
          <w:bCs/>
          <w:i/>
          <w:sz w:val="22"/>
          <w:szCs w:val="22"/>
          <w:lang w:val="en-US"/>
        </w:rPr>
        <w:t xml:space="preserve"> x (</w:t>
      </w:r>
      <w:proofErr w:type="spellStart"/>
      <w:r>
        <w:rPr>
          <w:rFonts w:ascii="Arial" w:hAnsi="Arial" w:cs="Arial"/>
          <w:bCs/>
          <w:i/>
          <w:sz w:val="22"/>
          <w:szCs w:val="22"/>
          <w:lang w:val="en-US"/>
        </w:rPr>
        <w:t>Fator</w:t>
      </w:r>
      <w:proofErr w:type="spellEnd"/>
      <w:r>
        <w:rPr>
          <w:rFonts w:ascii="Arial" w:hAnsi="Arial" w:cs="Arial"/>
          <w:bCs/>
          <w:i/>
          <w:sz w:val="22"/>
          <w:szCs w:val="22"/>
          <w:lang w:val="en-US"/>
        </w:rPr>
        <w:t xml:space="preserve"> Spread – 1)</w:t>
      </w:r>
    </w:p>
    <w:p>
      <w:pPr>
        <w:tabs>
          <w:tab w:val="left" w:pos="1134"/>
        </w:tabs>
        <w:spacing w:after="0" w:line="340" w:lineRule="exact"/>
        <w:ind w:left="708"/>
        <w:rPr>
          <w:rFonts w:ascii="Arial" w:hAnsi="Arial" w:cs="Arial"/>
          <w:bCs/>
          <w:i/>
          <w:sz w:val="22"/>
          <w:szCs w:val="22"/>
          <w:lang w:val="en-US"/>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onde:</w:t>
      </w:r>
    </w:p>
    <w:p>
      <w:pPr>
        <w:tabs>
          <w:tab w:val="left" w:pos="1134"/>
        </w:tabs>
        <w:spacing w:after="0" w:line="340" w:lineRule="exact"/>
        <w:ind w:left="708"/>
        <w:rPr>
          <w:rFonts w:ascii="Arial" w:eastAsia="Arial Unicode MS" w:hAnsi="Arial" w:cs="Arial"/>
          <w:bCs/>
          <w:i/>
          <w:sz w:val="22"/>
          <w:szCs w:val="22"/>
        </w:rPr>
      </w:pPr>
      <w:r>
        <w:rPr>
          <w:rFonts w:ascii="Arial" w:hAnsi="Arial" w:cs="Arial"/>
          <w:bCs/>
          <w:i/>
          <w:sz w:val="22"/>
          <w:szCs w:val="22"/>
        </w:rPr>
        <w:t>J = valor da remuneração devida ao final do período de capitalização (conforme abaixo definido), calculado com 8 (oito) casas decimais, sem arredondamento.</w:t>
      </w:r>
      <w:r>
        <w:rPr>
          <w:rFonts w:ascii="Arial" w:eastAsia="Arial Unicode MS" w:hAnsi="Arial" w:cs="Arial"/>
          <w:bCs/>
          <w:i/>
          <w:sz w:val="22"/>
          <w:szCs w:val="22"/>
        </w:rPr>
        <w:t xml:space="preserve"> </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hAnsi="Arial" w:cs="Arial"/>
          <w:bCs/>
          <w:i/>
          <w:sz w:val="22"/>
          <w:szCs w:val="22"/>
        </w:rPr>
      </w:pPr>
      <w:proofErr w:type="spellStart"/>
      <w:r>
        <w:rPr>
          <w:rFonts w:ascii="Arial" w:hAnsi="Arial" w:cs="Arial"/>
          <w:bCs/>
          <w:i/>
          <w:sz w:val="22"/>
          <w:szCs w:val="22"/>
        </w:rPr>
        <w:t>VNa</w:t>
      </w:r>
      <w:proofErr w:type="spellEnd"/>
      <w:r>
        <w:rPr>
          <w:rFonts w:ascii="Arial" w:hAnsi="Arial" w:cs="Arial"/>
          <w:bCs/>
          <w:i/>
          <w:sz w:val="22"/>
          <w:szCs w:val="22"/>
        </w:rPr>
        <w:t xml:space="preserve"> = valor nominal unitário atualizado ou saldo do valor nominal unitário atualizado da Debênture, informado/calculado com 8 (oito) casas decimais, sem arredondamento.</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Fator spread = fator de spread fixo, calculado com 9 (nove) casas decimais, com arredondamento, apurado da seguinte forma:</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ind w:left="708"/>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3467584" cy="13527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 deb.PNG"/>
                    <pic:cNvPicPr/>
                  </pic:nvPicPr>
                  <pic:blipFill>
                    <a:blip r:embed="rId14">
                      <a:extLst>
                        <a:ext uri="{28A0092B-C50C-407E-A947-70E740481C1C}">
                          <a14:useLocalDpi xmlns:a14="http://schemas.microsoft.com/office/drawing/2010/main" val="0"/>
                        </a:ext>
                      </a:extLst>
                    </a:blip>
                    <a:stretch>
                      <a:fillRect/>
                    </a:stretch>
                  </pic:blipFill>
                  <pic:spPr>
                    <a:xfrm>
                      <a:off x="0" y="0"/>
                      <a:ext cx="3467584" cy="1352739"/>
                    </a:xfrm>
                    <a:prstGeom prst="rect">
                      <a:avLst/>
                    </a:prstGeom>
                  </pic:spPr>
                </pic:pic>
              </a:graphicData>
            </a:graphic>
          </wp:inline>
        </w:drawing>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 xml:space="preserve">Spread = </w:t>
      </w:r>
      <w:commentRangeStart w:id="16"/>
      <w:r>
        <w:rPr>
          <w:rFonts w:ascii="Arial" w:eastAsia="Arial Unicode MS" w:hAnsi="Arial" w:cs="Arial"/>
          <w:bCs/>
          <w:i/>
          <w:sz w:val="22"/>
          <w:szCs w:val="22"/>
        </w:rPr>
        <w:t xml:space="preserve">taxa de spread, </w:t>
      </w:r>
      <w:commentRangeEnd w:id="16"/>
      <w:r>
        <w:rPr>
          <w:rStyle w:val="Refdecomentrio"/>
        </w:rPr>
        <w:commentReference w:id="16"/>
      </w:r>
      <w:r>
        <w:rPr>
          <w:rFonts w:ascii="Arial" w:eastAsia="Arial Unicode MS" w:hAnsi="Arial" w:cs="Arial"/>
          <w:bCs/>
          <w:i/>
          <w:sz w:val="22"/>
          <w:szCs w:val="22"/>
        </w:rPr>
        <w:t>informada com 4 (quatro) casas decimais.</w:t>
      </w:r>
    </w:p>
    <w:p>
      <w:pPr>
        <w:tabs>
          <w:tab w:val="left" w:pos="1134"/>
        </w:tabs>
        <w:spacing w:after="0" w:line="340" w:lineRule="exact"/>
        <w:ind w:left="708"/>
        <w:rPr>
          <w:rFonts w:ascii="Arial" w:eastAsia="Arial Unicode MS" w:hAnsi="Arial" w:cs="Arial"/>
          <w:bCs/>
          <w:i/>
          <w:sz w:val="22"/>
          <w:szCs w:val="22"/>
        </w:rPr>
      </w:pPr>
      <w:proofErr w:type="gramStart"/>
      <w:r>
        <w:rPr>
          <w:rFonts w:ascii="Arial" w:eastAsia="Arial Unicode MS" w:hAnsi="Arial" w:cs="Arial"/>
          <w:bCs/>
          <w:i/>
          <w:sz w:val="22"/>
          <w:szCs w:val="22"/>
        </w:rPr>
        <w:t>n</w:t>
      </w:r>
      <w:proofErr w:type="gramEnd"/>
      <w:r>
        <w:rPr>
          <w:rFonts w:ascii="Arial" w:eastAsia="Arial Unicode MS" w:hAnsi="Arial" w:cs="Arial"/>
          <w:bCs/>
          <w:i/>
          <w:sz w:val="22"/>
          <w:szCs w:val="22"/>
        </w:rPr>
        <w:t xml:space="preserve"> = número de dias úteis entra a última data de Pagamento da Remuneração e a Data de Pagamento da Remuneração subsequente sendo “n” um número inteiro.</w:t>
      </w:r>
    </w:p>
    <w:p>
      <w:pPr>
        <w:tabs>
          <w:tab w:val="left" w:pos="1134"/>
        </w:tabs>
        <w:spacing w:after="0" w:line="340" w:lineRule="exact"/>
        <w:ind w:left="708"/>
        <w:rPr>
          <w:rFonts w:ascii="Arial" w:eastAsia="Arial Unicode MS" w:hAnsi="Arial" w:cs="Arial"/>
          <w:bCs/>
          <w:i/>
          <w:sz w:val="22"/>
          <w:szCs w:val="22"/>
        </w:rPr>
      </w:pPr>
      <w:commentRangeStart w:id="17"/>
      <w:r>
        <w:rPr>
          <w:rStyle w:val="Refdecomentrio"/>
        </w:rPr>
        <w:commentReference w:id="18"/>
      </w:r>
      <w:commentRangeEnd w:id="17"/>
      <w:r>
        <w:rPr>
          <w:rStyle w:val="Refdecomentrio"/>
        </w:rPr>
        <w:commentReference w:id="17"/>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line="340" w:lineRule="exact"/>
        <w:ind w:left="708"/>
        <w:rPr>
          <w:rFonts w:ascii="Arial" w:hAnsi="Arial" w:cs="Arial"/>
          <w:i/>
          <w:sz w:val="22"/>
          <w:szCs w:val="22"/>
        </w:rPr>
      </w:pPr>
      <w:r>
        <w:rPr>
          <w:rFonts w:ascii="Arial" w:hAnsi="Arial" w:cs="Arial"/>
          <w:i/>
          <w:sz w:val="22"/>
          <w:szCs w:val="22"/>
        </w:rPr>
        <w:t>6.4.1.</w:t>
      </w:r>
      <w:r>
        <w:rPr>
          <w:rFonts w:ascii="Arial" w:hAnsi="Arial" w:cs="Arial"/>
          <w:i/>
          <w:sz w:val="22"/>
          <w:szCs w:val="22"/>
        </w:rPr>
        <w:tab/>
        <w:t>Por ocasião de qualquer Vencimento Antecipado em razão de culpa ou dolo pela Cedente, será devido, além do Montante Devido Antecipadamente, prêmio aos Debenturistas equivalente ao resultado positivo de (a) – (b), quando aplicável, (“</w:t>
      </w:r>
      <w:r>
        <w:rPr>
          <w:rFonts w:ascii="Arial" w:hAnsi="Arial" w:cs="Arial"/>
          <w:i/>
          <w:sz w:val="22"/>
          <w:szCs w:val="22"/>
          <w:u w:val="single"/>
        </w:rPr>
        <w:t>Prêmio de Vencimento Antecipado</w:t>
      </w:r>
      <w:r>
        <w:rPr>
          <w:rFonts w:ascii="Arial" w:hAnsi="Arial" w:cs="Arial"/>
          <w:i/>
          <w:sz w:val="22"/>
          <w:szCs w:val="22"/>
        </w:rPr>
        <w:t>”), onde:</w:t>
      </w:r>
    </w:p>
    <w:p>
      <w:pPr>
        <w:tabs>
          <w:tab w:val="left" w:pos="1134"/>
        </w:tabs>
        <w:spacing w:line="340" w:lineRule="exact"/>
        <w:ind w:left="708"/>
        <w:rPr>
          <w:rFonts w:ascii="Arial" w:hAnsi="Arial" w:cs="Arial"/>
          <w:i/>
          <w:sz w:val="22"/>
          <w:szCs w:val="22"/>
        </w:rPr>
      </w:pPr>
      <w:r>
        <w:rPr>
          <w:rFonts w:ascii="Arial" w:hAnsi="Arial" w:cs="Arial"/>
          <w:i/>
          <w:sz w:val="22"/>
          <w:szCs w:val="22"/>
        </w:rPr>
        <w:t>(a) o (i) Valor Nominal Unitário das Debêntures ou o saldo do Valor Unitário das Debêntures, conforme o caso  acrescido da Remuneração que os Debenturistas deveriam ter recebido para o período contado da data de recebimento do Montante Devido Antecipadamente até a data original de vencimento das Debêntures, calculados pela Taxa de Referência para Prêmio (conforme abaixo definido)</w:t>
      </w:r>
      <w:r>
        <w:rPr>
          <w:rFonts w:ascii="Arial" w:hAnsi="Arial" w:cs="Arial"/>
          <w:i/>
          <w:sz w:val="22"/>
          <w:szCs w:val="22"/>
        </w:rPr>
        <w:t>, trazido a valor presente na mesma data de recebimento do Montante Devido Antecipadamente por [</w:t>
      </w:r>
      <w:r>
        <w:rPr>
          <w:rFonts w:ascii="Arial" w:hAnsi="Arial" w:cs="Arial"/>
          <w:i/>
          <w:sz w:val="22"/>
          <w:szCs w:val="22"/>
          <w:highlight w:val="yellow"/>
        </w:rPr>
        <w:t>100% da Taxa DI futura</w:t>
      </w:r>
      <w:r>
        <w:rPr>
          <w:rFonts w:ascii="Arial" w:hAnsi="Arial" w:cs="Arial"/>
          <w:i/>
          <w:sz w:val="22"/>
          <w:szCs w:val="22"/>
        </w:rPr>
        <w:t>];</w:t>
      </w:r>
    </w:p>
    <w:p>
      <w:pPr>
        <w:tabs>
          <w:tab w:val="left" w:pos="1134"/>
        </w:tabs>
        <w:spacing w:line="340" w:lineRule="exact"/>
        <w:ind w:left="708"/>
        <w:rPr>
          <w:rFonts w:ascii="Arial" w:hAnsi="Arial" w:cs="Arial"/>
          <w:i/>
          <w:sz w:val="22"/>
          <w:szCs w:val="22"/>
        </w:rPr>
      </w:pPr>
      <w:r>
        <w:rPr>
          <w:rFonts w:ascii="Arial" w:hAnsi="Arial" w:cs="Arial"/>
          <w:i/>
          <w:sz w:val="22"/>
          <w:szCs w:val="22"/>
        </w:rPr>
        <w:t>(b) =Valor Nominal Unitário das Debêntures ou o saldo do Valor Unitário das Debêntures</w:t>
      </w:r>
    </w:p>
    <w:p>
      <w:pPr>
        <w:tabs>
          <w:tab w:val="left" w:pos="1134"/>
        </w:tabs>
        <w:spacing w:line="340" w:lineRule="exact"/>
        <w:ind w:left="708"/>
        <w:rPr>
          <w:rFonts w:ascii="Arial" w:hAnsi="Arial" w:cs="Arial"/>
          <w:i/>
          <w:sz w:val="22"/>
          <w:szCs w:val="22"/>
        </w:rPr>
      </w:pPr>
      <w:r>
        <w:rPr>
          <w:rFonts w:ascii="Arial" w:hAnsi="Arial" w:cs="Arial"/>
          <w:i/>
          <w:sz w:val="22"/>
          <w:szCs w:val="22"/>
        </w:rPr>
        <w:t xml:space="preserve"> </w:t>
      </w:r>
    </w:p>
    <w:p>
      <w:pPr>
        <w:tabs>
          <w:tab w:val="left" w:pos="1134"/>
        </w:tabs>
        <w:spacing w:line="340" w:lineRule="exact"/>
        <w:ind w:left="708"/>
        <w:rPr>
          <w:rFonts w:ascii="Arial" w:hAnsi="Arial" w:cs="Arial"/>
          <w:i/>
          <w:sz w:val="22"/>
          <w:szCs w:val="22"/>
        </w:rPr>
      </w:pPr>
      <w:r>
        <w:rPr>
          <w:rFonts w:ascii="Arial" w:hAnsi="Arial" w:cs="Arial"/>
          <w:i/>
          <w:sz w:val="22"/>
          <w:szCs w:val="22"/>
        </w:rPr>
        <w:t xml:space="preserve">6.4.1.1. A taxa utilizada para cálculo do Prêmio de Vencimento Antecipado corresponde a </w:t>
      </w:r>
      <w:commentRangeStart w:id="19"/>
      <w:r>
        <w:rPr>
          <w:rFonts w:ascii="Arial" w:hAnsi="Arial" w:cs="Arial"/>
          <w:i/>
          <w:sz w:val="22"/>
          <w:szCs w:val="22"/>
        </w:rPr>
        <w:t xml:space="preserve">X% </w:t>
      </w:r>
      <w:commentRangeEnd w:id="19"/>
      <w:r>
        <w:rPr>
          <w:rStyle w:val="Refdecomentrio"/>
        </w:rPr>
        <w:commentReference w:id="19"/>
      </w:r>
      <w:r>
        <w:rPr>
          <w:rFonts w:ascii="Arial" w:hAnsi="Arial" w:cs="Arial"/>
          <w:i/>
          <w:sz w:val="22"/>
          <w:szCs w:val="22"/>
        </w:rPr>
        <w:t>(“</w:t>
      </w:r>
      <w:r>
        <w:rPr>
          <w:rFonts w:ascii="Arial" w:hAnsi="Arial" w:cs="Arial"/>
          <w:i/>
          <w:sz w:val="22"/>
          <w:szCs w:val="22"/>
          <w:u w:val="single"/>
        </w:rPr>
        <w:t>Taxa de Referência para Prêmio</w:t>
      </w:r>
      <w:r>
        <w:rPr>
          <w:rFonts w:ascii="Arial" w:hAnsi="Arial" w:cs="Arial"/>
          <w:i/>
          <w:sz w:val="22"/>
          <w:szCs w:val="22"/>
        </w:rPr>
        <w:t>”).</w:t>
      </w:r>
    </w:p>
    <w:p>
      <w:pPr>
        <w:tabs>
          <w:tab w:val="left" w:pos="1134"/>
        </w:tabs>
        <w:spacing w:line="340" w:lineRule="exact"/>
        <w:ind w:left="708"/>
        <w:rPr>
          <w:rFonts w:ascii="Arial" w:hAnsi="Arial" w:cs="Arial"/>
          <w:i/>
          <w:sz w:val="22"/>
          <w:szCs w:val="22"/>
        </w:rPr>
      </w:pPr>
    </w:p>
    <w:p>
      <w:pPr>
        <w:tabs>
          <w:tab w:val="left" w:pos="1134"/>
        </w:tabs>
        <w:spacing w:line="340" w:lineRule="exact"/>
        <w:ind w:left="708"/>
        <w:rPr>
          <w:rFonts w:ascii="Arial" w:hAnsi="Arial" w:cs="Arial"/>
          <w:i/>
          <w:sz w:val="22"/>
          <w:szCs w:val="22"/>
        </w:rPr>
      </w:pPr>
      <w:r>
        <w:rPr>
          <w:rFonts w:ascii="Arial" w:hAnsi="Arial" w:cs="Arial"/>
          <w:i/>
          <w:sz w:val="22"/>
          <w:szCs w:val="22"/>
        </w:rPr>
        <w:t>6.4.1.2. O Prêmio de Vencimento Antecipado somente será devido a partir do recebimento, pela Emissora, da Multa não compensatória de Vencimento Antecipado das Debêntures (conforme definido no Contrato de Cessão).</w:t>
      </w:r>
    </w:p>
    <w:p>
      <w:pPr>
        <w:keepNext/>
        <w:tabs>
          <w:tab w:val="left" w:pos="709"/>
          <w:tab w:val="left" w:pos="1134"/>
          <w:tab w:val="left" w:pos="1418"/>
          <w:tab w:val="left" w:pos="1985"/>
        </w:tabs>
        <w:spacing w:after="0" w:line="340" w:lineRule="exact"/>
        <w:jc w:val="center"/>
        <w:rPr>
          <w:rFonts w:ascii="Arial" w:hAnsi="Arial" w:cs="Arial"/>
          <w:sz w:val="22"/>
          <w:szCs w:val="22"/>
        </w:rPr>
      </w:pPr>
    </w:p>
    <w:p>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color w:val="000000"/>
          <w:sz w:val="22"/>
          <w:szCs w:val="22"/>
        </w:rPr>
      </w:pPr>
      <w:bookmarkStart w:id="20" w:name="_Ref496656620"/>
      <w:bookmarkStart w:id="21"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20"/>
    </w:p>
    <w:p>
      <w:pPr>
        <w:pStyle w:val="PargrafodaLista"/>
        <w:tabs>
          <w:tab w:val="left" w:pos="1134"/>
        </w:tabs>
        <w:spacing w:after="0" w:line="340" w:lineRule="exact"/>
        <w:ind w:left="0"/>
        <w:rPr>
          <w:rFonts w:ascii="Arial" w:hAnsi="Arial" w:cs="Arial"/>
          <w:color w:val="000000"/>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pPr>
        <w:pStyle w:val="PargrafodaLista"/>
        <w:tabs>
          <w:tab w:val="left" w:pos="1134"/>
        </w:tabs>
        <w:spacing w:after="0" w:line="340" w:lineRule="exact"/>
        <w:ind w:left="0"/>
        <w:rPr>
          <w:rFonts w:ascii="Arial" w:hAnsi="Arial" w:cs="Arial"/>
          <w:sz w:val="22"/>
          <w:szCs w:val="22"/>
        </w:rPr>
      </w:pPr>
    </w:p>
    <w:bookmarkEnd w:id="21"/>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pPr>
        <w:pStyle w:val="PargrafodaLista"/>
        <w:tabs>
          <w:tab w:val="left" w:pos="1134"/>
        </w:tabs>
        <w:spacing w:after="0" w:line="340" w:lineRule="exact"/>
        <w:ind w:left="0"/>
        <w:rPr>
          <w:rFonts w:ascii="Arial" w:hAnsi="Arial" w:cs="Arial"/>
          <w:b/>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pPr>
        <w:pStyle w:val="PargrafodaLista"/>
        <w:tabs>
          <w:tab w:val="left" w:pos="1134"/>
        </w:tabs>
        <w:spacing w:after="0" w:line="340" w:lineRule="exact"/>
        <w:ind w:left="0"/>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pPr>
        <w:pStyle w:val="PargrafodaLista"/>
        <w:tabs>
          <w:tab w:val="left" w:pos="1134"/>
        </w:tabs>
        <w:spacing w:after="0" w:line="340" w:lineRule="exact"/>
        <w:ind w:left="0"/>
        <w:rPr>
          <w:rFonts w:ascii="Arial" w:hAnsi="Arial" w:cs="Arial"/>
          <w:sz w:val="22"/>
          <w:szCs w:val="22"/>
        </w:rPr>
      </w:pPr>
    </w:p>
    <w:p>
      <w:pPr>
        <w:suppressAutoHyphens/>
        <w:spacing w:after="0" w:line="340" w:lineRule="exact"/>
        <w:jc w:val="center"/>
        <w:rPr>
          <w:rFonts w:ascii="Arial" w:hAnsi="Arial" w:cs="Arial"/>
          <w:sz w:val="22"/>
          <w:szCs w:val="22"/>
        </w:rPr>
      </w:pPr>
      <w:r>
        <w:rPr>
          <w:rFonts w:ascii="Arial" w:hAnsi="Arial" w:cs="Arial"/>
          <w:sz w:val="22"/>
          <w:szCs w:val="22"/>
        </w:rPr>
        <w:t>São Paulo, 24 de setembro de 2021</w:t>
      </w:r>
    </w:p>
    <w:p>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pPr>
        <w:suppressAutoHyphens/>
        <w:spacing w:after="0" w:line="340" w:lineRule="exact"/>
        <w:jc w:val="center"/>
        <w:rPr>
          <w:rFonts w:ascii="Arial" w:eastAsia="Batang" w:hAnsi="Arial" w:cs="Arial"/>
          <w:b/>
          <w:bCs/>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pPr>
        <w:suppressAutoHyphens/>
        <w:spacing w:after="0" w:line="340" w:lineRule="exact"/>
        <w:rPr>
          <w:rFonts w:ascii="Arial" w:eastAsia="Batang" w:hAnsi="Arial" w:cs="Arial"/>
          <w:i/>
          <w:sz w:val="22"/>
          <w:szCs w:val="22"/>
        </w:rPr>
      </w:pPr>
      <w:r>
        <w:rPr>
          <w:rFonts w:ascii="Arial" w:eastAsia="Batang" w:hAnsi="Arial" w:cs="Arial"/>
          <w:i/>
          <w:sz w:val="22"/>
          <w:szCs w:val="22"/>
        </w:rPr>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trPr>
          <w:jc w:val="center"/>
        </w:trPr>
        <w:tc>
          <w:tcPr>
            <w:tcW w:w="4323"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pPr>
        <w:suppressAutoHyphens/>
        <w:spacing w:after="0" w:line="340" w:lineRule="exact"/>
        <w:jc w:val="center"/>
        <w:rPr>
          <w:rFonts w:ascii="Arial" w:eastAsia="Batang" w:hAnsi="Arial" w:cs="Arial"/>
          <w:b/>
          <w:i/>
          <w:sz w:val="22"/>
          <w:szCs w:val="22"/>
        </w:rPr>
      </w:pPr>
    </w:p>
    <w:p>
      <w:pPr>
        <w:suppressAutoHyphens/>
        <w:spacing w:after="0" w:line="340" w:lineRule="exact"/>
        <w:jc w:val="center"/>
        <w:rPr>
          <w:rFonts w:ascii="Arial" w:eastAsia="Batang" w:hAnsi="Arial" w:cs="Arial"/>
          <w:i/>
          <w:sz w:val="22"/>
          <w:szCs w:val="22"/>
        </w:rPr>
      </w:pPr>
    </w:p>
    <w:p>
      <w:pPr>
        <w:spacing w:after="0" w:line="340" w:lineRule="exact"/>
        <w:jc w:val="left"/>
        <w:rPr>
          <w:rFonts w:ascii="Arial" w:eastAsia="Batang" w:hAnsi="Arial" w:cs="Arial"/>
          <w:i/>
          <w:sz w:val="22"/>
          <w:szCs w:val="22"/>
        </w:rPr>
      </w:pPr>
    </w:p>
    <w:p>
      <w:pPr>
        <w:pStyle w:val="Default"/>
        <w:suppressAutoHyphens/>
        <w:autoSpaceDE/>
        <w:autoSpaceDN/>
        <w:adjustRightInd/>
        <w:spacing w:line="340" w:lineRule="exact"/>
        <w:jc w:val="both"/>
        <w:rPr>
          <w:rFonts w:ascii="Arial" w:hAnsi="Arial" w:cs="Arial"/>
          <w:b/>
          <w:bCs/>
          <w:sz w:val="22"/>
          <w:szCs w:val="22"/>
          <w:u w:val="single"/>
        </w:rPr>
      </w:pPr>
    </w:p>
    <w:sectPr>
      <w:footerReference w:type="default" r:id="rId15"/>
      <w:headerReference w:type="first" r:id="rId16"/>
      <w:footerReference w:type="first" r:id="rId17"/>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Paula Laurenne Valkinir" w:date="2021-09-22T23:31:00Z" w:initials="PLV">
    <w:p>
      <w:pPr>
        <w:pStyle w:val="Textodecomentrio"/>
      </w:pPr>
      <w:r>
        <w:rPr>
          <w:rStyle w:val="Refdecomentrio"/>
        </w:rPr>
        <w:annotationRef/>
      </w:r>
      <w:r>
        <w:rPr>
          <w:b/>
          <w:bCs/>
        </w:rPr>
        <w:t>DCM Stone:</w:t>
      </w:r>
      <w:r>
        <w:t xml:space="preserve"> Valor a ser definido em 24/09 no fechamento do hedge.</w:t>
      </w:r>
    </w:p>
  </w:comment>
  <w:comment w:id="15" w:author="Paula Laurenne Valkinir" w:date="2021-09-22T23:37:00Z" w:initials="PLV">
    <w:p>
      <w:pPr>
        <w:pStyle w:val="Textodecomentrio"/>
      </w:pPr>
      <w:r>
        <w:rPr>
          <w:rStyle w:val="Refdecomentrio"/>
          <w:highlight w:val="yellow"/>
        </w:rPr>
        <w:annotationRef/>
      </w:r>
      <w:r>
        <w:rPr>
          <w:b/>
          <w:bCs/>
          <w:highlight w:val="yellow"/>
        </w:rPr>
        <w:t>DCM Stone:</w:t>
      </w:r>
      <w:r>
        <w:rPr>
          <w:highlight w:val="yellow"/>
        </w:rPr>
        <w:t xml:space="preserve"> Valor a ser definido em 24/09 no fechamento do hedge.</w:t>
      </w:r>
    </w:p>
  </w:comment>
  <w:comment w:id="16" w:author="Paula Laurenne Valkinir" w:date="2021-09-23T08:25:00Z" w:initials="PLV">
    <w:p>
      <w:pPr>
        <w:pStyle w:val="Textodecomentrio"/>
      </w:pPr>
      <w:r>
        <w:rPr>
          <w:rStyle w:val="Refdecomentrio"/>
        </w:rPr>
        <w:annotationRef/>
      </w:r>
      <w:r>
        <w:rPr>
          <w:b/>
          <w:bCs/>
          <w:highlight w:val="yellow"/>
        </w:rPr>
        <w:t>DCM Stone:</w:t>
      </w:r>
      <w:r>
        <w:rPr>
          <w:highlight w:val="yellow"/>
        </w:rPr>
        <w:t xml:space="preserve"> a taxa de spread será definida no </w:t>
      </w:r>
      <w:proofErr w:type="spellStart"/>
      <w:r>
        <w:rPr>
          <w:highlight w:val="yellow"/>
        </w:rPr>
        <w:t>call</w:t>
      </w:r>
      <w:proofErr w:type="spellEnd"/>
      <w:r>
        <w:rPr>
          <w:highlight w:val="yellow"/>
        </w:rPr>
        <w:t xml:space="preserve"> de 24/09.</w:t>
      </w:r>
    </w:p>
  </w:comment>
  <w:comment w:id="18" w:author="Paula Laurenne Valkinir" w:date="2021-09-22T23:46:00Z" w:initials="PLV">
    <w:p>
      <w:pPr>
        <w:pStyle w:val="Textodecomentrio"/>
      </w:pPr>
      <w:r>
        <w:rPr>
          <w:rStyle w:val="Refdecomentrio"/>
          <w:highlight w:val="yellow"/>
        </w:rPr>
        <w:annotationRef/>
      </w:r>
      <w:r>
        <w:rPr>
          <w:b/>
          <w:bCs/>
          <w:highlight w:val="yellow"/>
        </w:rPr>
        <w:t>Nota DCM:</w:t>
      </w:r>
      <w:r>
        <w:rPr>
          <w:highlight w:val="yellow"/>
        </w:rPr>
        <w:t xml:space="preserve"> não haverá novo período de integralização ou capitalização. Desconsiderar.</w:t>
      </w:r>
    </w:p>
  </w:comment>
  <w:comment w:id="17" w:author="Pinheiro Neto Advogados" w:date="2021-09-24T08:26:00Z" w:initials="PNA">
    <w:p>
      <w:pPr>
        <w:pStyle w:val="Textodecomentrio"/>
      </w:pPr>
      <w:r>
        <w:rPr>
          <w:rStyle w:val="Refdecomentrio"/>
        </w:rPr>
        <w:annotationRef/>
      </w:r>
      <w:r>
        <w:t>OT ajustou para:</w:t>
      </w:r>
    </w:p>
    <w:p>
      <w:pPr>
        <w:pStyle w:val="Textodecomentrio"/>
      </w:pPr>
    </w:p>
    <w:p>
      <w:pPr>
        <w:tabs>
          <w:tab w:val="left" w:pos="1134"/>
        </w:tabs>
        <w:spacing w:after="0" w:line="340" w:lineRule="exact"/>
        <w:ind w:left="708"/>
        <w:rPr>
          <w:rFonts w:ascii="Arial" w:eastAsia="Arial Unicode MS" w:hAnsi="Arial" w:cs="Arial"/>
          <w:bCs/>
          <w:i/>
          <w:sz w:val="22"/>
          <w:szCs w:val="22"/>
        </w:rPr>
      </w:pPr>
      <w:proofErr w:type="gramStart"/>
      <w:r>
        <w:rPr>
          <w:rFonts w:ascii="Arial" w:eastAsia="Arial Unicode MS" w:hAnsi="Arial" w:cs="Arial"/>
          <w:bCs/>
          <w:i/>
          <w:sz w:val="22"/>
          <w:szCs w:val="22"/>
        </w:rPr>
        <w:t>n</w:t>
      </w:r>
      <w:proofErr w:type="gramEnd"/>
      <w:r>
        <w:rPr>
          <w:rFonts w:ascii="Arial" w:eastAsia="Arial Unicode MS" w:hAnsi="Arial" w:cs="Arial"/>
          <w:bCs/>
          <w:i/>
          <w:sz w:val="22"/>
          <w:szCs w:val="22"/>
        </w:rPr>
        <w:t xml:space="preserve"> = número de dias úteis entre o último período de capitalização e a data atual, sendo “n” um número inteiro.</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Textodecomentrio"/>
      </w:pPr>
    </w:p>
    <w:p>
      <w:pPr>
        <w:pStyle w:val="Textodecomentrio"/>
      </w:pPr>
    </w:p>
    <w:p>
      <w:pPr>
        <w:pStyle w:val="Textodecomentrio"/>
      </w:pPr>
      <w:r>
        <w:t>A confirmar.</w:t>
      </w:r>
    </w:p>
  </w:comment>
  <w:comment w:id="19" w:author="Paula Laurenne Valkinir" w:date="2021-09-23T23:31:00Z" w:initials="PLV">
    <w:p>
      <w:pPr>
        <w:pStyle w:val="Textodecomentrio"/>
      </w:pPr>
      <w:r>
        <w:rPr>
          <w:rStyle w:val="Refdecomentrio"/>
        </w:rPr>
        <w:annotationRef/>
      </w:r>
      <w:r>
        <w:t>Nota DCM: Percentual fixo a ser definido no momento da operação equivalente a 100% da Taxa DI.</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3C0" w16cex:dateUtc="2021-09-23T19:03:00Z"/>
  <w16cex:commentExtensible w16cex:durableId="24F63B3A" w16cex:dateUtc="2021-09-23T02:31:00Z"/>
  <w16cex:commentExtensible w16cex:durableId="24F63CBE" w16cex:dateUtc="2021-09-23T02:37:00Z"/>
  <w16cex:commentExtensible w16cex:durableId="24F6B881" w16cex:dateUtc="2021-09-23T11:25:00Z"/>
  <w16cex:commentExtensible w16cex:durableId="24F63EE6" w16cex:dateUtc="2021-09-23T02:46:00Z"/>
  <w16cex:commentExtensible w16cex:durableId="24F78CD1" w16cex:dateUtc="2021-09-24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16DB0" w16cid:durableId="24F723C0"/>
  <w16cid:commentId w16cid:paraId="38B81443" w16cid:durableId="24F63B3A"/>
  <w16cid:commentId w16cid:paraId="26F2F9CA" w16cid:durableId="24F63CBE"/>
  <w16cid:commentId w16cid:paraId="26A638F4" w16cid:durableId="24F6B881"/>
  <w16cid:commentId w16cid:paraId="1F9E7F8D" w16cid:durableId="24F63EE6"/>
  <w16cid:commentId w16cid:paraId="6B4A0575" w16cid:durableId="24F78C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default"/>
  </w:font>
  <w:font w:name="Frutiger 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roman"/>
    <w:notTrueType/>
    <w:pitch w:val="default"/>
  </w:font>
  <w:font w:name="TT108t00">
    <w:altName w:val="Yu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- 41694796v10 - 11361002.482263</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- 41694796v8 - 11361002.482263</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DRAFTING CALL</w:t>
    </w:r>
  </w:p>
  <w:p>
    <w:pPr>
      <w:pStyle w:val="Cabealho"/>
      <w:jc w:val="right"/>
      <w:rPr>
        <w:rFonts w:ascii="Arial" w:hAnsi="Arial" w:cs="Arial"/>
        <w:sz w:val="22"/>
        <w:szCs w:val="22"/>
      </w:rPr>
    </w:pPr>
    <w:r>
      <w:rPr>
        <w:rFonts w:ascii="Arial" w:hAnsi="Arial" w:cs="Arial"/>
        <w:sz w:val="22"/>
        <w:szCs w:val="22"/>
      </w:rPr>
      <w:t>(24.9.2021)</w:t>
    </w:r>
  </w:p>
  <w:p>
    <w:pPr>
      <w:pStyle w:val="Cabealho"/>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a Laurenne Valkinir">
    <w15:presenceInfo w15:providerId="Windows Live" w15:userId="432c9665de1f2bad"/>
  </w15:person>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715234570">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 w:id="2048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microsoft.com/office/2018/08/relationships/commentsExtensible" Target="commentsExtensible.xml" Id="rId21" /><Relationship Type="http://schemas.openxmlformats.org/officeDocument/2006/relationships/footnotes" Target="footnotes.xml" Id="rId7" /><Relationship Type="http://schemas.openxmlformats.org/officeDocument/2006/relationships/image" Target="media/image3.wmf"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wmf"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image" Target="media/image5.PNG" Id="rId14" /><Relationship Type="http://schemas.microsoft.com/office/2016/09/relationships/commentsIds" Target="commentsIds.xml" Id="rId2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41177EC-6B73-4B31-9AAF-A02ED8C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3039</Words>
  <Characters>17170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Pinheiro Neto Advogados</cp:lastModifiedBy>
  <cp:revision>4</cp:revision>
  <cp:lastPrinted>2018-09-28T15:08:00Z</cp:lastPrinted>
  <dcterms:created xsi:type="dcterms:W3CDTF">2021-09-24T11:31:00Z</dcterms:created>
  <dcterms:modified xsi:type="dcterms:W3CDTF">2021-09-24T11:34:00Z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- 41694796v10 - 11361002.482263</vt:lpwstr>
  </property>
</Properties>
</file>