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rPr>
          <w:rFonts w:ascii="Arial" w:hAnsi="Arial" w:cs="Arial"/>
          <w:b/>
          <w:sz w:val="22"/>
          <w:szCs w:val="22"/>
        </w:rPr>
      </w:pPr>
      <w:bookmarkStart w:id="0" w:name="_DV_C7"/>
      <w:bookmarkStart w:id="1" w:name="OLE_LINK1"/>
      <w:bookmarkStart w:id="2" w:name="OLE_LINK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pPr>
        <w:widowControl w:val="0"/>
        <w:spacing w:line="340" w:lineRule="exact"/>
        <w:rPr>
          <w:rFonts w:ascii="Arial" w:hAnsi="Arial" w:cs="Arial"/>
          <w:color w:val="000000"/>
          <w:sz w:val="22"/>
          <w:szCs w:val="22"/>
        </w:rPr>
      </w:pPr>
    </w:p>
    <w:p>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pPr>
        <w:widowControl w:val="0"/>
        <w:spacing w:line="340" w:lineRule="exact"/>
        <w:rPr>
          <w:rFonts w:ascii="Arial" w:hAnsi="Arial" w:cs="Arial"/>
          <w:caps/>
          <w:sz w:val="22"/>
          <w:szCs w:val="22"/>
        </w:rPr>
      </w:pPr>
    </w:p>
    <w:p>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sociedade por ações com sede</w:t>
      </w:r>
      <w:bookmarkStart w:id="3" w:name="_GoBack"/>
      <w:bookmarkEnd w:id="3"/>
      <w:r>
        <w:rPr>
          <w:rFonts w:ascii="Arial" w:hAnsi="Arial" w:cs="Arial"/>
          <w:sz w:val="22"/>
          <w:szCs w:val="22"/>
        </w:rPr>
        <w:t xml:space="preserve"> na Cidade de São Paulo, Estado de São Paulo, na Rua </w:t>
      </w:r>
      <w:proofErr w:type="spellStart"/>
      <w:r>
        <w:rPr>
          <w:rFonts w:ascii="Arial" w:hAnsi="Arial" w:cs="Arial"/>
          <w:sz w:val="22"/>
          <w:szCs w:val="22"/>
        </w:rPr>
        <w:t>Fidêncio</w:t>
      </w:r>
      <w:proofErr w:type="spellEnd"/>
      <w:r>
        <w:rPr>
          <w:rFonts w:ascii="Arial" w:hAnsi="Arial" w:cs="Arial"/>
          <w:sz w:val="22"/>
          <w:szCs w:val="22"/>
        </w:rPr>
        <w:t xml:space="preserve"> Ramos, nº 308, Torre A, conjunto 102, Vila Olímpia, CEP 04551-902, inscrita no </w:t>
      </w:r>
      <w:r>
        <w:rPr>
          <w:rStyle w:val="DeltaViewDeletion"/>
          <w:rFonts w:ascii="Arial" w:hAnsi="Arial" w:cs="Arial"/>
          <w:bCs/>
          <w:strike w:val="0"/>
          <w:color w:val="auto"/>
          <w:sz w:val="22"/>
          <w:szCs w:val="22"/>
        </w:rPr>
        <w:t>Cadastro Nacional da Pessoa Jurídica do Ministério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Rua Joaquim Floriano, nº 1052, 13º andar, Itaim Bibi,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neste ato representada na forma de seus atos constitutivos e demais documentos societários (“</w:t>
      </w:r>
      <w:r>
        <w:rPr>
          <w:rFonts w:ascii="Arial" w:hAnsi="Arial" w:cs="Arial"/>
          <w:b/>
          <w:sz w:val="22"/>
          <w:szCs w:val="22"/>
        </w:rPr>
        <w:t>Cessionário</w:t>
      </w:r>
      <w:r>
        <w:rPr>
          <w:rFonts w:ascii="Arial" w:hAnsi="Arial" w:cs="Arial"/>
          <w:sz w:val="22"/>
          <w:szCs w:val="22"/>
        </w:rPr>
        <w:t>”)</w:t>
      </w:r>
      <w:bookmarkStart w:id="4" w:name="_DV_M22"/>
      <w:bookmarkStart w:id="5" w:name="_DV_M23"/>
      <w:bookmarkStart w:id="6" w:name="_DV_M24"/>
      <w:bookmarkEnd w:id="4"/>
      <w:bookmarkEnd w:id="5"/>
      <w:bookmarkEnd w:id="6"/>
      <w:r>
        <w:rPr>
          <w:rFonts w:ascii="Arial" w:hAnsi="Arial" w:cs="Arial"/>
          <w:sz w:val="22"/>
          <w:szCs w:val="22"/>
        </w:rPr>
        <w:t>;</w:t>
      </w:r>
    </w:p>
    <w:p>
      <w:pPr>
        <w:widowControl w:val="0"/>
        <w:spacing w:line="340" w:lineRule="exact"/>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ainda, na qualidade de intervenientes anuentes,</w:t>
      </w:r>
    </w:p>
    <w:p>
      <w:pPr>
        <w:widowControl w:val="0"/>
        <w:spacing w:line="340" w:lineRule="exact"/>
        <w:rPr>
          <w:rFonts w:ascii="Arial" w:hAnsi="Arial" w:cs="Arial"/>
          <w:sz w:val="22"/>
          <w:szCs w:val="22"/>
        </w:rPr>
      </w:pPr>
    </w:p>
    <w:p>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r>
        <w:rPr>
          <w:rFonts w:ascii="Arial" w:hAnsi="Arial" w:cs="Arial"/>
          <w:bCs/>
          <w:sz w:val="22"/>
          <w:szCs w:val="22"/>
        </w:rPr>
        <w:t>, neste ato representada nos termos do seu estatuto social (“</w:t>
      </w:r>
      <w:proofErr w:type="spellStart"/>
      <w:r>
        <w:rPr>
          <w:rFonts w:ascii="Arial" w:hAnsi="Arial" w:cs="Arial"/>
          <w:b/>
          <w:bCs/>
          <w:sz w:val="22"/>
          <w:szCs w:val="22"/>
        </w:rPr>
        <w:t>Servicer</w:t>
      </w:r>
      <w:proofErr w:type="spellEnd"/>
      <w:r>
        <w:rPr>
          <w:rFonts w:ascii="Arial" w:hAnsi="Arial" w:cs="Arial"/>
          <w:bCs/>
          <w:sz w:val="22"/>
          <w:szCs w:val="22"/>
        </w:rPr>
        <w:t xml:space="preserve">”); e </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7"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 xml:space="preserve">instituição financeira, com domicílio na Rua Joaquim Floriano 466, sala 1401, Itaim Bibi, na Cidade de São Paulo, Estado de São Paulo, inscrita no CNPJ/ME sob o nº </w:t>
      </w:r>
      <w:bookmarkEnd w:id="7"/>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p>
    <w:p>
      <w:pPr>
        <w:widowControl w:val="0"/>
        <w:spacing w:line="340" w:lineRule="exact"/>
        <w:rPr>
          <w:rFonts w:ascii="Arial" w:hAnsi="Arial" w:cs="Arial"/>
          <w:b/>
          <w:bCs/>
          <w:color w:val="000000"/>
          <w:sz w:val="22"/>
          <w:szCs w:val="22"/>
        </w:rPr>
      </w:pPr>
      <w:bookmarkStart w:id="8" w:name="_DV_M25"/>
      <w:bookmarkStart w:id="9" w:name="_DV_M28"/>
      <w:bookmarkStart w:id="10" w:name="_DV_M29"/>
      <w:bookmarkStart w:id="11" w:name="_DV_M32"/>
      <w:bookmarkStart w:id="12" w:name="_DV_M33"/>
      <w:bookmarkStart w:id="13" w:name="_DV_M34"/>
      <w:bookmarkStart w:id="14" w:name="_DV_M41"/>
      <w:bookmarkEnd w:id="8"/>
      <w:bookmarkEnd w:id="9"/>
      <w:bookmarkEnd w:id="10"/>
      <w:bookmarkEnd w:id="11"/>
      <w:bookmarkEnd w:id="12"/>
      <w:bookmarkEnd w:id="13"/>
      <w:bookmarkEnd w:id="14"/>
    </w:p>
    <w:p>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pPr>
        <w:keepNext/>
        <w:widowControl w:val="0"/>
        <w:spacing w:line="340" w:lineRule="exact"/>
        <w:rPr>
          <w:rFonts w:ascii="Arial" w:hAnsi="Arial" w:cs="Arial"/>
          <w:b/>
          <w:bCs/>
          <w:color w:val="000000"/>
          <w:sz w:val="22"/>
          <w:szCs w:val="22"/>
        </w:rPr>
      </w:pPr>
      <w:bookmarkStart w:id="15" w:name="_DV_C69"/>
    </w:p>
    <w:p>
      <w:pPr>
        <w:pStyle w:val="PargrafodaLista"/>
        <w:keepNext/>
        <w:widowControl w:val="0"/>
        <w:numPr>
          <w:ilvl w:val="0"/>
          <w:numId w:val="3"/>
        </w:numPr>
        <w:spacing w:line="340" w:lineRule="exact"/>
        <w:ind w:left="0" w:firstLine="0"/>
        <w:rPr>
          <w:rFonts w:ascii="Arial" w:hAnsi="Arial" w:cs="Arial"/>
          <w:sz w:val="22"/>
          <w:szCs w:val="22"/>
        </w:rPr>
      </w:pPr>
      <w:bookmarkStart w:id="16" w:name="_DV_C71"/>
      <w:bookmarkEnd w:id="15"/>
      <w:r>
        <w:rPr>
          <w:rFonts w:ascii="Arial" w:hAnsi="Arial" w:cs="Arial"/>
          <w:sz w:val="22"/>
          <w:szCs w:val="22"/>
        </w:rPr>
        <w:t xml:space="preserve">as Partes, o </w:t>
      </w:r>
      <w:proofErr w:type="spellStart"/>
      <w:r>
        <w:rPr>
          <w:rFonts w:ascii="Arial" w:hAnsi="Arial" w:cs="Arial"/>
          <w:sz w:val="22"/>
          <w:szCs w:val="22"/>
        </w:rPr>
        <w:t>Servicer</w:t>
      </w:r>
      <w:proofErr w:type="spellEnd"/>
      <w:r>
        <w:rPr>
          <w:rFonts w:ascii="Arial" w:hAnsi="Arial" w:cs="Arial"/>
          <w:sz w:val="22"/>
          <w:szCs w:val="22"/>
        </w:rPr>
        <w:t xml:space="preserve"> e o Agente Fiduciário celebraram em 27 de setembro de 2018 o </w:t>
      </w:r>
      <w:r>
        <w:rPr>
          <w:rFonts w:ascii="Arial" w:hAnsi="Arial" w:cs="Arial"/>
          <w:i/>
          <w:sz w:val="22"/>
          <w:szCs w:val="22"/>
        </w:rPr>
        <w:t>Contrato de Promessa de Cessão e Aquisição de Direitos 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a Cedente ao Cessionário dos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pPr>
        <w:pStyle w:val="PargrafodaLista"/>
        <w:keepNext/>
        <w:widowControl w:val="0"/>
        <w:spacing w:line="340" w:lineRule="exact"/>
        <w:ind w:left="0"/>
        <w:rPr>
          <w:rFonts w:ascii="Arial" w:hAnsi="Arial" w:cs="Arial"/>
          <w:sz w:val="22"/>
          <w:szCs w:val="22"/>
        </w:rPr>
      </w:pPr>
    </w:p>
    <w:p>
      <w:pPr>
        <w:pStyle w:val="PargrafodaLista"/>
        <w:keepNext/>
        <w:widowControl w:val="0"/>
        <w:numPr>
          <w:ilvl w:val="0"/>
          <w:numId w:val="3"/>
        </w:numPr>
        <w:spacing w:line="340" w:lineRule="exact"/>
        <w:ind w:left="0" w:firstLine="0"/>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desejam aditar o Contrato, de forma a alterar sua vigência, o Período de Aquisição e o Preço de Aquisição, entre outras disposições.</w:t>
      </w:r>
    </w:p>
    <w:p>
      <w:pPr>
        <w:pStyle w:val="PargrafodaLista"/>
        <w:widowControl w:val="0"/>
        <w:spacing w:line="340" w:lineRule="exact"/>
        <w:ind w:left="0"/>
        <w:rPr>
          <w:rStyle w:val="DeltaViewInsertion"/>
          <w:rFonts w:ascii="Arial" w:hAnsi="Arial" w:cs="Arial"/>
          <w:color w:val="auto"/>
          <w:sz w:val="22"/>
          <w:szCs w:val="22"/>
          <w:u w:val="none"/>
        </w:rPr>
      </w:pPr>
    </w:p>
    <w:p>
      <w:pPr>
        <w:keepNext/>
        <w:tabs>
          <w:tab w:val="left" w:pos="0"/>
          <w:tab w:val="left" w:pos="709"/>
          <w:tab w:val="left" w:pos="5812"/>
        </w:tabs>
        <w:spacing w:line="340" w:lineRule="exact"/>
        <w:rPr>
          <w:rFonts w:ascii="Arial" w:hAnsi="Arial" w:cs="Arial"/>
          <w:sz w:val="22"/>
          <w:szCs w:val="22"/>
        </w:rPr>
      </w:pPr>
      <w:bookmarkStart w:id="17" w:name="_DV_M42"/>
      <w:bookmarkStart w:id="18" w:name="_DV_M45"/>
      <w:bookmarkStart w:id="19" w:name="_DV_M48"/>
      <w:bookmarkEnd w:id="16"/>
      <w:bookmarkEnd w:id="17"/>
      <w:bookmarkEnd w:id="18"/>
      <w:bookmarkEnd w:id="19"/>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seguir: </w:t>
      </w:r>
    </w:p>
    <w:p>
      <w:pPr>
        <w:widowControl w:val="0"/>
        <w:tabs>
          <w:tab w:val="left" w:pos="0"/>
          <w:tab w:val="left" w:pos="709"/>
          <w:tab w:val="left" w:pos="5812"/>
        </w:tabs>
        <w:spacing w:line="340" w:lineRule="exact"/>
        <w:rPr>
          <w:rFonts w:ascii="Arial" w:hAnsi="Arial" w:cs="Arial"/>
          <w:sz w:val="22"/>
          <w:szCs w:val="22"/>
        </w:rPr>
      </w:pPr>
    </w:p>
    <w:p>
      <w:pPr>
        <w:pStyle w:val="Ttulo1"/>
        <w:numPr>
          <w:ilvl w:val="0"/>
          <w:numId w:val="4"/>
        </w:numPr>
        <w:spacing w:line="340" w:lineRule="exact"/>
        <w:jc w:val="both"/>
        <w:rPr>
          <w:rFonts w:ascii="Arial" w:hAnsi="Arial" w:cs="Arial"/>
          <w:color w:val="000000"/>
          <w:sz w:val="22"/>
          <w:szCs w:val="22"/>
        </w:rPr>
      </w:pPr>
      <w:bookmarkStart w:id="20" w:name="_DV_M54"/>
      <w:bookmarkStart w:id="21" w:name="_Toc54144748"/>
      <w:bookmarkEnd w:id="20"/>
      <w:r>
        <w:rPr>
          <w:rFonts w:ascii="Arial" w:hAnsi="Arial" w:cs="Arial"/>
          <w:color w:val="000000"/>
          <w:sz w:val="22"/>
          <w:szCs w:val="22"/>
        </w:rPr>
        <w:t>CLÁUSULA PRIMEIRA - DEFINIÇÕES E INTERPRETAÇÃO</w:t>
      </w:r>
    </w:p>
    <w:p>
      <w:pPr>
        <w:widowControl w:val="0"/>
        <w:tabs>
          <w:tab w:val="left" w:pos="0"/>
          <w:tab w:val="left" w:pos="709"/>
          <w:tab w:val="left" w:pos="5812"/>
        </w:tabs>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Todos os termos e expressões, iniciados por letras maiúsculas, em sua forma singular ou plural, utilizados no presente Aditamento e seus anexos e neles não definidos têm o significado que lhes é respectivamente atribuído no Contrato</w:t>
      </w:r>
      <w:r>
        <w:rPr>
          <w:rFonts w:ascii="Arial" w:hAnsi="Arial" w:cs="Arial"/>
          <w:b w:val="0"/>
          <w:color w:val="000000"/>
          <w:sz w:val="22"/>
          <w:szCs w:val="22"/>
        </w:rPr>
        <w:t xml:space="preserve">. </w:t>
      </w:r>
    </w:p>
    <w:p>
      <w:pPr>
        <w:pStyle w:val="PargrafodaLista"/>
        <w:widowControl w:val="0"/>
        <w:spacing w:line="340" w:lineRule="exact"/>
        <w:ind w:left="0"/>
        <w:rPr>
          <w:rFonts w:ascii="Arial" w:hAnsi="Arial" w:cs="Arial"/>
          <w:sz w:val="22"/>
          <w:szCs w:val="22"/>
        </w:rPr>
      </w:pPr>
      <w:bookmarkStart w:id="22" w:name="_DV_M57"/>
      <w:bookmarkStart w:id="23" w:name="_DV_M514"/>
      <w:bookmarkStart w:id="24" w:name="_DV_M61"/>
      <w:bookmarkStart w:id="25" w:name="_DV_M62"/>
      <w:bookmarkStart w:id="26" w:name="_DV_M65"/>
      <w:bookmarkStart w:id="27" w:name="_DV_M66"/>
      <w:bookmarkStart w:id="28" w:name="_DV_M67"/>
      <w:bookmarkStart w:id="29" w:name="_DV_M68"/>
      <w:bookmarkStart w:id="30" w:name="_DV_M69"/>
      <w:bookmarkStart w:id="31" w:name="_DV_M70"/>
      <w:bookmarkStart w:id="32" w:name="_DV_M72"/>
      <w:bookmarkStart w:id="33" w:name="_DV_M73"/>
      <w:bookmarkStart w:id="34" w:name="_DV_M74"/>
      <w:bookmarkStart w:id="35" w:name="_DV_M77"/>
      <w:bookmarkStart w:id="36" w:name="_DV_M80"/>
      <w:bookmarkStart w:id="37" w:name="_DV_M82"/>
      <w:bookmarkStart w:id="38" w:name="_DV_M83"/>
      <w:bookmarkStart w:id="39" w:name="_DV_M8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Ttulo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pPr>
        <w:keepNext/>
        <w:spacing w:line="340" w:lineRule="exact"/>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pPr>
        <w:spacing w:line="340" w:lineRule="exact"/>
        <w:rPr>
          <w:rFonts w:ascii="Arial" w:hAnsi="Arial" w:cs="Arial"/>
          <w:i/>
          <w:sz w:val="22"/>
          <w:szCs w:val="22"/>
        </w:rPr>
      </w:pPr>
    </w:p>
    <w:p>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significa o período compreendido entre (a) a Data de Integralização da Primeira Subscrição das Debêntures (conforme termo definido no Anexo I) e (b) (i) [●] de [●] de [●] ou (</w:t>
      </w:r>
      <w:proofErr w:type="spellStart"/>
      <w:r>
        <w:rPr>
          <w:rFonts w:ascii="Arial" w:hAnsi="Arial" w:cs="Arial"/>
          <w:i/>
          <w:sz w:val="22"/>
          <w:szCs w:val="22"/>
        </w:rPr>
        <w:t>ii</w:t>
      </w:r>
      <w:proofErr w:type="spellEnd"/>
      <w:r>
        <w:rPr>
          <w:rFonts w:ascii="Arial" w:hAnsi="Arial" w:cs="Arial"/>
          <w:i/>
          <w:sz w:val="22"/>
          <w:szCs w:val="22"/>
        </w:rPr>
        <w:t xml:space="preserve">)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Após a Primeira Aquisição e durante o Período de Aquisição, as aquisições de Direitos Creditórios Elegíveis serão realizadas pelo Cessionário, mediante a oferta de Direitos Creditórios pela Cedente, nos termos desta Cláusula Segunda e da Cláusula Terceira abaixo, e observados os demais procedimentos previstos neste Contrato,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 O Valor Disponível para Aquisição, em cada data de aquisição, será o valor depositado na Conta Autorizada do Cessionário em tal data em decorrência de pagamentos de Direitos Creditórios Cedidos, subtraído de eventuais despesas do Cessionário já programadas ou razoavelmente projetadas para os próximos 30 (trinta) dias (“</w:t>
      </w:r>
      <w:r>
        <w:rPr>
          <w:rFonts w:ascii="Arial" w:eastAsia="MS Mincho" w:hAnsi="Arial" w:cs="Arial"/>
          <w:b/>
          <w:i/>
          <w:sz w:val="22"/>
          <w:szCs w:val="22"/>
        </w:rPr>
        <w:t>Prazo de Previsão de Despesas</w:t>
      </w:r>
      <w:r>
        <w:rPr>
          <w:rFonts w:ascii="Arial" w:eastAsia="MS Mincho" w:hAnsi="Arial" w:cs="Arial"/>
          <w:i/>
          <w:sz w:val="22"/>
          <w:szCs w:val="22"/>
        </w:rPr>
        <w:t xml:space="preserve">”), incluindo, mas não limitado aos juros das Debêntures e custos de registro relativos a este Contrato, à Escritura de Emissão, as tarifas devidas à B3 e os custos operacionais da Emissora, incluindo todos os impostos a pagar nos termos da legislação aplicável, e a qualquer garantia atrelada à Escritura de Emissão. O </w:t>
      </w:r>
      <w:r>
        <w:rPr>
          <w:rFonts w:ascii="Arial" w:eastAsia="MS Mincho" w:hAnsi="Arial" w:cs="Arial"/>
          <w:i/>
          <w:sz w:val="22"/>
          <w:szCs w:val="22"/>
        </w:rPr>
        <w:t>Prazo de Previsão de Despesas</w:t>
      </w:r>
      <w:r>
        <w:rPr>
          <w:rFonts w:ascii="Arial" w:eastAsia="MS Mincho" w:hAnsi="Arial" w:cs="Arial"/>
          <w:i/>
          <w:sz w:val="22"/>
          <w:szCs w:val="22"/>
        </w:rPr>
        <w:t xml:space="preserve"> será excepcionalmente de 10 (dez) dias quando a despesa em questão for uma Amortização Ordinária e desde que o Cessionário possua, 30 (trinta) dias antes da respectiva Data de Amortização (conforme definido na Escritura de Emissão), Direitos Creditórios com vencimento até a Data de Amortização (conforme definido na Escritura de Emissão) subsequente em montante superior ao projetado para a respectiva Data de Amortização.</w:t>
      </w: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pPr>
        <w:pStyle w:val="p0"/>
        <w:keepNext/>
        <w:widowControl w:val="0"/>
        <w:tabs>
          <w:tab w:val="clear" w:pos="720"/>
        </w:tabs>
        <w:spacing w:line="340" w:lineRule="exact"/>
        <w:ind w:left="709"/>
        <w:rPr>
          <w:rFonts w:ascii="Arial" w:eastAsia="MS Mincho" w:hAnsi="Arial" w:cs="Arial"/>
          <w:i/>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 xml:space="preserve">Exclusivamente após a conclusão do Processamento da Oferta, com a 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xml:space="preserve">, suficiente para pagamento do Preço de Aquisição, o Cessionário realizará o pagamento do Preço de Aquisição acordado com a Cedente em parcela única, paga à vista, mediante depósito, por conta do Cessionário, via Transferência Eletrônica Disponível (TED), ou por outra forma de transferência de recursos autorizada pelo BACEN, para a Conta de Livre Movimentação, com a efetivação da transferência da titularidade dos Direitos Creditórios Elegíveis ao Cessionário, sendo certo que o referido comando para pagamento, via Internet Banking ocorrerá (a) em até 50 (cinquenta) minutos contados do recebimento, pelo </w:t>
      </w:r>
      <w:r>
        <w:rPr>
          <w:rFonts w:ascii="Arial" w:eastAsia="MS Mincho" w:hAnsi="Arial" w:cs="Arial"/>
          <w:i/>
          <w:sz w:val="22"/>
          <w:szCs w:val="22"/>
        </w:rPr>
        <w:lastRenderedPageBreak/>
        <w:t>Cessionário, da aceitação da Cedente do Arquivo de Retorno, desde que haja saldo em conta suficiente para pagamento do Preço de Aquisição na Conta Autorizada do Cessionário; ou, caso dentro do prazo do item (a) acima, não houver Valor Disponível para Aquisição suficiente para pagamento do Preço de Aquisição na Conta Autorizada do Cessionário, (b) até às 16:30h (dezesseis horas e trinta minutos) da data da conclusão do Processamento da Oferta, desde que haja Valor Disponível para Aquisição suficiente para pagamento do Preço de Aquisição, observado o disposto no item 3.1.4 abaixo.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Cedente dentro de um dos horários previstos na Cláusula 3.1.2 ou na Cláusula 3.1.4 acima, conforme aplicável: (a) o(s) Arquivo(s) de Envio encaminhado(s) pela Cedente será(</w:t>
      </w:r>
      <w:proofErr w:type="spellStart"/>
      <w:r>
        <w:rPr>
          <w:rFonts w:ascii="Arial" w:hAnsi="Arial" w:cs="Arial"/>
          <w:i/>
          <w:sz w:val="22"/>
          <w:szCs w:val="22"/>
        </w:rPr>
        <w:t>ão</w:t>
      </w:r>
      <w:proofErr w:type="spellEnd"/>
      <w:r>
        <w:rPr>
          <w:rFonts w:ascii="Arial" w:hAnsi="Arial" w:cs="Arial"/>
          <w:i/>
          <w:sz w:val="22"/>
          <w:szCs w:val="22"/>
        </w:rPr>
        <w:t>) considerado(s) cancelado(s), sendo certo que a oferta dos respectivos Direitos Creditórios Elegíveis será automaticamente revogada; e (b) o Termo de Cessão será considerado como cancelado para todos os fins de fato e de direito, sem a necessidade da adoção de quaisquer procedimentos adicionais pela Cedente e/ou pelo Cessionário.</w:t>
      </w: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3.2 do Contrato, que passará a viger com a seguinte redação:</w:t>
      </w:r>
    </w:p>
    <w:p>
      <w:pPr>
        <w:pStyle w:val="PargrafodaLista"/>
        <w:spacing w:line="340" w:lineRule="exact"/>
        <w:ind w:left="709"/>
        <w:rPr>
          <w:rFonts w:ascii="Arial" w:hAnsi="Arial" w:cs="Arial"/>
          <w:i/>
          <w:color w:val="000000"/>
          <w:sz w:val="22"/>
          <w:szCs w:val="22"/>
        </w:rPr>
      </w:pPr>
    </w:p>
    <w:p>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xml:space="preserve">. O Preço de Aquisição será calculado nos termos da fórmula abaixo, correspondendo à somatória dos valores de cada Direito Creditório Elegível, trazido a valor presente pela taxa equivalente a: </w:t>
      </w:r>
      <w:r>
        <w:rPr>
          <w:rFonts w:ascii="Arial" w:hAnsi="Arial" w:cs="Arial"/>
          <w:i/>
          <w:color w:val="000000"/>
          <w:sz w:val="22"/>
          <w:szCs w:val="22"/>
          <w:highlight w:val="yellow"/>
        </w:rPr>
        <w:t>[(i) 101,57% (cento e um inteiros e cinquenta e sete centésimos por cento) até [•] de 2021]</w:t>
      </w:r>
      <w:r>
        <w:rPr>
          <w:rFonts w:ascii="Arial" w:hAnsi="Arial" w:cs="Arial"/>
          <w:i/>
          <w:color w:val="000000"/>
          <w:sz w:val="22"/>
          <w:szCs w:val="22"/>
        </w:rPr>
        <w:t xml:space="preserve"> (em qualquer caso, o “</w:t>
      </w:r>
      <w:r>
        <w:rPr>
          <w:rFonts w:ascii="Arial" w:hAnsi="Arial" w:cs="Arial"/>
          <w:b/>
          <w:i/>
          <w:color w:val="000000"/>
          <w:sz w:val="22"/>
          <w:szCs w:val="22"/>
        </w:rPr>
        <w:t>Percentual DI</w:t>
      </w:r>
      <w:r>
        <w:rPr>
          <w:rFonts w:ascii="Arial" w:hAnsi="Arial" w:cs="Arial"/>
          <w:i/>
          <w:color w:val="000000"/>
          <w:sz w:val="22"/>
          <w:szCs w:val="22"/>
        </w:rPr>
        <w:t>”) das 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 com vencimento mais próximo às respectivas datas de vencimento dos Direitos Creditórios Elegíveis objeto da cessão (“</w:t>
      </w:r>
      <w:r>
        <w:rPr>
          <w:rFonts w:ascii="Arial" w:hAnsi="Arial" w:cs="Arial"/>
          <w:b/>
          <w:i/>
          <w:sz w:val="22"/>
          <w:szCs w:val="22"/>
        </w:rPr>
        <w:t xml:space="preserve">Taxa </w:t>
      </w:r>
      <w:proofErr w:type="spellStart"/>
      <w:r>
        <w:rPr>
          <w:rFonts w:ascii="Arial" w:hAnsi="Arial" w:cs="Arial"/>
          <w:b/>
          <w:i/>
          <w:sz w:val="22"/>
          <w:szCs w:val="22"/>
        </w:rPr>
        <w:t>Pré-DI</w:t>
      </w:r>
      <w:proofErr w:type="spellEnd"/>
      <w:r>
        <w:rPr>
          <w:rFonts w:ascii="Arial" w:hAnsi="Arial" w:cs="Arial"/>
          <w:i/>
          <w:sz w:val="22"/>
          <w:szCs w:val="22"/>
        </w:rPr>
        <w:t>”); ou (</w:t>
      </w:r>
      <w:proofErr w:type="spellStart"/>
      <w:r>
        <w:rPr>
          <w:rFonts w:ascii="Arial" w:hAnsi="Arial" w:cs="Arial"/>
          <w:i/>
          <w:sz w:val="22"/>
          <w:szCs w:val="22"/>
        </w:rPr>
        <w:t>ii</w:t>
      </w:r>
      <w:proofErr w:type="spellEnd"/>
      <w:r>
        <w:rPr>
          <w:rFonts w:ascii="Arial" w:hAnsi="Arial" w:cs="Arial"/>
          <w:i/>
          <w:sz w:val="22"/>
          <w:szCs w:val="22"/>
        </w:rPr>
        <w:t>) juros remuneratórios de [•], caso a cessão ocorra a partir de [•] de 2021 (inclusive)</w:t>
      </w:r>
      <w:r>
        <w:rPr>
          <w:rFonts w:ascii="Arial" w:hAnsi="Arial" w:cs="Arial"/>
          <w:i/>
          <w:color w:val="000000"/>
          <w:sz w:val="22"/>
          <w:szCs w:val="22"/>
        </w:rPr>
        <w:t xml:space="preserve"> (“</w:t>
      </w:r>
      <w:r>
        <w:rPr>
          <w:rFonts w:ascii="Arial" w:hAnsi="Arial" w:cs="Arial"/>
          <w:b/>
          <w:i/>
          <w:color w:val="000000"/>
          <w:sz w:val="22"/>
          <w:szCs w:val="22"/>
        </w:rPr>
        <w:t>Preço de Aquisição</w:t>
      </w:r>
      <w:r>
        <w:rPr>
          <w:rFonts w:ascii="Arial" w:hAnsi="Arial" w:cs="Arial"/>
          <w:i/>
          <w:color w:val="000000"/>
          <w:sz w:val="22"/>
          <w:szCs w:val="22"/>
        </w:rPr>
        <w:t xml:space="preserve">”): </w:t>
      </w:r>
      <w:r>
        <w:rPr>
          <w:rFonts w:ascii="Arial" w:hAnsi="Arial" w:cs="Arial"/>
          <w:color w:val="000000"/>
          <w:sz w:val="22"/>
          <w:szCs w:val="22"/>
        </w:rPr>
        <w:t>[</w:t>
      </w:r>
      <w:r>
        <w:rPr>
          <w:rFonts w:ascii="Arial" w:hAnsi="Arial" w:cs="Arial"/>
          <w:b/>
          <w:color w:val="000000"/>
          <w:sz w:val="22"/>
          <w:szCs w:val="22"/>
          <w:highlight w:val="yellow"/>
        </w:rPr>
        <w:t>Nota PNA</w:t>
      </w:r>
      <w:r>
        <w:rPr>
          <w:rFonts w:ascii="Arial" w:hAnsi="Arial" w:cs="Arial"/>
          <w:color w:val="000000"/>
          <w:sz w:val="22"/>
          <w:szCs w:val="22"/>
          <w:highlight w:val="yellow"/>
        </w:rPr>
        <w:t>: A ser alterado conforme novo Percentual DI a ser aplicado ao Preço de Aquisição</w:t>
      </w:r>
      <w:r>
        <w:rPr>
          <w:rFonts w:ascii="Arial" w:hAnsi="Arial" w:cs="Arial"/>
          <w:color w:val="000000"/>
          <w:sz w:val="22"/>
          <w:szCs w:val="22"/>
        </w:rPr>
        <w:t>]</w:t>
      </w:r>
    </w:p>
    <w:p>
      <w:pPr>
        <w:pStyle w:val="PargrafodaLista"/>
        <w:spacing w:line="340" w:lineRule="exact"/>
        <w:ind w:left="709"/>
        <w:rPr>
          <w:rFonts w:ascii="Arial" w:hAnsi="Arial" w:cs="Arial"/>
          <w:i/>
          <w:color w:val="000000"/>
          <w:sz w:val="22"/>
          <w:szCs w:val="22"/>
        </w:rPr>
      </w:pPr>
    </w:p>
    <w:p>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pStyle w:val="PargrafodaLista"/>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color w:val="000000"/>
          <w:sz w:val="22"/>
          <w:szCs w:val="22"/>
        </w:rPr>
      </w:pPr>
      <w:proofErr w:type="gramStart"/>
      <w:r>
        <w:rPr>
          <w:rFonts w:ascii="Arial" w:hAnsi="Arial" w:cs="Arial"/>
          <w:i/>
          <w:color w:val="000000"/>
          <w:sz w:val="22"/>
          <w:szCs w:val="22"/>
        </w:rPr>
        <w:t>sendo</w:t>
      </w:r>
      <w:proofErr w:type="gramEnd"/>
      <w:r>
        <w:rPr>
          <w:rFonts w:ascii="Arial" w:hAnsi="Arial" w:cs="Arial"/>
          <w:i/>
          <w:color w:val="000000"/>
          <w:sz w:val="22"/>
          <w:szCs w:val="22"/>
        </w:rPr>
        <w:t>:</w:t>
      </w:r>
    </w:p>
    <w:p>
      <w:pPr>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r>
        <w:rPr>
          <w:rFonts w:ascii="Arial" w:hAnsi="Arial" w:cs="Arial"/>
          <w:i/>
          <w:color w:val="000000"/>
          <w:sz w:val="22"/>
          <w:szCs w:val="22"/>
          <w:highlight w:val="yellow"/>
        </w:rPr>
        <w:t>Nota PN: Favor revisar, conforme aplicável</w:t>
      </w:r>
      <w:r>
        <w:rPr>
          <w:rFonts w:ascii="Arial" w:hAnsi="Arial" w:cs="Arial"/>
          <w:i/>
          <w:color w:val="000000"/>
          <w:sz w:val="22"/>
          <w:szCs w:val="22"/>
        </w:rPr>
        <w:t>]</w:t>
      </w:r>
    </w:p>
    <w:p>
      <w:pPr>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r>
        <w:rPr>
          <w:rFonts w:ascii="Arial" w:hAnsi="Arial" w:cs="Arial"/>
          <w:i/>
          <w:color w:val="000000"/>
          <w:sz w:val="22"/>
          <w:szCs w:val="22"/>
        </w:rPr>
        <w:t>VlrCred</w:t>
      </w:r>
      <w:proofErr w:type="spellEnd"/>
      <w:r>
        <w:rPr>
          <w:rFonts w:ascii="Arial" w:hAnsi="Arial" w:cs="Arial"/>
          <w:i/>
          <w:color w:val="000000"/>
          <w:sz w:val="22"/>
          <w:szCs w:val="22"/>
        </w:rPr>
        <w:t>”: Valor de face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xml:space="preserve"> na data de vencimento;</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 xml:space="preserve">“DI”: Taxa </w:t>
      </w:r>
      <w:proofErr w:type="spellStart"/>
      <w:r>
        <w:rPr>
          <w:rFonts w:ascii="Arial" w:hAnsi="Arial" w:cs="Arial"/>
          <w:i/>
          <w:color w:val="000000"/>
          <w:sz w:val="22"/>
          <w:szCs w:val="22"/>
        </w:rPr>
        <w:t>Pré-DI</w:t>
      </w:r>
      <w:proofErr w:type="spellEnd"/>
      <w:r>
        <w:rPr>
          <w:rFonts w:ascii="Arial" w:hAnsi="Arial" w:cs="Arial"/>
          <w:i/>
          <w:color w:val="000000"/>
          <w:sz w:val="22"/>
          <w:szCs w:val="22"/>
        </w:rPr>
        <w:t xml:space="preserve"> válida no fechamento do dia anterior à respectiva data da cessão e equivalente ao prazo de vencimento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divulgada na forma percentual ao ano, na base 252 (duzentos e cinquenta e dois) dias úteis;</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“%DI”: Percentual DI;</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proofErr w:type="gramStart"/>
      <w:r>
        <w:rPr>
          <w:rFonts w:ascii="Arial" w:hAnsi="Arial" w:cs="Arial"/>
          <w:i/>
          <w:color w:val="000000"/>
          <w:sz w:val="22"/>
          <w:szCs w:val="22"/>
        </w:rPr>
        <w:t>du</w:t>
      </w:r>
      <w:proofErr w:type="spellEnd"/>
      <w:proofErr w:type="gramEnd"/>
      <w:r>
        <w:rPr>
          <w:rFonts w:ascii="Arial" w:hAnsi="Arial" w:cs="Arial"/>
          <w:i/>
          <w:color w:val="000000"/>
          <w:sz w:val="22"/>
          <w:szCs w:val="22"/>
        </w:rPr>
        <w:t>”: quantidade de Dias Úteis entre a Data de Oferta, inclusive, até o recebimento em reserva do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exclusive; e</w:t>
      </w:r>
    </w:p>
    <w:p>
      <w:pPr>
        <w:pStyle w:val="PargrafodaLista"/>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gramStart"/>
      <w:r>
        <w:rPr>
          <w:rFonts w:ascii="Arial" w:hAnsi="Arial" w:cs="Arial"/>
          <w:i/>
          <w:color w:val="000000"/>
          <w:sz w:val="22"/>
          <w:szCs w:val="22"/>
        </w:rPr>
        <w:t>n</w:t>
      </w:r>
      <w:proofErr w:type="gramEnd"/>
      <w:r>
        <w:rPr>
          <w:rFonts w:ascii="Arial" w:hAnsi="Arial" w:cs="Arial"/>
          <w:i/>
          <w:color w:val="000000"/>
          <w:sz w:val="22"/>
          <w:szCs w:val="22"/>
        </w:rPr>
        <w:t>”: quantidade de Direitos Creditórios Elegíveis.</w:t>
      </w: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3.2.1 e excluir a Cláusula 3.2.1.1 do Contrato, que passará a viger com a seguinte redação:</w:t>
      </w:r>
    </w:p>
    <w:p>
      <w:pPr>
        <w:pStyle w:val="p0"/>
        <w:keepNext/>
        <w:widowControl w:val="0"/>
        <w:tabs>
          <w:tab w:val="clear" w:pos="720"/>
        </w:tabs>
        <w:spacing w:line="340" w:lineRule="exact"/>
        <w:ind w:left="709"/>
        <w:rPr>
          <w:rFonts w:ascii="Arial" w:eastAsia="MS Mincho" w:hAnsi="Arial" w:cs="Arial"/>
          <w:b/>
          <w:caps/>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 xml:space="preserve">Aquisição será pago à vista e de forma integral no momento de cada cessão, nos termos da Cláusula 3.1.2 acima. </w:t>
      </w:r>
    </w:p>
    <w:p>
      <w:pPr>
        <w:pStyle w:val="Ttulo1"/>
        <w:tabs>
          <w:tab w:val="clear" w:pos="709"/>
          <w:tab w:val="clear" w:pos="851"/>
        </w:tabs>
        <w:spacing w:line="340" w:lineRule="exact"/>
        <w:jc w:val="both"/>
        <w:rPr>
          <w:rFonts w:ascii="Arial" w:eastAsia="MS Mincho" w:hAnsi="Arial" w:cs="Arial"/>
          <w:b w:val="0"/>
          <w:caps w:val="0"/>
          <w:sz w:val="22"/>
          <w:szCs w:val="22"/>
        </w:rPr>
      </w:pPr>
    </w:p>
    <w:p>
      <w:pPr>
        <w:pStyle w:val="Ttulo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e incluir a Cláusula 8.1.1 do Contrato, que passarão a viger com a seguinte redação:</w:t>
      </w:r>
    </w:p>
    <w:p>
      <w:pPr>
        <w:pStyle w:val="p0"/>
        <w:keepNext/>
        <w:widowControl w:val="0"/>
        <w:tabs>
          <w:tab w:val="clear" w:pos="720"/>
        </w:tabs>
        <w:spacing w:line="340" w:lineRule="exact"/>
        <w:ind w:left="709"/>
        <w:rPr>
          <w:rFonts w:ascii="Arial" w:hAnsi="Arial" w:cs="Arial"/>
          <w:i/>
          <w:sz w:val="22"/>
          <w:szCs w:val="22"/>
        </w:rPr>
      </w:pPr>
    </w:p>
    <w:p>
      <w:pPr>
        <w:pStyle w:val="p0"/>
        <w:keepNext/>
        <w:widowControl w:val="0"/>
        <w:tabs>
          <w:tab w:val="clear" w:pos="720"/>
        </w:tabs>
        <w:spacing w:line="340" w:lineRule="exact"/>
        <w:ind w:left="709"/>
        <w:rPr>
          <w:rFonts w:ascii="Arial" w:eastAsia="MS Mincho" w:hAnsi="Arial" w:cs="Arial"/>
          <w:sz w:val="22"/>
          <w:szCs w:val="22"/>
        </w:rPr>
      </w:pPr>
      <w:r>
        <w:rPr>
          <w:rFonts w:ascii="Arial" w:hAnsi="Arial" w:cs="Arial"/>
          <w:i/>
          <w:sz w:val="22"/>
          <w:szCs w:val="22"/>
        </w:rPr>
        <w:t>8.1.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 xml:space="preserve">O presente Contrato vigorará até [●] de [●] de [●], ficando ressalvadas as hipóteses de resilição do presente Contrato dispostas abaixo. </w:t>
      </w:r>
      <w:r>
        <w:rPr>
          <w:rFonts w:ascii="Arial" w:eastAsia="MS Mincho" w:hAnsi="Arial" w:cs="Arial"/>
          <w:sz w:val="22"/>
          <w:szCs w:val="22"/>
        </w:rPr>
        <w:t>[</w:t>
      </w:r>
      <w:r>
        <w:rPr>
          <w:rFonts w:ascii="Arial" w:eastAsia="MS Mincho" w:hAnsi="Arial" w:cs="Arial"/>
          <w:b/>
          <w:sz w:val="22"/>
          <w:szCs w:val="22"/>
          <w:highlight w:val="yellow"/>
        </w:rPr>
        <w:t>Nota PNA</w:t>
      </w:r>
      <w:r>
        <w:rPr>
          <w:rFonts w:ascii="Arial" w:eastAsia="MS Mincho" w:hAnsi="Arial" w:cs="Arial"/>
          <w:sz w:val="22"/>
          <w:szCs w:val="22"/>
          <w:highlight w:val="yellow"/>
        </w:rPr>
        <w:t>: A ser inserida nova data de vigência do Contrato</w:t>
      </w:r>
      <w:r>
        <w:rPr>
          <w:rFonts w:ascii="Arial" w:eastAsia="MS Mincho" w:hAnsi="Arial" w:cs="Arial"/>
          <w:sz w:val="22"/>
          <w:szCs w:val="22"/>
        </w:rPr>
        <w:t>]</w:t>
      </w:r>
    </w:p>
    <w:p>
      <w:pPr>
        <w:pStyle w:val="p0"/>
        <w:keepNext/>
        <w:widowControl w:val="0"/>
        <w:tabs>
          <w:tab w:val="clear" w:pos="720"/>
        </w:tabs>
        <w:spacing w:line="340" w:lineRule="exact"/>
        <w:ind w:left="709"/>
        <w:rPr>
          <w:rFonts w:ascii="Arial" w:eastAsia="MS Mincho" w:hAnsi="Arial" w:cs="Arial"/>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8.1.1.</w:t>
      </w:r>
      <w:r>
        <w:rPr>
          <w:rFonts w:ascii="Arial" w:eastAsia="MS Mincho" w:hAnsi="Arial" w:cs="Arial"/>
          <w:i/>
          <w:sz w:val="22"/>
          <w:szCs w:val="22"/>
        </w:rPr>
        <w:tab/>
        <w:t>As Partes estabelecem ainda que o Preço de Aquisição a ser pago até a presente data será pago de acordo com o estabelecido originalmente no Contrato, conforme alterado em 3 de outubro de 2018 e em 28 de junho de 2019, inclusive no que diz respeito ao pagamento da anteriormente denominada Parcela Diferida do Preço de Aquisição.</w:t>
      </w:r>
    </w:p>
    <w:p>
      <w:pPr>
        <w:pStyle w:val="p0"/>
        <w:keepNext/>
        <w:widowControl w:val="0"/>
        <w:tabs>
          <w:tab w:val="clear" w:pos="720"/>
        </w:tabs>
        <w:spacing w:line="340" w:lineRule="exact"/>
        <w:ind w:left="709"/>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As Partes resolvem alterar o item (</w:t>
      </w:r>
      <w:proofErr w:type="spellStart"/>
      <w:r>
        <w:rPr>
          <w:rFonts w:ascii="Arial" w:hAnsi="Arial" w:cs="Arial"/>
          <w:b w:val="0"/>
          <w:caps w:val="0"/>
          <w:color w:val="000000"/>
          <w:sz w:val="22"/>
          <w:szCs w:val="22"/>
        </w:rPr>
        <w:t>xii</w:t>
      </w:r>
      <w:proofErr w:type="spellEnd"/>
      <w:r>
        <w:rPr>
          <w:rFonts w:ascii="Arial" w:hAnsi="Arial" w:cs="Arial"/>
          <w:b w:val="0"/>
          <w:caps w:val="0"/>
          <w:color w:val="000000"/>
          <w:sz w:val="22"/>
          <w:szCs w:val="22"/>
        </w:rPr>
        <w:t>) da Cláusula 8.3 do Contrato, que passará a viger com a seguinte redação:</w:t>
      </w:r>
    </w:p>
    <w:p>
      <w:pPr>
        <w:pStyle w:val="Ttulo1"/>
        <w:tabs>
          <w:tab w:val="clear" w:pos="709"/>
          <w:tab w:val="clear" w:pos="851"/>
        </w:tabs>
        <w:spacing w:line="340" w:lineRule="exact"/>
        <w:jc w:val="both"/>
        <w:rPr>
          <w:rFonts w:ascii="Arial" w:hAnsi="Arial" w:cs="Arial"/>
          <w:b w:val="0"/>
          <w:caps w:val="0"/>
          <w:color w:val="000000"/>
          <w:sz w:val="22"/>
          <w:szCs w:val="22"/>
        </w:rPr>
      </w:pPr>
    </w:p>
    <w:p>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w:t>
      </w:r>
      <w:proofErr w:type="spellEnd"/>
      <w:r>
        <w:rPr>
          <w:rFonts w:ascii="Arial" w:eastAsia="MS Mincho" w:hAnsi="Arial" w:cs="Arial"/>
          <w:b/>
          <w:i/>
          <w:sz w:val="22"/>
          <w:szCs w:val="22"/>
        </w:rPr>
        <w:t>)</w:t>
      </w:r>
      <w:r>
        <w:rPr>
          <w:rFonts w:ascii="Arial" w:eastAsia="MS Mincho" w:hAnsi="Arial" w:cs="Arial"/>
          <w:i/>
          <w:sz w:val="22"/>
          <w:szCs w:val="22"/>
        </w:rPr>
        <w:tab/>
        <w:t>caso a Razão de Direitos Creditórios seja, em qualquer data, inferior a 1,00 (um);</w:t>
      </w:r>
    </w:p>
    <w:p>
      <w:pPr>
        <w:pStyle w:val="Ttulo1"/>
        <w:tabs>
          <w:tab w:val="clear" w:pos="709"/>
          <w:tab w:val="clear" w:pos="851"/>
        </w:tabs>
        <w:spacing w:line="340" w:lineRule="exact"/>
        <w:ind w:left="709"/>
        <w:jc w:val="both"/>
        <w:rPr>
          <w:rFonts w:ascii="Arial" w:hAnsi="Arial" w:cs="Arial"/>
          <w:b w:val="0"/>
          <w:caps w:val="0"/>
          <w:color w:val="000000"/>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o Anexo I do Contrato para excluir a definição de “Condições Suspensivas de Pagamento”, o qual passará a viger conforme o Anexo A deste Aditamento.</w:t>
      </w:r>
    </w:p>
    <w:p>
      <w:pPr>
        <w:rPr>
          <w:rFonts w:eastAsia="MS Mincho"/>
          <w:b/>
          <w:caps/>
        </w:rPr>
      </w:pPr>
    </w:p>
    <w:p>
      <w:pPr>
        <w:pStyle w:val="Ttulo1"/>
        <w:numPr>
          <w:ilvl w:val="1"/>
          <w:numId w:val="4"/>
        </w:numPr>
        <w:tabs>
          <w:tab w:val="clear" w:pos="709"/>
          <w:tab w:val="clear" w:pos="851"/>
        </w:tabs>
        <w:spacing w:line="340" w:lineRule="exact"/>
        <w:ind w:left="0" w:firstLine="0"/>
        <w:jc w:val="both"/>
        <w:rPr>
          <w:rFonts w:eastAsia="MS Mincho"/>
        </w:rPr>
      </w:pPr>
      <w:r>
        <w:rPr>
          <w:rFonts w:ascii="Arial" w:eastAsia="MS Mincho" w:hAnsi="Arial" w:cs="Arial"/>
          <w:b w:val="0"/>
          <w:caps w:val="0"/>
          <w:sz w:val="22"/>
          <w:szCs w:val="22"/>
        </w:rPr>
        <w:t>As Partes resolvem, ainda, alterar o Anexo IV ao Contrato para excluir os subitens ‘a’ e ‘b’ do item 3, que passará a viger conforme o Anexo B a este Aditamento.</w:t>
      </w:r>
    </w:p>
    <w:p>
      <w:pPr>
        <w:rPr>
          <w:rFonts w:eastAsia="MS Mincho"/>
          <w:b/>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9.6 do Contrato, que passará a viger com a seguinte redação:</w:t>
      </w:r>
    </w:p>
    <w:p>
      <w:pPr>
        <w:rPr>
          <w:rFonts w:eastAsia="MS Mincho"/>
        </w:rPr>
      </w:pPr>
    </w:p>
    <w:p>
      <w:pPr>
        <w:pStyle w:val="p0"/>
        <w:widowControl w:val="0"/>
        <w:spacing w:line="340" w:lineRule="exact"/>
        <w:ind w:left="709"/>
        <w:rPr>
          <w:rFonts w:ascii="Arial" w:hAnsi="Arial" w:cs="Arial"/>
          <w:i/>
          <w:sz w:val="22"/>
          <w:szCs w:val="22"/>
        </w:rPr>
      </w:pPr>
      <w:r>
        <w:rPr>
          <w:rFonts w:ascii="Arial" w:hAnsi="Arial" w:cs="Arial"/>
          <w:i/>
          <w:sz w:val="22"/>
          <w:szCs w:val="22"/>
        </w:rPr>
        <w:t>9.6.</w:t>
      </w:r>
      <w:r>
        <w:rPr>
          <w:rFonts w:ascii="Arial" w:hAnsi="Arial" w:cs="Arial"/>
          <w:i/>
          <w:sz w:val="22"/>
          <w:szCs w:val="22"/>
        </w:rPr>
        <w:tab/>
        <w:t>Na hipótese de resilição deste Contrato pela Cedente antes do término do prazo de vigência, de Evento de Resilição Automática e/ou de Evento de Resilição Não Automática, a Cedente deverá arcar com multa não compensatória em montante equivalente ao prêmio de resgate obrigatório das Debêntures a ser pago pelo Cessionário em decorrência de tal resilição. [</w:t>
      </w:r>
      <w:r>
        <w:rPr>
          <w:rFonts w:ascii="Arial" w:hAnsi="Arial" w:cs="Arial"/>
          <w:i/>
          <w:sz w:val="22"/>
          <w:szCs w:val="22"/>
          <w:highlight w:val="yellow"/>
        </w:rPr>
        <w:t>Nota PN: Sob validação da Stone</w:t>
      </w:r>
      <w:r>
        <w:rPr>
          <w:rFonts w:ascii="Arial" w:hAnsi="Arial" w:cs="Arial"/>
          <w:i/>
          <w:sz w:val="22"/>
          <w:szCs w:val="22"/>
        </w:rPr>
        <w:t>]</w:t>
      </w:r>
    </w:p>
    <w:p>
      <w:pPr>
        <w:pStyle w:val="p0"/>
        <w:widowControl w:val="0"/>
        <w:spacing w:line="340" w:lineRule="exact"/>
        <w:ind w:left="709"/>
        <w:rPr>
          <w:rFonts w:eastAsia="MS Mincho"/>
          <w:b/>
          <w:i/>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pPr>
        <w:widowControl w:val="0"/>
        <w:spacing w:line="340" w:lineRule="exact"/>
        <w:rPr>
          <w:rFonts w:ascii="Arial" w:eastAsia="MS Mincho" w:hAnsi="Arial" w:cs="Arial"/>
          <w:sz w:val="22"/>
          <w:szCs w:val="22"/>
        </w:rPr>
      </w:pPr>
      <w:bookmarkStart w:id="40" w:name="_DV_M89"/>
      <w:bookmarkStart w:id="41" w:name="_DV_M90"/>
      <w:bookmarkStart w:id="42" w:name="_DV_M91"/>
      <w:bookmarkStart w:id="43" w:name="_DV_M92"/>
      <w:bookmarkStart w:id="44" w:name="_DV_M101"/>
      <w:bookmarkStart w:id="45" w:name="_DV_M102"/>
      <w:bookmarkStart w:id="46" w:name="_DV_M104"/>
      <w:bookmarkStart w:id="47" w:name="_DV_M105"/>
      <w:bookmarkStart w:id="48" w:name="_DV_M106"/>
      <w:bookmarkStart w:id="49" w:name="_DV_M107"/>
      <w:bookmarkStart w:id="50" w:name="_DV_M109"/>
      <w:bookmarkStart w:id="51" w:name="_DV_M116"/>
      <w:bookmarkStart w:id="52" w:name="_DV_M119"/>
      <w:bookmarkStart w:id="53" w:name="_DV_M120"/>
      <w:bookmarkStart w:id="54" w:name="_DV_M121"/>
      <w:bookmarkStart w:id="55" w:name="_DV_M125"/>
      <w:bookmarkStart w:id="56" w:name="_DV_M130"/>
      <w:bookmarkStart w:id="57" w:name="_DV_M134"/>
      <w:bookmarkStart w:id="58" w:name="_DV_M135"/>
      <w:bookmarkStart w:id="59" w:name="_DV_M138"/>
      <w:bookmarkStart w:id="60" w:name="_DV_M139"/>
      <w:bookmarkStart w:id="61" w:name="_DV_M195"/>
      <w:bookmarkStart w:id="62" w:name="_DV_M196"/>
      <w:bookmarkStart w:id="63" w:name="_DV_M197"/>
      <w:bookmarkStart w:id="64" w:name="_DV_M198"/>
      <w:bookmarkStart w:id="65" w:name="_DV_M200"/>
      <w:bookmarkStart w:id="66" w:name="_DV_M201"/>
      <w:bookmarkStart w:id="67" w:name="_DV_M202"/>
      <w:bookmarkStart w:id="68" w:name="_DV_M205"/>
      <w:bookmarkStart w:id="69" w:name="_DV_M206"/>
      <w:bookmarkStart w:id="70" w:name="_DV_M208"/>
      <w:bookmarkStart w:id="71" w:name="_DV_M211"/>
      <w:bookmarkStart w:id="72" w:name="_DV_M214"/>
      <w:bookmarkStart w:id="73" w:name="_DV_M217"/>
      <w:bookmarkStart w:id="74" w:name="_DV_M219"/>
      <w:bookmarkStart w:id="75" w:name="_DV_M220"/>
      <w:bookmarkStart w:id="76" w:name="_DV_M221"/>
      <w:bookmarkStart w:id="77" w:name="_DV_M222"/>
      <w:bookmarkStart w:id="78" w:name="_DV_M223"/>
      <w:bookmarkStart w:id="79" w:name="_DV_M224"/>
      <w:bookmarkStart w:id="80" w:name="_DV_M225"/>
      <w:bookmarkStart w:id="81" w:name="_DV_M227"/>
      <w:bookmarkStart w:id="82" w:name="_DV_M231"/>
      <w:bookmarkStart w:id="83" w:name="_DV_M233"/>
      <w:bookmarkStart w:id="84" w:name="_DV_M234"/>
      <w:bookmarkStart w:id="85" w:name="_DV_M236"/>
      <w:bookmarkStart w:id="86" w:name="_DV_M238"/>
      <w:bookmarkStart w:id="87" w:name="_DV_M239"/>
      <w:bookmarkStart w:id="88" w:name="_DV_M240"/>
      <w:bookmarkStart w:id="89" w:name="_DV_M241"/>
      <w:bookmarkStart w:id="90" w:name="_DV_M242"/>
      <w:bookmarkStart w:id="91" w:name="_DV_M249"/>
      <w:bookmarkStart w:id="92" w:name="_DV_M247"/>
      <w:bookmarkStart w:id="93" w:name="_DV_M248"/>
      <w:bookmarkStart w:id="94" w:name="_DV_M250"/>
      <w:bookmarkStart w:id="95" w:name="_DV_M251"/>
      <w:bookmarkStart w:id="96" w:name="_DV_M252"/>
      <w:bookmarkStart w:id="97" w:name="_DV_M253"/>
      <w:bookmarkStart w:id="98" w:name="_DV_M255"/>
      <w:bookmarkStart w:id="99" w:name="_DV_M256"/>
      <w:bookmarkStart w:id="100" w:name="_DV_M257"/>
      <w:bookmarkStart w:id="101" w:name="_DV_M258"/>
      <w:bookmarkStart w:id="102" w:name="_DV_M260"/>
      <w:bookmarkStart w:id="103" w:name="_DV_M262"/>
      <w:bookmarkStart w:id="104" w:name="_DV_M263"/>
      <w:bookmarkStart w:id="105" w:name="_DV_M264"/>
      <w:bookmarkStart w:id="106" w:name="_DV_M265"/>
      <w:bookmarkStart w:id="107" w:name="_DV_M266"/>
      <w:bookmarkStart w:id="108" w:name="_DV_M268"/>
      <w:bookmarkStart w:id="109" w:name="_DV_M270"/>
      <w:bookmarkStart w:id="110" w:name="_DV_M272"/>
      <w:bookmarkStart w:id="111" w:name="_DV_M273"/>
      <w:bookmarkStart w:id="112" w:name="_DV_M274"/>
      <w:bookmarkStart w:id="113" w:name="_DV_M276"/>
      <w:bookmarkStart w:id="114" w:name="_DV_M278"/>
      <w:bookmarkStart w:id="115" w:name="_DV_M279"/>
      <w:bookmarkStart w:id="116" w:name="_DV_M280"/>
      <w:bookmarkStart w:id="117" w:name="_DV_M281"/>
      <w:bookmarkStart w:id="118" w:name="_DV_M282"/>
      <w:bookmarkStart w:id="119" w:name="_DV_M284"/>
      <w:bookmarkStart w:id="120" w:name="_DV_M285"/>
      <w:bookmarkStart w:id="121" w:name="_DV_M287"/>
      <w:bookmarkStart w:id="122" w:name="_DV_M291"/>
      <w:bookmarkStart w:id="123" w:name="_DV_M292"/>
      <w:bookmarkStart w:id="124" w:name="_DV_M293"/>
      <w:bookmarkStart w:id="125" w:name="_DV_M296"/>
      <w:bookmarkStart w:id="126" w:name="_DV_M300"/>
      <w:bookmarkStart w:id="127" w:name="_DV_M301"/>
      <w:bookmarkStart w:id="128" w:name="_DV_M302"/>
      <w:bookmarkStart w:id="129" w:name="_DV_M304"/>
      <w:bookmarkStart w:id="130" w:name="_DV_M305"/>
      <w:bookmarkStart w:id="131" w:name="_DV_M308"/>
      <w:bookmarkStart w:id="132" w:name="_DV_M376"/>
      <w:bookmarkStart w:id="133" w:name="_DV_M379"/>
      <w:bookmarkStart w:id="134" w:name="_DV_M382"/>
      <w:bookmarkStart w:id="135" w:name="_DV_M383"/>
      <w:bookmarkStart w:id="136" w:name="_DV_M389"/>
      <w:bookmarkStart w:id="137" w:name="_DV_M391"/>
      <w:bookmarkStart w:id="138" w:name="_DV_M401"/>
      <w:bookmarkStart w:id="139" w:name="_DV_M403"/>
      <w:bookmarkStart w:id="140" w:name="_DV_M404"/>
      <w:bookmarkStart w:id="141" w:name="_DV_M405"/>
      <w:bookmarkStart w:id="142" w:name="_DV_M406"/>
      <w:bookmarkStart w:id="143" w:name="_DV_M407"/>
      <w:bookmarkStart w:id="144" w:name="_DV_M408"/>
      <w:bookmarkStart w:id="145" w:name="_DV_M409"/>
      <w:bookmarkStart w:id="146" w:name="_DV_M410"/>
      <w:bookmarkStart w:id="147" w:name="_DV_M411"/>
      <w:bookmarkStart w:id="148" w:name="_DV_M412"/>
      <w:bookmarkStart w:id="149" w:name="_DV_M413"/>
      <w:bookmarkStart w:id="150" w:name="_DV_M414"/>
      <w:bookmarkStart w:id="151" w:name="_DV_M415"/>
      <w:bookmarkStart w:id="152" w:name="_DV_M417"/>
      <w:bookmarkStart w:id="153" w:name="_DV_M424"/>
      <w:bookmarkStart w:id="154" w:name="_DV_M445"/>
      <w:bookmarkStart w:id="155" w:name="_DV_M446"/>
      <w:bookmarkStart w:id="156" w:name="_DV_M447"/>
      <w:bookmarkStart w:id="157" w:name="_DV_M44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Ttulo1"/>
        <w:widowControl w:val="0"/>
        <w:numPr>
          <w:ilvl w:val="0"/>
          <w:numId w:val="4"/>
        </w:numPr>
        <w:spacing w:line="340" w:lineRule="exact"/>
        <w:jc w:val="both"/>
        <w:rPr>
          <w:rFonts w:ascii="Arial" w:eastAsia="MS Mincho" w:hAnsi="Arial" w:cs="Arial"/>
          <w:sz w:val="22"/>
          <w:szCs w:val="22"/>
        </w:rPr>
      </w:pPr>
      <w:bookmarkStart w:id="158" w:name="_DV_M449"/>
      <w:bookmarkStart w:id="159" w:name="_Hlk46225202"/>
      <w:bookmarkStart w:id="160" w:name="_Toc54144763"/>
      <w:bookmarkEnd w:id="158"/>
      <w:r>
        <w:rPr>
          <w:rFonts w:ascii="Arial" w:eastAsia="MS Mincho" w:hAnsi="Arial" w:cs="Arial"/>
          <w:b w:val="0"/>
          <w:bCs w:val="0"/>
          <w:caps w:val="0"/>
          <w:sz w:val="22"/>
          <w:szCs w:val="22"/>
        </w:rPr>
        <w:t xml:space="preserve"> </w:t>
      </w:r>
      <w:r>
        <w:rPr>
          <w:rFonts w:ascii="Arial" w:eastAsia="MS Mincho" w:hAnsi="Arial" w:cs="Arial"/>
          <w:sz w:val="22"/>
          <w:szCs w:val="22"/>
        </w:rPr>
        <w:t xml:space="preserve">CLÁUSULA TERCEIRA - </w:t>
      </w:r>
      <w:bookmarkStart w:id="161" w:name="_DV_M450"/>
      <w:bookmarkEnd w:id="161"/>
      <w:r>
        <w:rPr>
          <w:rFonts w:ascii="Arial" w:eastAsia="MS Mincho" w:hAnsi="Arial" w:cs="Arial"/>
          <w:sz w:val="22"/>
          <w:szCs w:val="22"/>
        </w:rPr>
        <w:t>DAS DISPOSIÇÕES FINAIS</w:t>
      </w:r>
      <w:bookmarkEnd w:id="159"/>
      <w:bookmarkEnd w:id="160"/>
    </w:p>
    <w:p>
      <w:pPr>
        <w:pStyle w:val="Rodap"/>
        <w:keepNext/>
        <w:widowControl w:val="0"/>
        <w:tabs>
          <w:tab w:val="clear" w:pos="4419"/>
          <w:tab w:val="clear" w:pos="8838"/>
        </w:tabs>
        <w:spacing w:line="340" w:lineRule="exact"/>
        <w:rPr>
          <w:rFonts w:ascii="Arial" w:eastAsia="MS Mincho" w:hAnsi="Arial" w:cs="Arial"/>
          <w:sz w:val="22"/>
          <w:szCs w:val="22"/>
        </w:rPr>
      </w:pPr>
    </w:p>
    <w:p>
      <w:pPr>
        <w:pStyle w:val="Rodap"/>
        <w:widowControl w:val="0"/>
        <w:numPr>
          <w:ilvl w:val="1"/>
          <w:numId w:val="4"/>
        </w:numPr>
        <w:tabs>
          <w:tab w:val="clear" w:pos="4419"/>
          <w:tab w:val="clear" w:pos="8838"/>
        </w:tabs>
        <w:spacing w:line="340" w:lineRule="exact"/>
        <w:ind w:left="0" w:firstLine="0"/>
        <w:rPr>
          <w:rFonts w:ascii="Arial" w:hAnsi="Arial" w:cs="Arial"/>
          <w:sz w:val="22"/>
          <w:szCs w:val="22"/>
        </w:rPr>
      </w:pPr>
      <w:bookmarkStart w:id="162" w:name="_DV_M451"/>
      <w:bookmarkEnd w:id="162"/>
      <w:r>
        <w:rPr>
          <w:rFonts w:ascii="Arial" w:eastAsia="MS Mincho" w:hAnsi="Arial" w:cs="Arial"/>
          <w:sz w:val="22"/>
          <w:szCs w:val="22"/>
          <w:u w:val="single"/>
        </w:rPr>
        <w:t>Título Executivo Extrajudicial</w:t>
      </w:r>
      <w:r>
        <w:rPr>
          <w:rFonts w:ascii="Arial" w:eastAsia="MS Mincho" w:hAnsi="Arial" w:cs="Arial"/>
          <w:sz w:val="22"/>
          <w:szCs w:val="22"/>
        </w:rPr>
        <w:t xml:space="preserve">. As Partes reconhecem que este Aditamento constitui título executivo extrajudicial para todos os fins e efeitos do artigo 784, inciso III, do Código de Processo Civil, reconhecendo, desde já, a liquidez e certeza de quaisquer obrigações pecuniárias previstas neste Aditamento </w:t>
      </w:r>
      <w:bookmarkStart w:id="163" w:name="_DV_M453"/>
      <w:bookmarkEnd w:id="163"/>
      <w:r>
        <w:rPr>
          <w:rFonts w:ascii="Arial" w:eastAsia="MS Mincho" w:hAnsi="Arial" w:cs="Arial"/>
          <w:sz w:val="22"/>
          <w:szCs w:val="22"/>
        </w:rPr>
        <w:t xml:space="preserve">que venham a ser cobradas por meio de processo de execução por quantia certa contra devedor solvente. </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64" w:name="_DV_M454"/>
      <w:bookmarkStart w:id="165" w:name="_DV_M455"/>
      <w:bookmarkEnd w:id="164"/>
      <w:bookmarkEnd w:id="165"/>
    </w:p>
    <w:p>
      <w:pPr>
        <w:pStyle w:val="PargrafodaLista"/>
        <w:widowControl w:val="0"/>
        <w:numPr>
          <w:ilvl w:val="1"/>
          <w:numId w:val="4"/>
        </w:numPr>
        <w:spacing w:line="340" w:lineRule="exact"/>
        <w:ind w:left="0" w:firstLine="0"/>
        <w:rPr>
          <w:rFonts w:ascii="Arial" w:hAnsi="Arial" w:cs="Arial"/>
          <w:sz w:val="22"/>
          <w:szCs w:val="22"/>
        </w:rPr>
      </w:pPr>
      <w:bookmarkStart w:id="166" w:name="_DV_M456"/>
      <w:bookmarkEnd w:id="166"/>
      <w:r>
        <w:rPr>
          <w:rFonts w:ascii="Arial" w:hAnsi="Arial" w:cs="Arial"/>
          <w:sz w:val="22"/>
          <w:szCs w:val="22"/>
          <w:u w:val="single"/>
        </w:rPr>
        <w:t>Exigibilidade das Obrigações</w:t>
      </w:r>
      <w:r>
        <w:rPr>
          <w:rFonts w:ascii="Arial" w:hAnsi="Arial" w:cs="Arial"/>
          <w:sz w:val="22"/>
          <w:szCs w:val="22"/>
        </w:rPr>
        <w:t>. Observados os prazos estabelecidos neste Aditamento</w:t>
      </w:r>
      <w:bookmarkStart w:id="167" w:name="_DV_M457"/>
      <w:bookmarkEnd w:id="167"/>
      <w:r>
        <w:rPr>
          <w:rFonts w:ascii="Arial" w:hAnsi="Arial" w:cs="Arial"/>
          <w:sz w:val="22"/>
          <w:szCs w:val="22"/>
        </w:rPr>
        <w:t xml:space="preserve">, e exceto se previsto de maneira diversa neste Aditamento ou no Contrato, as obrigações de fazer e não fazer </w:t>
      </w:r>
      <w:bookmarkStart w:id="168" w:name="_DV_C669"/>
      <w:r>
        <w:rPr>
          <w:rStyle w:val="DeltaViewInsertion"/>
          <w:rFonts w:ascii="Arial" w:hAnsi="Arial" w:cs="Arial"/>
          <w:color w:val="auto"/>
          <w:sz w:val="22"/>
          <w:szCs w:val="22"/>
          <w:u w:val="none"/>
        </w:rPr>
        <w:t xml:space="preserve">aqui </w:t>
      </w:r>
      <w:bookmarkStart w:id="169" w:name="_DV_M458"/>
      <w:bookmarkEnd w:id="168"/>
      <w:bookmarkEnd w:id="169"/>
      <w:r>
        <w:rPr>
          <w:rFonts w:ascii="Arial" w:hAnsi="Arial" w:cs="Arial"/>
          <w:sz w:val="22"/>
          <w:szCs w:val="22"/>
        </w:rPr>
        <w:t>previstas</w:t>
      </w:r>
      <w:bookmarkStart w:id="170" w:name="_DV_M459"/>
      <w:bookmarkEnd w:id="170"/>
      <w:r>
        <w:rPr>
          <w:rFonts w:ascii="Arial" w:hAnsi="Arial" w:cs="Arial"/>
          <w:sz w:val="22"/>
          <w:szCs w:val="22"/>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à obtenção do resultado prático equivalente, por meio das medidas a que se refere o parágrafo 1º do artigo 536 do Código de Processo Civil.</w:t>
      </w:r>
    </w:p>
    <w:p>
      <w:pPr>
        <w:widowControl w:val="0"/>
        <w:spacing w:line="340" w:lineRule="exact"/>
        <w:rPr>
          <w:rFonts w:ascii="Arial" w:eastAsia="MS Mincho"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bookmarkStart w:id="171" w:name="_DV_M460"/>
      <w:bookmarkEnd w:id="171"/>
      <w:r>
        <w:rPr>
          <w:rFonts w:ascii="Arial" w:hAnsi="Arial" w:cs="Arial"/>
          <w:sz w:val="22"/>
          <w:szCs w:val="22"/>
        </w:rPr>
        <w:t>As Partes desde já expressamente reconhecem que o comprovante de recebimento da notificação mencionada na Cláusula 12.3 do Contrato, acompanhado dos documentos que a tenham fundamentado, será bastante para instruir o pedido de tutela específica da obrigação descumprida.</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72" w:name="_DV_M461"/>
      <w:bookmarkStart w:id="173" w:name="_DV_M465"/>
      <w:bookmarkStart w:id="174" w:name="_DV_M466"/>
      <w:bookmarkStart w:id="175" w:name="_DV_M467"/>
      <w:bookmarkStart w:id="176" w:name="_DV_M468"/>
      <w:bookmarkStart w:id="177" w:name="_DV_M469"/>
      <w:bookmarkStart w:id="178" w:name="_DV_M470"/>
      <w:bookmarkStart w:id="179" w:name="_DV_M472"/>
      <w:bookmarkStart w:id="180" w:name="_DV_M473"/>
      <w:bookmarkStart w:id="181" w:name="_DV_M474"/>
      <w:bookmarkStart w:id="182" w:name="_DV_M475"/>
      <w:bookmarkEnd w:id="172"/>
      <w:bookmarkEnd w:id="173"/>
      <w:bookmarkEnd w:id="174"/>
      <w:bookmarkEnd w:id="175"/>
      <w:bookmarkEnd w:id="176"/>
      <w:bookmarkEnd w:id="177"/>
      <w:bookmarkEnd w:id="178"/>
      <w:bookmarkEnd w:id="179"/>
      <w:bookmarkEnd w:id="180"/>
      <w:bookmarkEnd w:id="181"/>
      <w:bookmarkEnd w:id="182"/>
    </w:p>
    <w:p>
      <w:pPr>
        <w:pStyle w:val="PargrafodaLista"/>
        <w:widowControl w:val="0"/>
        <w:numPr>
          <w:ilvl w:val="1"/>
          <w:numId w:val="4"/>
        </w:numPr>
        <w:spacing w:line="340" w:lineRule="exact"/>
        <w:ind w:left="0" w:firstLine="0"/>
        <w:rPr>
          <w:rFonts w:ascii="Arial" w:hAnsi="Arial" w:cs="Arial"/>
          <w:sz w:val="22"/>
          <w:szCs w:val="22"/>
        </w:rPr>
      </w:pPr>
      <w:bookmarkStart w:id="183" w:name="_DV_M476"/>
      <w:bookmarkEnd w:id="183"/>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184" w:name="_DV_M477"/>
      <w:bookmarkEnd w:id="184"/>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 xml:space="preserve">em caráter irrevogável e irretratável, obrigando-se ao seu fiel, pontual e integral cumprimento, por si e seus sucessores, a qualquer título. </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5" w:name="_DV_M478"/>
      <w:bookmarkEnd w:id="185"/>
      <w:r>
        <w:rPr>
          <w:rFonts w:ascii="Arial" w:hAnsi="Arial" w:cs="Arial"/>
          <w:sz w:val="22"/>
          <w:szCs w:val="22"/>
          <w:u w:val="single"/>
        </w:rPr>
        <w:t>Anexos</w:t>
      </w:r>
      <w:r>
        <w:rPr>
          <w:rFonts w:ascii="Arial" w:hAnsi="Arial" w:cs="Arial"/>
          <w:sz w:val="22"/>
          <w:szCs w:val="22"/>
        </w:rPr>
        <w:t xml:space="preserve">. Os apêndices e anexos a este </w:t>
      </w:r>
      <w:bookmarkStart w:id="186" w:name="_DV_M479"/>
      <w:bookmarkEnd w:id="186"/>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o teor e/ou sua interpretação </w:t>
      </w:r>
      <w:bookmarkStart w:id="187" w:name="_DV_M480"/>
      <w:bookmarkEnd w:id="187"/>
      <w:r>
        <w:rPr>
          <w:rFonts w:ascii="Arial" w:hAnsi="Arial" w:cs="Arial"/>
          <w:sz w:val="22"/>
          <w:szCs w:val="22"/>
        </w:rPr>
        <w:t xml:space="preserve">deste Aditamento e de seus Anexos, prevalecerão as disposições deste </w:t>
      </w:r>
      <w:bookmarkStart w:id="188" w:name="_DV_M481"/>
      <w:bookmarkEnd w:id="188"/>
      <w:r>
        <w:rPr>
          <w:rFonts w:ascii="Arial" w:hAnsi="Arial" w:cs="Arial"/>
          <w:sz w:val="22"/>
          <w:szCs w:val="22"/>
        </w:rPr>
        <w:t xml:space="preserve">Aditamento, dado o caráter complementar dos Anexos. Reconhecem as Partes a unicidade e </w:t>
      </w:r>
      <w:proofErr w:type="spellStart"/>
      <w:r>
        <w:rPr>
          <w:rFonts w:ascii="Arial" w:hAnsi="Arial" w:cs="Arial"/>
          <w:sz w:val="22"/>
          <w:szCs w:val="22"/>
        </w:rPr>
        <w:t>incindibilidade</w:t>
      </w:r>
      <w:proofErr w:type="spellEnd"/>
      <w:r>
        <w:rPr>
          <w:rFonts w:ascii="Arial" w:hAnsi="Arial" w:cs="Arial"/>
          <w:sz w:val="22"/>
          <w:szCs w:val="22"/>
        </w:rPr>
        <w:t xml:space="preserve"> das disposições deste Aditamento e dos Anexos, que deverão ser interpretados de forma harmônica e sistemática, tendo como parâmetro a natureza do negócio celebrado entre as Partes.</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9" w:name="_DV_M483"/>
      <w:bookmarkEnd w:id="189"/>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Aditamento </w:t>
      </w:r>
      <w:bookmarkStart w:id="190" w:name="_DV_M484"/>
      <w:bookmarkEnd w:id="190"/>
      <w:r>
        <w:rPr>
          <w:rFonts w:ascii="Arial" w:hAnsi="Arial" w:cs="Arial"/>
          <w:sz w:val="22"/>
          <w:szCs w:val="22"/>
        </w:rPr>
        <w:t>for declarada nula, inválida, inexigível ou for anulável, tal nulidade, invalidade, inexequibilidade ou anulabilidade não prejudicará a vigência das demais Cláusulas deste Aditamento não atingidas pela declaração de nulidade, invalidade, inexequibilidade ou anulabilidade.</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91" w:name="_DV_M486"/>
      <w:bookmarkEnd w:id="191"/>
      <w:r>
        <w:rPr>
          <w:rFonts w:ascii="Arial" w:hAnsi="Arial" w:cs="Arial"/>
          <w:sz w:val="22"/>
          <w:szCs w:val="22"/>
          <w:u w:val="single"/>
        </w:rPr>
        <w:t>Tolerância</w:t>
      </w:r>
      <w:r>
        <w:rPr>
          <w:rFonts w:ascii="Arial" w:hAnsi="Arial" w:cs="Arial"/>
          <w:sz w:val="22"/>
          <w:szCs w:val="22"/>
        </w:rPr>
        <w:t xml:space="preserve">. A tolerância de uma das Partes diante do não cumprimento, pela outra Parte, de quaisquer das obrigações decorrentes deste Aditamento não constituirá novação, ou mesmo precedente que por algum modo ou para algum fim libere as Partes de efetivá-las, assim como as demais obrigações decorrentes deste </w:t>
      </w:r>
      <w:bookmarkStart w:id="192" w:name="_DV_M487"/>
      <w:bookmarkStart w:id="193" w:name="_DV_M488"/>
      <w:bookmarkStart w:id="194" w:name="_DV_M489"/>
      <w:bookmarkEnd w:id="192"/>
      <w:bookmarkEnd w:id="193"/>
      <w:bookmarkEnd w:id="194"/>
      <w:r>
        <w:rPr>
          <w:rFonts w:ascii="Arial" w:hAnsi="Arial" w:cs="Arial"/>
          <w:sz w:val="22"/>
          <w:szCs w:val="22"/>
        </w:rPr>
        <w:t>Aditamento.</w:t>
      </w:r>
    </w:p>
    <w:p>
      <w:pPr>
        <w:pStyle w:val="PargrafodaLista"/>
        <w:widowControl w:val="0"/>
        <w:spacing w:line="340" w:lineRule="exact"/>
        <w:ind w:left="0"/>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O não exercício, pelas Partes, de qualquer dos direitos que lhes asseguram este Aditamento e as leis não constituirá causa de alteração ou novação contratual e não prejudicará o exercício desses direitos em épocas subsequentes ou em idêntica ocorrência posterior.</w:t>
      </w:r>
    </w:p>
    <w:p>
      <w:pPr>
        <w:pStyle w:val="PargrafodaLista"/>
        <w:widowControl w:val="0"/>
        <w:spacing w:line="340" w:lineRule="exact"/>
        <w:ind w:left="709"/>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 xml:space="preserve">Qualquer exceção existente neste Aditamento que venha a ser criada no futuro, com relação a qualquer dispositivo ou declaração constante deste Aditamento limita-se estritamente à Cláusula, </w:t>
      </w:r>
      <w:proofErr w:type="spellStart"/>
      <w:r>
        <w:rPr>
          <w:rFonts w:ascii="Arial" w:hAnsi="Arial" w:cs="Arial"/>
          <w:sz w:val="22"/>
          <w:szCs w:val="22"/>
        </w:rPr>
        <w:t>sub-cláusula</w:t>
      </w:r>
      <w:proofErr w:type="spellEnd"/>
      <w:r>
        <w:rPr>
          <w:rFonts w:ascii="Arial" w:hAnsi="Arial" w:cs="Arial"/>
          <w:sz w:val="22"/>
          <w:szCs w:val="22"/>
        </w:rPr>
        <w:t xml:space="preserve"> ou alínea onde expressamente se insere tal exceção e não poderá ser utilizada para interpretar ou criar exceções ou exonerações com relação a outras Cláusulas, </w:t>
      </w:r>
      <w:proofErr w:type="spellStart"/>
      <w:r>
        <w:rPr>
          <w:rFonts w:ascii="Arial" w:hAnsi="Arial" w:cs="Arial"/>
          <w:sz w:val="22"/>
          <w:szCs w:val="22"/>
        </w:rPr>
        <w:t>sub-cláusula</w:t>
      </w:r>
      <w:proofErr w:type="spellEnd"/>
      <w:r>
        <w:rPr>
          <w:rFonts w:ascii="Arial" w:hAnsi="Arial" w:cs="Arial"/>
          <w:sz w:val="22"/>
          <w:szCs w:val="22"/>
        </w:rPr>
        <w:t xml:space="preserve"> ou alíneas.</w:t>
      </w:r>
    </w:p>
    <w:p>
      <w:pPr>
        <w:pStyle w:val="PargrafodaLista"/>
        <w:widowControl w:val="0"/>
        <w:spacing w:line="340" w:lineRule="exact"/>
        <w:ind w:left="0"/>
        <w:rPr>
          <w:rFonts w:ascii="Arial" w:hAnsi="Arial" w:cs="Arial"/>
          <w:sz w:val="22"/>
          <w:szCs w:val="22"/>
        </w:rPr>
      </w:pPr>
      <w:bookmarkStart w:id="195" w:name="_DV_M490"/>
      <w:bookmarkEnd w:id="195"/>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só admitem renúncia por escrito e específica. A celebração deste Aditamento e o não exercício, total ou parcial, pelas Partes, de qualquer direito decorrente do presente Aditamento e das leis não consistirão causa de alteração, nem implicarão novação da obrigação ou renúncia ao respectivo direito por seu titular em épocas subsequentes ou em idêntica ocorrência posterior.</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Se qualquer termo, disposição e avença constante do presente Aditamento for considerado inexequível, inválido ou ilegal por qualquer razão, os demais termos e disposições continuarão em pleno efeito e vigência, tal como se este Aditamento tivesse sido firmado com a eliminação do trecho inexequível, inválido ou ilegal, sendo que tal inexequibilidade, invalidade ou ilegalidade não afetará de outra forma a exequibilidade, validade ou legalidade dos termos e disposições remanescentes, desde que o presente Aditamento , assim modificado, continue a expressar, sem alterações relevantes, as intenções originais das Partes com relação ao objeto do presente Aditamento e desde que a eliminação do trecho não prejudique, de forma essencial, os respectivos benefícios e expectativas das Partes.</w:t>
      </w:r>
    </w:p>
    <w:p>
      <w:pPr>
        <w:pStyle w:val="PargrafodaLista"/>
        <w:widowControl w:val="0"/>
        <w:spacing w:line="340" w:lineRule="exact"/>
        <w:ind w:left="0"/>
        <w:rPr>
          <w:rFonts w:ascii="Arial" w:hAnsi="Arial" w:cs="Arial"/>
          <w:sz w:val="22"/>
          <w:szCs w:val="22"/>
        </w:rPr>
      </w:pPr>
      <w:bookmarkStart w:id="196" w:name="_DV_M492"/>
      <w:bookmarkEnd w:id="196"/>
    </w:p>
    <w:p>
      <w:pPr>
        <w:pStyle w:val="PargrafodaLista"/>
        <w:widowControl w:val="0"/>
        <w:numPr>
          <w:ilvl w:val="1"/>
          <w:numId w:val="4"/>
        </w:numPr>
        <w:spacing w:line="340" w:lineRule="exact"/>
        <w:ind w:left="0" w:firstLine="0"/>
        <w:rPr>
          <w:rFonts w:ascii="Arial" w:hAnsi="Arial" w:cs="Arial"/>
          <w:sz w:val="22"/>
          <w:szCs w:val="22"/>
        </w:rPr>
      </w:pPr>
      <w:bookmarkStart w:id="197" w:name="_DV_M494"/>
      <w:bookmarkStart w:id="198" w:name="_DV_M497"/>
      <w:bookmarkStart w:id="199" w:name="_DV_M498"/>
      <w:bookmarkStart w:id="200" w:name="_DV_M499"/>
      <w:bookmarkEnd w:id="197"/>
      <w:bookmarkEnd w:id="198"/>
      <w:bookmarkEnd w:id="199"/>
      <w:bookmarkEnd w:id="200"/>
      <w:r>
        <w:rPr>
          <w:rFonts w:ascii="Arial" w:hAnsi="Arial" w:cs="Arial"/>
          <w:sz w:val="22"/>
          <w:szCs w:val="22"/>
          <w:u w:val="single"/>
        </w:rPr>
        <w:t>Probidade e Boa-fé</w:t>
      </w:r>
      <w:r>
        <w:rPr>
          <w:rFonts w:ascii="Arial" w:hAnsi="Arial" w:cs="Arial"/>
          <w:sz w:val="22"/>
          <w:szCs w:val="22"/>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201" w:name="_DV_C707"/>
      <w:r>
        <w:rPr>
          <w:rFonts w:ascii="Arial" w:hAnsi="Arial" w:cs="Arial"/>
          <w:sz w:val="22"/>
          <w:szCs w:val="22"/>
        </w:rPr>
        <w:t>equidade.</w:t>
      </w:r>
      <w:bookmarkEnd w:id="201"/>
    </w:p>
    <w:p>
      <w:pPr>
        <w:widowControl w:val="0"/>
        <w:spacing w:line="340" w:lineRule="exact"/>
        <w:rPr>
          <w:rFonts w:ascii="Arial" w:eastAsia="MS Mincho" w:hAnsi="Arial" w:cs="Arial"/>
          <w:sz w:val="22"/>
          <w:szCs w:val="22"/>
        </w:rPr>
      </w:pPr>
      <w:bookmarkStart w:id="202" w:name="_DV_C708"/>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Observados os termos e as condições contidos no presente Aditamento, a Cedente e o Cessionário acordam em envidar seus melhores esforços de modo a adotar ou garantir a adoção das medidas ou dos atos que venham a ser necessários ou convenientes de acordo com a legislação aplicável de modo a cumprir e observar o disposto no presente Aditamento.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pPr>
        <w:pStyle w:val="PargrafodaLista"/>
        <w:widowControl w:val="0"/>
        <w:tabs>
          <w:tab w:val="left" w:pos="0"/>
          <w:tab w:val="left" w:pos="709"/>
        </w:tabs>
        <w:spacing w:line="340" w:lineRule="exact"/>
        <w:ind w:left="792"/>
        <w:rPr>
          <w:rFonts w:ascii="Arial" w:hAnsi="Arial" w:cs="Arial"/>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pPr>
        <w:keepNext/>
        <w:spacing w:line="340" w:lineRule="exact"/>
        <w:rPr>
          <w:rFonts w:ascii="Arial" w:eastAsia="MS Mincho" w:hAnsi="Arial" w:cs="Arial"/>
          <w:sz w:val="22"/>
          <w:szCs w:val="22"/>
        </w:rPr>
      </w:pPr>
    </w:p>
    <w:p>
      <w:pPr>
        <w:pStyle w:val="PargrafodaLista"/>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Todos os custos decorrentes do registro a que se refere a Cláusula 4.1 acima serão pagos pelo Cessionário.</w:t>
      </w:r>
    </w:p>
    <w:p>
      <w:pPr>
        <w:widowControl w:val="0"/>
        <w:spacing w:line="340" w:lineRule="exact"/>
        <w:rPr>
          <w:rFonts w:ascii="Arial" w:eastAsia="MS Mincho" w:hAnsi="Arial" w:cs="Arial"/>
          <w:color w:val="FF0000"/>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5.1.</w:t>
      </w:r>
      <w:r>
        <w:rPr>
          <w:rFonts w:ascii="Arial" w:hAnsi="Arial" w:cs="Arial"/>
          <w:sz w:val="22"/>
          <w:szCs w:val="22"/>
        </w:rPr>
        <w:tab/>
      </w:r>
      <w:r>
        <w:rPr>
          <w:rFonts w:ascii="Arial" w:hAnsi="Arial" w:cs="Arial"/>
          <w:sz w:val="22"/>
          <w:szCs w:val="22"/>
          <w:u w:val="single"/>
        </w:rPr>
        <w:t>Foro</w:t>
      </w:r>
      <w:r>
        <w:rPr>
          <w:rFonts w:ascii="Arial" w:hAnsi="Arial" w:cs="Arial"/>
          <w:sz w:val="22"/>
          <w:szCs w:val="22"/>
        </w:rPr>
        <w:t>. As Partes neste ato elegem o Foro da Cidade de São Paulo, Estado de São Paulo, com expressa exclusão de qualquer outro, ainda que privilegiado, como competente para dirimir quaisquer dúvidas e/ou questões oriundas deste Aditamento ou dos Termos de Cessão.</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u w:val="single"/>
        </w:rPr>
        <w:t>Legislação Aplicável</w:t>
      </w:r>
      <w:r>
        <w:rPr>
          <w:rFonts w:ascii="Arial" w:hAnsi="Arial" w:cs="Arial"/>
          <w:sz w:val="22"/>
          <w:szCs w:val="22"/>
        </w:rPr>
        <w:t>. O presente Aditamento será regido e interpretado em conformidade com as leis da República Federativa do Brasil.</w:t>
      </w:r>
    </w:p>
    <w:bookmarkEnd w:id="202"/>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rPr>
          <w:rFonts w:ascii="Arial" w:eastAsia="MS Mincho" w:hAnsi="Arial" w:cs="Arial"/>
          <w:sz w:val="22"/>
          <w:szCs w:val="22"/>
        </w:rPr>
      </w:pPr>
      <w:bookmarkStart w:id="203" w:name="_DV_M507"/>
      <w:bookmarkEnd w:id="203"/>
      <w:r>
        <w:rPr>
          <w:rFonts w:ascii="Arial" w:eastAsia="MS Mincho" w:hAnsi="Arial" w:cs="Arial"/>
          <w:sz w:val="22"/>
          <w:szCs w:val="22"/>
        </w:rPr>
        <w:t xml:space="preserve">E, por estarem justas e contratadas, firmam o presente </w:t>
      </w:r>
      <w:bookmarkStart w:id="204" w:name="_DV_M508"/>
      <w:bookmarkEnd w:id="204"/>
      <w:r>
        <w:rPr>
          <w:rFonts w:ascii="Arial" w:eastAsia="MS Mincho" w:hAnsi="Arial" w:cs="Arial"/>
          <w:sz w:val="22"/>
          <w:szCs w:val="22"/>
        </w:rPr>
        <w:t>Aditamento em 4 (quatro) vias de igual teor e forma, para os mesmos fins e efeitos de direito, obrigando-se por si, por seus sucessores ou cessionários a qualquer título, na presença das duas testemunhas abaixo assinadas.</w:t>
      </w:r>
    </w:p>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jc w:val="center"/>
        <w:rPr>
          <w:rFonts w:ascii="Arial" w:eastAsia="MS Mincho" w:hAnsi="Arial" w:cs="Arial"/>
          <w:sz w:val="22"/>
          <w:szCs w:val="22"/>
        </w:rPr>
      </w:pPr>
      <w:bookmarkStart w:id="205" w:name="_DV_M509"/>
      <w:bookmarkStart w:id="206" w:name="_DV_C717"/>
      <w:bookmarkEnd w:id="205"/>
      <w:r>
        <w:rPr>
          <w:rStyle w:val="DeltaViewDeletion"/>
          <w:rFonts w:ascii="Arial" w:eastAsia="MS Mincho" w:hAnsi="Arial" w:cs="Arial"/>
          <w:strike w:val="0"/>
          <w:color w:val="auto"/>
          <w:sz w:val="22"/>
          <w:szCs w:val="22"/>
        </w:rPr>
        <w:t xml:space="preserve">São Paulo, </w:t>
      </w:r>
      <w:bookmarkEnd w:id="206"/>
      <w:r>
        <w:rPr>
          <w:rStyle w:val="DeltaViewDeletion"/>
          <w:rFonts w:ascii="Arial" w:eastAsia="MS Mincho" w:hAnsi="Arial" w:cs="Arial"/>
          <w:strike w:val="0"/>
          <w:color w:val="auto"/>
          <w:sz w:val="22"/>
          <w:szCs w:val="22"/>
        </w:rPr>
        <w:t xml:space="preserve">[●] de setembro de 2021. </w:t>
      </w:r>
    </w:p>
    <w:p>
      <w:pPr>
        <w:autoSpaceDE/>
        <w:autoSpaceDN/>
        <w:adjustRightInd/>
        <w:spacing w:line="340" w:lineRule="exact"/>
        <w:jc w:val="left"/>
        <w:rPr>
          <w:rFonts w:ascii="Arial" w:eastAsia="MS Mincho" w:hAnsi="Arial" w:cs="Arial"/>
          <w:sz w:val="22"/>
          <w:szCs w:val="22"/>
        </w:rPr>
      </w:pPr>
    </w:p>
    <w:p>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i/>
          <w:sz w:val="22"/>
          <w:szCs w:val="22"/>
        </w:rPr>
      </w:pPr>
    </w:p>
    <w:p>
      <w:pPr>
        <w:pStyle w:val="Default"/>
        <w:spacing w:line="340" w:lineRule="exact"/>
        <w:rPr>
          <w:rFonts w:ascii="Arial" w:hAnsi="Arial" w:cs="Arial"/>
          <w:sz w:val="22"/>
          <w:szCs w:val="22"/>
        </w:rPr>
      </w:pPr>
    </w:p>
    <w:p>
      <w:pPr>
        <w:pStyle w:val="Default"/>
        <w:spacing w:line="340" w:lineRule="exact"/>
        <w:rPr>
          <w:rFonts w:ascii="Arial" w:hAnsi="Arial" w:cs="Arial"/>
          <w:sz w:val="22"/>
          <w:szCs w:val="22"/>
        </w:rPr>
      </w:pPr>
    </w:p>
    <w:p>
      <w:pPr>
        <w:spacing w:line="340" w:lineRule="exact"/>
        <w:jc w:val="center"/>
        <w:rPr>
          <w:rFonts w:ascii="Arial" w:hAnsi="Arial" w:cs="Arial"/>
          <w:b/>
          <w:sz w:val="22"/>
          <w:szCs w:val="22"/>
        </w:rPr>
      </w:pPr>
      <w:r>
        <w:rPr>
          <w:rFonts w:ascii="Arial" w:hAnsi="Arial" w:cs="Arial"/>
          <w:b/>
          <w:sz w:val="22"/>
          <w:szCs w:val="22"/>
        </w:rPr>
        <w:t>STONE PAGAMENTOS S.A.</w:t>
      </w:r>
    </w:p>
    <w:p>
      <w:pPr>
        <w:spacing w:line="340" w:lineRule="exact"/>
        <w:rPr>
          <w:rFonts w:ascii="Arial" w:hAnsi="Arial" w:cs="Arial"/>
          <w:b/>
          <w:sz w:val="22"/>
          <w:szCs w:val="22"/>
        </w:rPr>
      </w:pPr>
    </w:p>
    <w:p>
      <w:pPr>
        <w:spacing w:line="340" w:lineRule="exact"/>
        <w:rPr>
          <w:rFonts w:ascii="Arial" w:hAnsi="Arial" w:cs="Arial"/>
          <w:sz w:val="22"/>
          <w:szCs w:val="22"/>
        </w:rPr>
      </w:pPr>
    </w:p>
    <w:p>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hAnsi="Arial" w:cs="Arial"/>
          <w:bCs/>
          <w:i/>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sz w:val="22"/>
          <w:szCs w:val="22"/>
        </w:rPr>
        <w:t>SRC COMPANHIA SECURITIZADORA DE CRÉDITOS FINANCEIROS</w:t>
      </w:r>
      <w:r>
        <w:rPr>
          <w:rFonts w:ascii="Arial" w:hAnsi="Arial" w:cs="Arial"/>
          <w:bCs/>
          <w:sz w:val="22"/>
          <w:szCs w:val="22"/>
        </w:rPr>
        <w:t>, na qualidade de Cessionário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jc w:val="both"/>
        <w:rPr>
          <w:rFonts w:ascii="Arial" w:hAnsi="Arial" w:cs="Arial"/>
          <w:i/>
          <w:sz w:val="22"/>
          <w:szCs w:val="22"/>
        </w:rPr>
      </w:pPr>
      <w:r>
        <w:rPr>
          <w:rFonts w:ascii="Arial" w:hAnsi="Arial" w:cs="Arial"/>
          <w:i/>
          <w:sz w:val="22"/>
          <w:szCs w:val="22"/>
        </w:rPr>
        <w:t xml:space="preserve">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xml:space="preserve">, na qualidade de </w:t>
      </w:r>
      <w:proofErr w:type="spellStart"/>
      <w:r>
        <w:rPr>
          <w:rFonts w:ascii="Arial" w:hAnsi="Arial" w:cs="Arial"/>
          <w:bCs/>
          <w:sz w:val="22"/>
          <w:szCs w:val="22"/>
        </w:rPr>
        <w:t>Servicer</w:t>
      </w:r>
      <w:proofErr w:type="spellEnd"/>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pPr>
        <w:pStyle w:val="BodyText22"/>
        <w:keepNext/>
        <w:spacing w:line="340" w:lineRule="exact"/>
        <w:rPr>
          <w:rFonts w:ascii="Arial" w:eastAsia="MS Mincho" w:hAnsi="Arial" w:cs="Arial"/>
          <w:sz w:val="22"/>
          <w:szCs w:val="22"/>
        </w:rPr>
      </w:pPr>
    </w:p>
    <w:p>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trPr>
          <w:trHeight w:val="472"/>
          <w:jc w:val="center"/>
        </w:trPr>
        <w:tc>
          <w:tcPr>
            <w:tcW w:w="4083"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jc w:val="left"/>
        <w:rPr>
          <w:rFonts w:ascii="Arial" w:eastAsia="MS Mincho" w:hAnsi="Arial" w:cs="Arial"/>
          <w:b/>
          <w:bCs/>
          <w:sz w:val="22"/>
          <w:szCs w:val="22"/>
          <w:u w:val="single"/>
        </w:rPr>
      </w:pPr>
      <w:r>
        <w:rPr>
          <w:rFonts w:ascii="Arial" w:eastAsia="MS Mincho" w:hAnsi="Arial" w:cs="Arial"/>
          <w:b/>
          <w:bCs/>
          <w:sz w:val="22"/>
          <w:szCs w:val="22"/>
          <w:u w:val="single"/>
        </w:rPr>
        <w:br w:type="page"/>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ANEXO A AO</w:t>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pPr>
        <w:pStyle w:val="Default"/>
        <w:widowControl/>
        <w:rPr>
          <w:rFonts w:ascii="Arial" w:eastAsia="MS Mincho" w:hAnsi="Arial" w:cs="Arial"/>
          <w:b/>
          <w:bCs/>
          <w:color w:val="auto"/>
          <w:sz w:val="22"/>
          <w:szCs w:val="22"/>
        </w:rPr>
      </w:pPr>
      <w:bookmarkStart w:id="207" w:name="_DV_M261"/>
      <w:bookmarkEnd w:id="207"/>
    </w:p>
    <w:p>
      <w:pPr>
        <w:pStyle w:val="Ttulo1"/>
        <w:keepNext w:val="0"/>
        <w:widowControl w:val="0"/>
        <w:spacing w:line="340" w:lineRule="exact"/>
        <w:rPr>
          <w:rFonts w:ascii="Arial" w:eastAsia="MS Mincho" w:hAnsi="Arial" w:cs="Arial"/>
          <w:i/>
          <w:caps w:val="0"/>
          <w:sz w:val="22"/>
          <w:szCs w:val="22"/>
          <w:u w:val="single"/>
        </w:rPr>
      </w:pPr>
      <w:r>
        <w:rPr>
          <w:rFonts w:ascii="Arial" w:eastAsia="MS Mincho" w:hAnsi="Arial" w:cs="Arial"/>
          <w:i/>
          <w:caps w:val="0"/>
          <w:sz w:val="22"/>
          <w:szCs w:val="22"/>
          <w:u w:val="single"/>
        </w:rPr>
        <w:t xml:space="preserve">ANEXO I </w:t>
      </w:r>
    </w:p>
    <w:p>
      <w:pPr>
        <w:spacing w:line="340" w:lineRule="exact"/>
        <w:jc w:val="center"/>
        <w:rPr>
          <w:rFonts w:ascii="Arial" w:eastAsia="MS Mincho" w:hAnsi="Arial" w:cs="Arial"/>
          <w:b/>
          <w:i/>
          <w:sz w:val="22"/>
          <w:szCs w:val="22"/>
        </w:rPr>
      </w:pPr>
      <w:r>
        <w:rPr>
          <w:rFonts w:ascii="Arial" w:eastAsia="MS Mincho" w:hAnsi="Arial" w:cs="Arial"/>
          <w:b/>
          <w:i/>
          <w:sz w:val="22"/>
          <w:szCs w:val="22"/>
        </w:rPr>
        <w:t>AO</w:t>
      </w:r>
    </w:p>
    <w:p>
      <w:pPr>
        <w:spacing w:line="340" w:lineRule="exact"/>
        <w:jc w:val="center"/>
        <w:rPr>
          <w:rFonts w:ascii="Arial" w:eastAsia="MS Mincho" w:hAnsi="Arial" w:cs="Arial"/>
          <w:b/>
          <w:i/>
          <w:sz w:val="22"/>
          <w:szCs w:val="22"/>
        </w:rPr>
      </w:pPr>
      <w:r>
        <w:rPr>
          <w:rStyle w:val="DeltaViewInsertion"/>
          <w:rFonts w:ascii="Arial" w:hAnsi="Arial" w:cs="Arial"/>
          <w:b/>
          <w:i/>
          <w:color w:val="auto"/>
          <w:sz w:val="22"/>
          <w:szCs w:val="22"/>
          <w:u w:val="none"/>
        </w:rPr>
        <w:t xml:space="preserve">CONTRATO DE PROMESSA DE CESSÃO E AQUISIÇÃO DE DIREITOS CREDITÓRIOS E OUTRAS AVENÇAS </w:t>
      </w:r>
    </w:p>
    <w:p>
      <w:pPr>
        <w:pStyle w:val="Ttulo1"/>
        <w:keepNext w:val="0"/>
        <w:widowControl w:val="0"/>
        <w:spacing w:line="340" w:lineRule="exact"/>
        <w:rPr>
          <w:rFonts w:ascii="Arial" w:eastAsia="MS Mincho" w:hAnsi="Arial" w:cs="Arial"/>
          <w:i/>
          <w:caps w:val="0"/>
          <w:sz w:val="22"/>
          <w:szCs w:val="22"/>
        </w:rPr>
      </w:pPr>
      <w:r>
        <w:rPr>
          <w:rFonts w:ascii="Arial" w:eastAsia="MS Mincho" w:hAnsi="Arial" w:cs="Arial"/>
          <w:i/>
          <w:caps w:val="0"/>
          <w:sz w:val="22"/>
          <w:szCs w:val="22"/>
        </w:rPr>
        <w:t>DAS DEFINIÇÕES</w:t>
      </w:r>
    </w:p>
    <w:p>
      <w:pPr>
        <w:widowControl w:val="0"/>
        <w:tabs>
          <w:tab w:val="left" w:pos="0"/>
          <w:tab w:val="left" w:pos="709"/>
        </w:tabs>
        <w:spacing w:line="340" w:lineRule="exact"/>
        <w:jc w:val="left"/>
        <w:rPr>
          <w:rFonts w:ascii="Arial" w:eastAsia="MS Mincho" w:hAnsi="Arial" w:cs="Arial"/>
          <w:i/>
          <w:sz w:val="22"/>
          <w:szCs w:val="22"/>
        </w:rPr>
      </w:pPr>
    </w:p>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Os termos e expressões, em maiúscula, em sua forma singular ou plural, utilizados no presente Contrato e seus Anexos e neles não definidos têm o mesmo significado que lhes é atribuído nas definições abaixo:</w:t>
      </w:r>
    </w:p>
    <w:p>
      <w:pPr>
        <w:pStyle w:val="Default"/>
        <w:widowControl/>
        <w:rPr>
          <w:rFonts w:ascii="Arial" w:hAnsi="Arial" w:cs="Arial"/>
          <w:i/>
          <w:sz w:val="22"/>
          <w:szCs w:val="22"/>
        </w:rPr>
      </w:pPr>
    </w:p>
    <w:tbl>
      <w:tblPr>
        <w:tblW w:w="9038" w:type="dxa"/>
        <w:tblInd w:w="-34" w:type="dxa"/>
        <w:tblLook w:val="01E0" w:firstRow="1" w:lastRow="1" w:firstColumn="1" w:lastColumn="1" w:noHBand="0" w:noVBand="0"/>
      </w:tblPr>
      <w:tblGrid>
        <w:gridCol w:w="34"/>
        <w:gridCol w:w="3531"/>
        <w:gridCol w:w="121"/>
        <w:gridCol w:w="5279"/>
        <w:gridCol w:w="73"/>
      </w:tblGrid>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Agente Fiduciário</w:t>
            </w: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w:t>
            </w:r>
            <w:r>
              <w:rPr>
                <w:rFonts w:ascii="Arial" w:hAnsi="Arial" w:cs="Arial"/>
                <w:b/>
                <w:bCs/>
                <w:i/>
                <w:smallCaps/>
                <w:sz w:val="22"/>
                <w:szCs w:val="22"/>
              </w:rPr>
              <w:t>SIMPLIFIC PAVARINI DISTRIBUIDORA DE TÍTULOS E VALORES MOBILIÁRIOS LTDA.</w:t>
            </w:r>
            <w:r>
              <w:rPr>
                <w:rFonts w:ascii="Arial" w:hAnsi="Arial" w:cs="Arial"/>
                <w:bCs/>
                <w:i/>
                <w:smallCaps/>
                <w:sz w:val="22"/>
                <w:szCs w:val="22"/>
              </w:rPr>
              <w:t>,</w:t>
            </w:r>
            <w:r>
              <w:rPr>
                <w:rFonts w:ascii="Arial" w:hAnsi="Arial" w:cs="Arial"/>
                <w:b/>
                <w:bCs/>
                <w:i/>
                <w:smallCaps/>
                <w:sz w:val="22"/>
                <w:szCs w:val="22"/>
              </w:rPr>
              <w:t xml:space="preserve"> </w:t>
            </w:r>
            <w:r>
              <w:rPr>
                <w:rFonts w:ascii="Arial" w:hAnsi="Arial" w:cs="Arial"/>
                <w:bCs/>
                <w:i/>
                <w:sz w:val="22"/>
                <w:szCs w:val="22"/>
              </w:rPr>
              <w:t>instituição financeira, com domicílio na Rua Joaquim Floriano 466, sala 1401, sala 1.401, Itaim Bibi, na Cidade de São Paulo, Estado de São Paulo, inscrita no CNPJ/MF sob o nº 15.227.994/0004-01, sob o NIRE 35.9.0530605-7</w:t>
            </w:r>
            <w:r>
              <w:rPr>
                <w:rFonts w:ascii="Arial" w:eastAsia="MS Mincho" w:hAnsi="Arial" w:cs="Arial"/>
                <w:i/>
                <w:sz w:val="22"/>
                <w:szCs w:val="22"/>
              </w:rPr>
              <w:t>.</w:t>
            </w:r>
          </w:p>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“Aviso de Recebimento” expedido pela Empresa Brasileira de Correios e Telégrafos.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13"/>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Anexos</w:t>
            </w:r>
          </w:p>
        </w:tc>
        <w:tc>
          <w:tcPr>
            <w:tcW w:w="5473" w:type="dxa"/>
            <w:gridSpan w:val="3"/>
            <w:shd w:val="clear" w:color="auto" w:fill="auto"/>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anexos a este Contrato, dele partes integrantes e inseparáveis, conforme disposto na Cláusula 12.6 do presente Contrato.</w:t>
            </w:r>
          </w:p>
        </w:tc>
      </w:tr>
      <w:tr>
        <w:trPr>
          <w:gridBefore w:val="1"/>
          <w:wBefore w:w="34" w:type="dxa"/>
          <w:trHeight w:val="95"/>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shd w:val="clear" w:color="auto" w:fill="auto"/>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Arranjo de Pagamento</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i/>
                <w:sz w:val="22"/>
                <w:szCs w:val="22"/>
              </w:rPr>
              <w:t>é</w:t>
            </w:r>
            <w:proofErr w:type="gramEnd"/>
            <w:r>
              <w:rPr>
                <w:rFonts w:ascii="Arial" w:hAnsi="Arial" w:cs="Arial"/>
                <w:i/>
                <w:sz w:val="22"/>
                <w:szCs w:val="22"/>
              </w:rPr>
              <w:t xml:space="preserve"> o conjunto de regras e procedimentos estabelecidos pela Bandeira que disciplina a prestação de determinado serviço de pagamento ao público, tais como as atividades de</w:t>
            </w:r>
            <w:r>
              <w:rPr>
                <w:rFonts w:ascii="Arial" w:hAnsi="Arial" w:cs="Arial"/>
                <w:bCs/>
                <w:i/>
                <w:sz w:val="22"/>
                <w:szCs w:val="22"/>
              </w:rPr>
              <w:t xml:space="preserve"> emissão de Instrumentos de Pagamento e o credenciamento de Estabelecimentos Credenciados</w:t>
            </w:r>
            <w:r>
              <w:rPr>
                <w:rFonts w:ascii="Arial" w:hAnsi="Arial" w:cs="Arial"/>
                <w:i/>
                <w:sz w:val="22"/>
                <w:szCs w:val="22"/>
              </w:rPr>
              <w:t>, bem como</w:t>
            </w:r>
            <w:r>
              <w:rPr>
                <w:rFonts w:ascii="Arial" w:hAnsi="Arial" w:cs="Arial"/>
                <w:bCs/>
                <w:i/>
                <w:sz w:val="22"/>
                <w:szCs w:val="22"/>
              </w:rPr>
              <w:t xml:space="preserve"> define o uso de padrões operacionais e de segurança associados a essas atividades, nos termos da legislação aplicável, em especial a Lei 12.865/13, a Resolução CMN 4.282/13 e a Circular BACEN 3.885/18.</w:t>
            </w: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Arquivos Adicionais dos Direitos Creditórios</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bCs/>
                <w:i/>
                <w:sz w:val="22"/>
                <w:szCs w:val="22"/>
              </w:rPr>
              <w:t>os</w:t>
            </w:r>
            <w:proofErr w:type="gramEnd"/>
            <w:r>
              <w:rPr>
                <w:rFonts w:ascii="Arial" w:hAnsi="Arial" w:cs="Arial"/>
                <w:bCs/>
                <w:i/>
                <w:sz w:val="22"/>
                <w:szCs w:val="22"/>
              </w:rPr>
              <w:t xml:space="preserve"> registros eletrônicos, padronizados pelo Sistema Stone e que contém informações a respeito das características dos Direitos Creditórios, permitindo sua identificação individualizada, nos moldes do </w:t>
            </w:r>
            <w:r>
              <w:rPr>
                <w:rFonts w:ascii="Arial" w:hAnsi="Arial" w:cs="Arial"/>
                <w:b/>
                <w:bCs/>
                <w:i/>
                <w:sz w:val="22"/>
                <w:szCs w:val="22"/>
                <w:u w:val="single"/>
              </w:rPr>
              <w:t>Anexo XI</w:t>
            </w:r>
            <w:r>
              <w:rPr>
                <w:rFonts w:ascii="Arial" w:hAnsi="Arial" w:cs="Arial"/>
                <w:bCs/>
                <w:i/>
                <w:sz w:val="22"/>
                <w:szCs w:val="22"/>
              </w:rPr>
              <w:t xml:space="preserve"> a este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b/>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Envio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b/>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na Cláusula 3.1.1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Notificação de Resolução de Cessão</w:t>
            </w:r>
          </w:p>
        </w:tc>
        <w:tc>
          <w:tcPr>
            <w:tcW w:w="5473" w:type="dxa"/>
            <w:gridSpan w:val="3"/>
          </w:tcPr>
          <w:p>
            <w:pPr>
              <w:pStyle w:val="Corpodetexto"/>
              <w:widowControl w:val="0"/>
              <w:spacing w:line="340" w:lineRule="exact"/>
              <w:jc w:val="left"/>
              <w:rPr>
                <w:rFonts w:ascii="Arial" w:eastAsia="MS Mincho" w:hAnsi="Arial" w:cs="Arial"/>
                <w:b w:val="0"/>
                <w:i/>
                <w:sz w:val="22"/>
                <w:szCs w:val="22"/>
              </w:rPr>
            </w:pPr>
            <w:proofErr w:type="gramStart"/>
            <w:r>
              <w:rPr>
                <w:rFonts w:ascii="Arial" w:eastAsia="MS Mincho" w:hAnsi="Arial" w:cs="Arial"/>
                <w:b w:val="0"/>
                <w:i/>
                <w:sz w:val="22"/>
                <w:szCs w:val="22"/>
              </w:rPr>
              <w:t>tem</w:t>
            </w:r>
            <w:proofErr w:type="gramEnd"/>
            <w:r>
              <w:rPr>
                <w:rFonts w:ascii="Arial" w:eastAsia="MS Mincho" w:hAnsi="Arial" w:cs="Arial"/>
                <w:b w:val="0"/>
                <w:i/>
                <w:sz w:val="22"/>
                <w:szCs w:val="22"/>
              </w:rPr>
              <w:t xml:space="preserve"> o significado que lhe é atribuído na Cláusula 5.1.1.1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left"/>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Arquivo Resposta de Resolução de Cessão</w:t>
            </w:r>
          </w:p>
        </w:tc>
        <w:tc>
          <w:tcPr>
            <w:tcW w:w="5473" w:type="dxa"/>
            <w:gridSpan w:val="3"/>
          </w:tcPr>
          <w:p>
            <w:pPr>
              <w:pStyle w:val="Corpodetexto"/>
              <w:widowControl w:val="0"/>
              <w:spacing w:line="340" w:lineRule="exact"/>
              <w:jc w:val="left"/>
              <w:rPr>
                <w:rFonts w:ascii="Arial" w:eastAsia="MS Mincho" w:hAnsi="Arial" w:cs="Arial"/>
                <w:b w:val="0"/>
                <w:i/>
                <w:sz w:val="22"/>
                <w:szCs w:val="22"/>
              </w:rPr>
            </w:pPr>
            <w:proofErr w:type="gramStart"/>
            <w:r>
              <w:rPr>
                <w:rFonts w:ascii="Arial" w:eastAsia="MS Mincho" w:hAnsi="Arial" w:cs="Arial"/>
                <w:b w:val="0"/>
                <w:i/>
                <w:sz w:val="22"/>
                <w:szCs w:val="22"/>
              </w:rPr>
              <w:t>tem</w:t>
            </w:r>
            <w:proofErr w:type="gramEnd"/>
            <w:r>
              <w:rPr>
                <w:rFonts w:ascii="Arial" w:eastAsia="MS Mincho" w:hAnsi="Arial" w:cs="Arial"/>
                <w:b w:val="0"/>
                <w:i/>
                <w:sz w:val="22"/>
                <w:szCs w:val="22"/>
              </w:rPr>
              <w:t xml:space="preserve"> o significado que lhe é atribuído na Cláusula 5.1.1.2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Arquivo de Retorno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 3.1.1(</w:t>
            </w:r>
            <w:proofErr w:type="spellStart"/>
            <w:r>
              <w:rPr>
                <w:rFonts w:ascii="Arial" w:eastAsia="MS Mincho" w:hAnsi="Arial" w:cs="Arial"/>
                <w:i/>
                <w:sz w:val="22"/>
                <w:szCs w:val="22"/>
              </w:rPr>
              <w:t>ii</w:t>
            </w:r>
            <w:proofErr w:type="spellEnd"/>
            <w:r>
              <w:rPr>
                <w:rFonts w:ascii="Arial" w:eastAsia="MS Mincho" w:hAnsi="Arial" w:cs="Arial"/>
                <w:i/>
                <w:sz w:val="22"/>
                <w:szCs w:val="22"/>
              </w:rPr>
              <w:t>)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Assinatura Eletrônica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assinatura eletrônica em portal da rede mundial de computadores com chave da Infraestrutura de Chaves Públicas – ICP Brasil.</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26"/>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BACEN</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Banco Central do Brasil.</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Depositários</w:t>
            </w:r>
          </w:p>
          <w:p>
            <w:pPr>
              <w:widowControl w:val="0"/>
              <w:tabs>
                <w:tab w:val="left" w:pos="0"/>
                <w:tab w:val="left" w:pos="709"/>
                <w:tab w:val="left" w:pos="5812"/>
              </w:tabs>
              <w:spacing w:line="340" w:lineRule="exact"/>
              <w:jc w:val="left"/>
              <w:rPr>
                <w:rFonts w:ascii="Arial"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VOTORANTIM S.A.</w:t>
            </w:r>
            <w:r>
              <w:rPr>
                <w:rFonts w:ascii="Arial" w:eastAsia="Calibri" w:hAnsi="Arial" w:cs="Arial"/>
                <w:i/>
                <w:sz w:val="22"/>
                <w:szCs w:val="22"/>
              </w:rPr>
              <w:t xml:space="preserve">, instituição financeira com sede na cidade de </w:t>
            </w:r>
            <w:r>
              <w:rPr>
                <w:rFonts w:ascii="Arial" w:eastAsia="Calibri" w:hAnsi="Arial" w:cs="Arial"/>
                <w:i/>
                <w:iCs/>
                <w:sz w:val="22"/>
                <w:szCs w:val="22"/>
              </w:rPr>
              <w:t>São Paulo, estado de São Paulo, na Avenida das Nações Unidas, nº 14.171, Torre A, 18° andar, inscrita no CNPJ/MF sob o nº 59.588.111/0001-03</w:t>
            </w:r>
            <w:r>
              <w:rPr>
                <w:rFonts w:ascii="Arial" w:eastAsia="Calibri" w:hAnsi="Arial" w:cs="Arial"/>
                <w:i/>
                <w:sz w:val="22"/>
                <w:szCs w:val="22"/>
              </w:rPr>
              <w:t>, instituição financeira na qual a Cedente mantém uma Conta Centralizadora da Cedente; (</w:t>
            </w:r>
            <w:proofErr w:type="spellStart"/>
            <w:r>
              <w:rPr>
                <w:rFonts w:ascii="Arial" w:eastAsia="Calibri" w:hAnsi="Arial" w:cs="Arial"/>
                <w:i/>
                <w:sz w:val="22"/>
                <w:szCs w:val="22"/>
              </w:rPr>
              <w:t>ii</w:t>
            </w:r>
            <w:proofErr w:type="spellEnd"/>
            <w:r>
              <w:rPr>
                <w:rFonts w:ascii="Arial" w:eastAsia="Calibri" w:hAnsi="Arial" w:cs="Arial"/>
                <w:i/>
                <w:sz w:val="22"/>
                <w:szCs w:val="22"/>
              </w:rPr>
              <w:t xml:space="preserve">)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financeira com sede na cidade de São Paulo, estado de São Paulo, na Avenida Paulista, nº 1111, 2º andar – parte, inscrito no CNPJ/MF sob o nº 33.479.023/0001-80,</w:t>
            </w:r>
            <w:r>
              <w:rPr>
                <w:rFonts w:ascii="Arial" w:hAnsi="Arial" w:cs="Arial"/>
                <w:b/>
                <w:i/>
                <w:sz w:val="22"/>
                <w:szCs w:val="22"/>
              </w:rPr>
              <w:t xml:space="preserve"> </w:t>
            </w:r>
            <w:r>
              <w:rPr>
                <w:rFonts w:ascii="Arial" w:eastAsia="Calibri" w:hAnsi="Arial" w:cs="Arial"/>
                <w:i/>
                <w:sz w:val="22"/>
                <w:szCs w:val="22"/>
              </w:rPr>
              <w:t>instituição financeira na qual a Cedente mantém uma Conta Centralizadora da Cedente;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instituição financeira que venha a ser contratada pela Cedente para manter uma Conta Centralizadora da Cedente, desde que (A) a instituição financeira contratada seja um Banco Depositário Pré-Aprovado </w:t>
            </w:r>
            <w:r>
              <w:rPr>
                <w:rFonts w:ascii="Arial" w:eastAsia="Calibri" w:hAnsi="Arial" w:cs="Arial"/>
                <w:i/>
                <w:sz w:val="22"/>
                <w:szCs w:val="22"/>
                <w:u w:val="single"/>
              </w:rPr>
              <w:t>ou</w:t>
            </w:r>
            <w:r>
              <w:rPr>
                <w:rFonts w:ascii="Arial" w:eastAsia="Calibri" w:hAnsi="Arial" w:cs="Arial"/>
                <w:i/>
                <w:sz w:val="22"/>
                <w:szCs w:val="22"/>
              </w:rPr>
              <w:t xml:space="preserve"> tenha </w:t>
            </w:r>
            <w:r>
              <w:rPr>
                <w:rFonts w:ascii="Arial" w:hAnsi="Arial" w:cs="Arial"/>
                <w:i/>
                <w:sz w:val="22"/>
                <w:szCs w:val="22"/>
              </w:rPr>
              <w:t>classificação de risco (rating) igual a “AAA” em escala nacional emitida pela Fitch Ratings Brasil Ltda., 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(B) </w:t>
            </w:r>
            <w:r>
              <w:rPr>
                <w:rFonts w:ascii="Arial" w:hAnsi="Arial" w:cs="Arial"/>
                <w:bCs/>
                <w:i/>
                <w:sz w:val="22"/>
                <w:szCs w:val="22"/>
              </w:rPr>
              <w:t>a Cedente notifique tal instituição financeira a respeito da cessão dos Direitos Creditórios por meio das Notificações de Cessão; e</w:t>
            </w:r>
            <w:r>
              <w:rPr>
                <w:rFonts w:ascii="Arial" w:hAnsi="Arial" w:cs="Arial"/>
                <w:b/>
                <w:bCs/>
                <w:i/>
                <w:sz w:val="22"/>
                <w:szCs w:val="22"/>
              </w:rPr>
              <w:t xml:space="preserve"> </w:t>
            </w:r>
            <w:r>
              <w:rPr>
                <w:rFonts w:ascii="Arial" w:hAnsi="Arial" w:cs="Arial"/>
                <w:bCs/>
                <w:i/>
                <w:sz w:val="22"/>
                <w:szCs w:val="22"/>
              </w:rPr>
              <w:t xml:space="preserve">(C) </w:t>
            </w:r>
            <w:r>
              <w:rPr>
                <w:rFonts w:ascii="Arial" w:hAnsi="Arial" w:cs="Arial"/>
                <w:i/>
                <w:sz w:val="22"/>
                <w:szCs w:val="22"/>
              </w:rPr>
              <w:t xml:space="preserve">seja firmado pelo Cessionário termo de adesão apropriado ao contrato celebrado entre tal instituição financeira e a Cedente. </w:t>
            </w: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blPrEx>
          <w:tblCellMar>
            <w:left w:w="70" w:type="dxa"/>
            <w:right w:w="70" w:type="dxa"/>
          </w:tblCellMar>
          <w:tblLook w:val="0000" w:firstRow="0" w:lastRow="0" w:firstColumn="0" w:lastColumn="0" w:noHBand="0" w:noVBand="0"/>
        </w:tblPrEx>
        <w:trPr>
          <w:gridAfter w:val="1"/>
          <w:wAfter w:w="73" w:type="dxa"/>
        </w:trPr>
        <w:tc>
          <w:tcPr>
            <w:tcW w:w="3686" w:type="dxa"/>
            <w:gridSpan w:val="3"/>
          </w:tcPr>
          <w:p>
            <w:pPr>
              <w:pStyle w:val="Corpodetexto"/>
              <w:widowControl w:val="0"/>
              <w:spacing w:line="340" w:lineRule="exact"/>
              <w:jc w:val="left"/>
              <w:rPr>
                <w:rFonts w:ascii="Arial" w:hAnsi="Arial" w:cs="Arial"/>
                <w:i/>
                <w:sz w:val="22"/>
                <w:szCs w:val="22"/>
              </w:rPr>
            </w:pPr>
            <w:r>
              <w:rPr>
                <w:rFonts w:ascii="Arial" w:hAnsi="Arial" w:cs="Arial"/>
                <w:i/>
                <w:sz w:val="22"/>
                <w:szCs w:val="22"/>
              </w:rPr>
              <w:t>Bancos Depositários Pré-Aprovados</w:t>
            </w:r>
          </w:p>
        </w:tc>
        <w:tc>
          <w:tcPr>
            <w:tcW w:w="5279" w:type="dxa"/>
            <w:vAlign w:val="center"/>
          </w:tcPr>
          <w:p>
            <w:pPr>
              <w:pStyle w:val="Corpodetexto"/>
              <w:widowControl w:val="0"/>
              <w:spacing w:line="340" w:lineRule="exact"/>
              <w:ind w:left="-70"/>
              <w:jc w:val="both"/>
              <w:rPr>
                <w:rFonts w:ascii="Arial" w:hAnsi="Arial" w:cs="Arial"/>
                <w:b w:val="0"/>
                <w:bCs w:val="0"/>
                <w:i/>
                <w:sz w:val="22"/>
                <w:szCs w:val="22"/>
              </w:rPr>
            </w:pPr>
            <w:proofErr w:type="gramStart"/>
            <w:r>
              <w:rPr>
                <w:rFonts w:ascii="Arial" w:hAnsi="Arial" w:cs="Arial"/>
                <w:b w:val="0"/>
                <w:bCs w:val="0"/>
                <w:i/>
                <w:sz w:val="22"/>
                <w:szCs w:val="22"/>
              </w:rPr>
              <w:t>são</w:t>
            </w:r>
            <w:proofErr w:type="gramEnd"/>
            <w:r>
              <w:rPr>
                <w:rFonts w:ascii="Arial" w:hAnsi="Arial" w:cs="Arial"/>
                <w:b w:val="0"/>
                <w:bCs w:val="0"/>
                <w:i/>
                <w:sz w:val="22"/>
                <w:szCs w:val="22"/>
              </w:rPr>
              <w:t xml:space="preserve"> as seguintes instituições financeiras, que podem vir a ser contratadas pela Cedente para o papel de Banco Depositário (conforme definição acima), independentemente de sua classificação de risco: (i) Itaú Unibanco S.A.; (</w:t>
            </w:r>
            <w:proofErr w:type="spellStart"/>
            <w:r>
              <w:rPr>
                <w:rFonts w:ascii="Arial" w:hAnsi="Arial" w:cs="Arial"/>
                <w:b w:val="0"/>
                <w:bCs w:val="0"/>
                <w:i/>
                <w:sz w:val="22"/>
                <w:szCs w:val="22"/>
              </w:rPr>
              <w:t>ii</w:t>
            </w:r>
            <w:proofErr w:type="spellEnd"/>
            <w:r>
              <w:rPr>
                <w:rFonts w:ascii="Arial" w:hAnsi="Arial" w:cs="Arial"/>
                <w:b w:val="0"/>
                <w:bCs w:val="0"/>
                <w:i/>
                <w:sz w:val="22"/>
                <w:szCs w:val="22"/>
              </w:rPr>
              <w:t>) Banco Bradesco S.A.; (</w:t>
            </w:r>
            <w:proofErr w:type="spellStart"/>
            <w:r>
              <w:rPr>
                <w:rFonts w:ascii="Arial" w:hAnsi="Arial" w:cs="Arial"/>
                <w:b w:val="0"/>
                <w:bCs w:val="0"/>
                <w:i/>
                <w:sz w:val="22"/>
                <w:szCs w:val="22"/>
              </w:rPr>
              <w:t>iii</w:t>
            </w:r>
            <w:proofErr w:type="spellEnd"/>
            <w:r>
              <w:rPr>
                <w:rFonts w:ascii="Arial" w:hAnsi="Arial" w:cs="Arial"/>
                <w:b w:val="0"/>
                <w:bCs w:val="0"/>
                <w:i/>
                <w:sz w:val="22"/>
                <w:szCs w:val="22"/>
              </w:rPr>
              <w:t>) Banco Santander (Brasil) S.A.; (</w:t>
            </w:r>
            <w:proofErr w:type="spellStart"/>
            <w:r>
              <w:rPr>
                <w:rFonts w:ascii="Arial" w:hAnsi="Arial" w:cs="Arial"/>
                <w:b w:val="0"/>
                <w:bCs w:val="0"/>
                <w:i/>
                <w:sz w:val="22"/>
                <w:szCs w:val="22"/>
              </w:rPr>
              <w:t>iv</w:t>
            </w:r>
            <w:proofErr w:type="spellEnd"/>
            <w:r>
              <w:rPr>
                <w:rFonts w:ascii="Arial" w:hAnsi="Arial" w:cs="Arial"/>
                <w:b w:val="0"/>
                <w:bCs w:val="0"/>
                <w:i/>
                <w:sz w:val="22"/>
                <w:szCs w:val="22"/>
              </w:rPr>
              <w:t>) Banco Citibank S.A.; (v) Banco Votorantim S.A.; e (vi) Banco Safra S.A.</w:t>
            </w: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9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Liquidantes</w:t>
            </w:r>
          </w:p>
          <w:p>
            <w:pPr>
              <w:widowControl w:val="0"/>
              <w:tabs>
                <w:tab w:val="left" w:pos="0"/>
                <w:tab w:val="left" w:pos="709"/>
                <w:tab w:val="left" w:pos="5812"/>
              </w:tabs>
              <w:spacing w:line="340" w:lineRule="exact"/>
              <w:jc w:val="left"/>
              <w:rPr>
                <w:rFonts w:ascii="Arial" w:hAnsi="Arial" w:cs="Arial"/>
                <w:b/>
                <w:i/>
                <w:sz w:val="22"/>
                <w:szCs w:val="22"/>
              </w:rPr>
            </w:pPr>
          </w:p>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VOTORANTIM S.A.</w:t>
            </w:r>
            <w:r>
              <w:rPr>
                <w:rFonts w:ascii="Arial" w:eastAsia="Calibri" w:hAnsi="Arial" w:cs="Arial"/>
                <w:i/>
                <w:sz w:val="22"/>
                <w:szCs w:val="22"/>
              </w:rPr>
              <w:t xml:space="preserve">, instituição financeira com sede na cidade de </w:t>
            </w:r>
            <w:r>
              <w:rPr>
                <w:rFonts w:ascii="Arial" w:eastAsia="Calibri" w:hAnsi="Arial" w:cs="Arial"/>
                <w:i/>
                <w:iCs/>
                <w:sz w:val="22"/>
                <w:szCs w:val="22"/>
              </w:rPr>
              <w:t>São Paulo, estado de São Paulo, na Avenida das Nações Unidas, nº 14.171, Torre A, 18° andar, inscrita no CNPJ/MF sob o nº 59.588.111/0001-03</w:t>
            </w:r>
            <w:r>
              <w:rPr>
                <w:rFonts w:ascii="Arial" w:eastAsia="Calibri" w:hAnsi="Arial" w:cs="Arial"/>
                <w:i/>
                <w:sz w:val="22"/>
                <w:szCs w:val="22"/>
              </w:rPr>
              <w:t xml:space="preserve">, responsável pelo recebimento da liquidação das Transações de Pagamento originadas por Cartões </w:t>
            </w:r>
            <w:r>
              <w:rPr>
                <w:rFonts w:ascii="Arial" w:hAnsi="Arial" w:cs="Arial"/>
                <w:i/>
                <w:sz w:val="22"/>
                <w:szCs w:val="22"/>
              </w:rPr>
              <w:t>da Bandeira Visa</w:t>
            </w:r>
            <w:r>
              <w:rPr>
                <w:rFonts w:ascii="Arial" w:eastAsia="Calibri" w:hAnsi="Arial" w:cs="Arial"/>
                <w:i/>
                <w:sz w:val="22"/>
                <w:szCs w:val="22"/>
              </w:rPr>
              <w:t>;</w:t>
            </w:r>
            <w:r>
              <w:rPr>
                <w:rFonts w:ascii="Arial" w:hAnsi="Arial" w:cs="Arial"/>
                <w:b/>
                <w:i/>
                <w:sz w:val="22"/>
                <w:szCs w:val="22"/>
              </w:rPr>
              <w:t xml:space="preserve"> </w:t>
            </w:r>
            <w:r>
              <w:rPr>
                <w:rFonts w:ascii="Arial" w:eastAsia="Calibri" w:hAnsi="Arial" w:cs="Arial"/>
                <w:i/>
                <w:sz w:val="22"/>
                <w:szCs w:val="22"/>
              </w:rPr>
              <w:t>(</w:t>
            </w:r>
            <w:proofErr w:type="spellStart"/>
            <w:r>
              <w:rPr>
                <w:rFonts w:ascii="Arial" w:eastAsia="Calibri" w:hAnsi="Arial" w:cs="Arial"/>
                <w:i/>
                <w:sz w:val="22"/>
                <w:szCs w:val="22"/>
              </w:rPr>
              <w:t>ii</w:t>
            </w:r>
            <w:proofErr w:type="spellEnd"/>
            <w:r>
              <w:rPr>
                <w:rFonts w:ascii="Arial" w:eastAsia="Calibri" w:hAnsi="Arial" w:cs="Arial"/>
                <w:i/>
                <w:sz w:val="22"/>
                <w:szCs w:val="22"/>
              </w:rPr>
              <w:t xml:space="preserve">)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 xml:space="preserve">financeira com sede na cidade de São Paulo, estado de São Paulo, na Avenida Paulista, nº 1111, 2º andar – parte, inscrito no CNPJ/MF sob o nº 33.479.023/0001-80, </w:t>
            </w:r>
            <w:r>
              <w:rPr>
                <w:rFonts w:ascii="Arial" w:eastAsia="Calibri" w:hAnsi="Arial" w:cs="Arial"/>
                <w:i/>
                <w:sz w:val="22"/>
                <w:szCs w:val="22"/>
              </w:rPr>
              <w:t xml:space="preserve">responsável pelo recebimento da liquidação das Transações de Pagamento originadas por Cartões </w:t>
            </w:r>
            <w:r>
              <w:rPr>
                <w:rFonts w:ascii="Arial" w:hAnsi="Arial" w:cs="Arial"/>
                <w:i/>
                <w:sz w:val="22"/>
                <w:szCs w:val="22"/>
              </w:rPr>
              <w:t>da Bandeira Mastercard</w:t>
            </w:r>
            <w:r>
              <w:rPr>
                <w:rFonts w:ascii="Arial" w:eastAsia="Calibri" w:hAnsi="Arial" w:cs="Arial"/>
                <w:i/>
                <w:sz w:val="22"/>
                <w:szCs w:val="22"/>
              </w:rPr>
              <w:t>;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instituição financeira que venha a ser contratada pela Cedente para que seja responsável pelo recebimento da liquidação das Transações de Pagamento originadas por Cartões das Bandeiras na CIP, desde que a instituição financeira contratada seja um Banco Liquidante Pré-Aprovado </w:t>
            </w:r>
            <w:r>
              <w:rPr>
                <w:rFonts w:ascii="Arial" w:eastAsia="Calibri" w:hAnsi="Arial" w:cs="Arial"/>
                <w:i/>
                <w:sz w:val="22"/>
                <w:szCs w:val="22"/>
                <w:u w:val="single"/>
              </w:rPr>
              <w:t>ou</w:t>
            </w:r>
            <w:r>
              <w:rPr>
                <w:rFonts w:ascii="Arial" w:eastAsia="Calibri" w:hAnsi="Arial" w:cs="Arial"/>
                <w:i/>
                <w:sz w:val="22"/>
                <w:szCs w:val="22"/>
              </w:rPr>
              <w:t xml:space="preserve"> tenha classificação de risco (rating) igual ou superior à nota atribuída ao Banco Liquidante substituído na data de sua contratação, em escala nacional, emitida pela Fitch Ratings Brasil Ltda., </w:t>
            </w:r>
            <w:r>
              <w:rPr>
                <w:rFonts w:ascii="Arial" w:hAnsi="Arial" w:cs="Arial"/>
                <w:i/>
                <w:sz w:val="22"/>
                <w:szCs w:val="22"/>
              </w:rPr>
              <w:t>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pStyle w:val="Corpodetexto"/>
              <w:widowControl w:val="0"/>
              <w:spacing w:line="340" w:lineRule="exact"/>
              <w:jc w:val="left"/>
              <w:rPr>
                <w:rFonts w:ascii="Arial" w:hAnsi="Arial" w:cs="Arial"/>
                <w:b w:val="0"/>
                <w:i/>
                <w:sz w:val="22"/>
                <w:szCs w:val="22"/>
              </w:rPr>
            </w:pPr>
            <w:r>
              <w:rPr>
                <w:rFonts w:ascii="Arial" w:hAnsi="Arial" w:cs="Arial"/>
                <w:i/>
                <w:sz w:val="22"/>
                <w:szCs w:val="22"/>
              </w:rPr>
              <w:t xml:space="preserve">Bancos Liquidantes </w:t>
            </w:r>
            <w:proofErr w:type="spellStart"/>
            <w:r>
              <w:rPr>
                <w:rFonts w:ascii="Arial" w:hAnsi="Arial" w:cs="Arial"/>
                <w:i/>
                <w:sz w:val="22"/>
                <w:szCs w:val="22"/>
              </w:rPr>
              <w:t>Pré</w:t>
            </w:r>
            <w:proofErr w:type="spellEnd"/>
            <w:r>
              <w:rPr>
                <w:rFonts w:ascii="Arial" w:hAnsi="Arial" w:cs="Arial"/>
                <w:i/>
                <w:sz w:val="22"/>
                <w:szCs w:val="22"/>
              </w:rPr>
              <w:t>–Aprovados</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bCs/>
                <w:i/>
                <w:sz w:val="22"/>
                <w:szCs w:val="22"/>
              </w:rPr>
              <w:t>são</w:t>
            </w:r>
            <w:proofErr w:type="gramEnd"/>
            <w:r>
              <w:rPr>
                <w:rFonts w:ascii="Arial" w:hAnsi="Arial" w:cs="Arial"/>
                <w:bCs/>
                <w:i/>
                <w:sz w:val="22"/>
                <w:szCs w:val="22"/>
              </w:rPr>
              <w:t xml:space="preserve"> as seguintes instituições financeiras, que podem vir a ser contratadas pela Cedente para o papel de Banco Liquidante (conforme definição acima), independentemente de sua classificação de risco: (i) Itaú Unibanco S.A.; (</w:t>
            </w:r>
            <w:proofErr w:type="spellStart"/>
            <w:r>
              <w:rPr>
                <w:rFonts w:ascii="Arial" w:hAnsi="Arial" w:cs="Arial"/>
                <w:bCs/>
                <w:i/>
                <w:sz w:val="22"/>
                <w:szCs w:val="22"/>
              </w:rPr>
              <w:t>ii</w:t>
            </w:r>
            <w:proofErr w:type="spellEnd"/>
            <w:r>
              <w:rPr>
                <w:rFonts w:ascii="Arial" w:hAnsi="Arial" w:cs="Arial"/>
                <w:bCs/>
                <w:i/>
                <w:sz w:val="22"/>
                <w:szCs w:val="22"/>
              </w:rPr>
              <w:t>) Banco Bradesco S.A.; (</w:t>
            </w:r>
            <w:proofErr w:type="spellStart"/>
            <w:r>
              <w:rPr>
                <w:rFonts w:ascii="Arial" w:hAnsi="Arial" w:cs="Arial"/>
                <w:bCs/>
                <w:i/>
                <w:sz w:val="22"/>
                <w:szCs w:val="22"/>
              </w:rPr>
              <w:t>iii</w:t>
            </w:r>
            <w:proofErr w:type="spellEnd"/>
            <w:r>
              <w:rPr>
                <w:rFonts w:ascii="Arial" w:hAnsi="Arial" w:cs="Arial"/>
                <w:bCs/>
                <w:i/>
                <w:sz w:val="22"/>
                <w:szCs w:val="22"/>
              </w:rPr>
              <w:t>) Banco Santander (Brasil) S.A.; (</w:t>
            </w:r>
            <w:proofErr w:type="spellStart"/>
            <w:r>
              <w:rPr>
                <w:rFonts w:ascii="Arial" w:hAnsi="Arial" w:cs="Arial"/>
                <w:bCs/>
                <w:i/>
                <w:sz w:val="22"/>
                <w:szCs w:val="22"/>
              </w:rPr>
              <w:t>iv</w:t>
            </w:r>
            <w:proofErr w:type="spellEnd"/>
            <w:r>
              <w:rPr>
                <w:rFonts w:ascii="Arial" w:hAnsi="Arial" w:cs="Arial"/>
                <w:bCs/>
                <w:i/>
                <w:sz w:val="22"/>
                <w:szCs w:val="22"/>
              </w:rPr>
              <w:t>) Banco Citibank S.A.; (v) Banco Votorantim S.A.; e (vi) Banco Safra S.A.</w:t>
            </w:r>
          </w:p>
        </w:tc>
      </w:tr>
      <w:tr>
        <w:trPr>
          <w:gridBefore w:val="1"/>
          <w:wBefore w:w="34" w:type="dxa"/>
          <w:trHeight w:val="272"/>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rPr>
              <w:t xml:space="preserve">Bandeira </w:t>
            </w:r>
            <w:proofErr w:type="spellStart"/>
            <w:r>
              <w:rPr>
                <w:rFonts w:ascii="Arial" w:hAnsi="Arial" w:cs="Arial"/>
                <w:b/>
                <w:bCs/>
                <w:i/>
                <w:sz w:val="22"/>
                <w:szCs w:val="22"/>
              </w:rPr>
              <w:t>MasterCard</w:t>
            </w:r>
            <w:proofErr w:type="spellEnd"/>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bCs/>
                <w:i/>
                <w:sz w:val="22"/>
                <w:szCs w:val="22"/>
              </w:rPr>
              <w:t>o</w:t>
            </w:r>
            <w:proofErr w:type="gramEnd"/>
            <w:r>
              <w:rPr>
                <w:rFonts w:ascii="Arial" w:hAnsi="Arial" w:cs="Arial"/>
                <w:bCs/>
                <w:i/>
                <w:sz w:val="22"/>
                <w:szCs w:val="22"/>
              </w:rPr>
              <w:t xml:space="preserve"> Arranjo de Pagamento instituído pela </w:t>
            </w:r>
            <w:proofErr w:type="spellStart"/>
            <w:r>
              <w:rPr>
                <w:rFonts w:ascii="Arial" w:hAnsi="Arial" w:cs="Arial"/>
                <w:bCs/>
                <w:i/>
                <w:sz w:val="22"/>
                <w:szCs w:val="22"/>
              </w:rPr>
              <w:t>MasterCard</w:t>
            </w:r>
            <w:proofErr w:type="spellEnd"/>
            <w:r>
              <w:rPr>
                <w:rFonts w:ascii="Arial" w:hAnsi="Arial" w:cs="Arial"/>
                <w:bCs/>
                <w:i/>
                <w:sz w:val="22"/>
                <w:szCs w:val="22"/>
              </w:rPr>
              <w:t xml:space="preserve"> Brasil Soluções de Pagamento Ltda., sociedade limitada com sede na Cidade de São Paulo, Estado de São Paulo, na Avenida das Nações Unidas, nº 14.171, 19º e 20º andares, Crystal Tower, Edifício </w:t>
            </w:r>
            <w:proofErr w:type="spellStart"/>
            <w:r>
              <w:rPr>
                <w:rFonts w:ascii="Arial" w:hAnsi="Arial" w:cs="Arial"/>
                <w:bCs/>
                <w:i/>
                <w:sz w:val="22"/>
                <w:szCs w:val="22"/>
              </w:rPr>
              <w:t>Rochaverá</w:t>
            </w:r>
            <w:proofErr w:type="spellEnd"/>
            <w:r>
              <w:rPr>
                <w:rFonts w:ascii="Arial" w:hAnsi="Arial" w:cs="Arial"/>
                <w:bCs/>
                <w:i/>
                <w:sz w:val="22"/>
                <w:szCs w:val="22"/>
              </w:rPr>
              <w:t>, CEP 04794-000, inscrita no CNPJ/MF sob o nº 05.577.343/0001-37, na condição de instituidor de Arranjo de Pagamento nos termos da Lei 12.865, de 9 de outubro de 2013 e da Circular BACEN 3.682/13.</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lang w:val="en-US"/>
              </w:rPr>
              <w:t>Bandeira Visa</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bCs/>
                <w:i/>
                <w:sz w:val="22"/>
                <w:szCs w:val="22"/>
              </w:rPr>
              <w:t>é</w:t>
            </w:r>
            <w:proofErr w:type="gramEnd"/>
            <w:r>
              <w:rPr>
                <w:rFonts w:ascii="Arial" w:hAnsi="Arial" w:cs="Arial"/>
                <w:bCs/>
                <w:i/>
                <w:sz w:val="22"/>
                <w:szCs w:val="22"/>
              </w:rPr>
              <w:t xml:space="preserve"> o Arranjo de Pagamento instituído pela Visa do Brasil Empreendimentos Ltda., sociedade limitada com sede na Cidade de São Paulo, Estado de São Paulo, na Av. Brigadeiro Faria Lima, 3729 – 3º andar, inscrita no CNPJ/MF sob o nº 31.551.765/0001-43, na condição de instituidor de Arranjo de Pagamento nos termos da Lei 12.865, de 9 de outubro de 2013 e da Circular BACEN 3.682/13.</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639"/>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Bandeiras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são, em conjunto, a Bandeira Master e a Bandeira Visa, na qualidade de instituições responsáveis por Arranjos de Pagamento (instituidoras de Arranjos de Pagamento) e, quando for o caso, pelo uso da marca associada ao Arranjo de Pagamento, detentoras dos direitos de propriedade e/ou franqueadoras de suas marcas e logotipos que identificam os Instrumentos de Pagamento, as quais são responsáveis por regulamentar e fiscalizar a emissão dos Instrumentos de Pagamento, o credenciamento de Estabelecimentos Credenciados, o uso e padrões operacionais e de segurança, nos termos da regulamentação aplicável. </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7"/>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Cartão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bCs/>
                <w:i/>
                <w:sz w:val="22"/>
                <w:szCs w:val="22"/>
              </w:rPr>
              <w:t>é</w:t>
            </w:r>
            <w:proofErr w:type="gramEnd"/>
            <w:r>
              <w:rPr>
                <w:rFonts w:ascii="Arial" w:hAnsi="Arial" w:cs="Arial"/>
                <w:bCs/>
                <w:i/>
                <w:sz w:val="22"/>
                <w:szCs w:val="22"/>
              </w:rPr>
              <w:t xml:space="preserve"> o instrumento de pagamento apresentado sob a forma de cartão plástico ou virtual, com funções de crédito e/ou débito, entre outras, emitido pelo Emissor e dotado de número próprio, código de segurança, nome do Usuário-Final (portador do Instrumento de Pagamento), prazo de validade e logomarca das Bandeiras, marcas, nomes ou logomarcas admitidas no Sistema Stone, instrumento este utilizado em Transações de Pagamento nos referidos sistemas.</w:t>
            </w:r>
          </w:p>
        </w:tc>
      </w:tr>
      <w:tr>
        <w:trPr>
          <w:gridBefore w:val="1"/>
          <w:wBefore w:w="34" w:type="dxa"/>
          <w:trHeight w:val="87"/>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Cedente</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bCs/>
                <w:i/>
                <w:sz w:val="22"/>
                <w:szCs w:val="22"/>
              </w:rPr>
              <w:t>é</w:t>
            </w:r>
            <w:proofErr w:type="gramEnd"/>
            <w:r>
              <w:rPr>
                <w:rFonts w:ascii="Arial" w:hAnsi="Arial" w:cs="Arial"/>
                <w:bCs/>
                <w:i/>
                <w:sz w:val="22"/>
                <w:szCs w:val="22"/>
              </w:rPr>
              <w:t xml:space="preserve"> a Stone que, de tempos em tempos, e nos termos deste Contrato, cede a totalidade ou parte de seus Direitos Creditórios Elegíveis ao Cessionário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Cessionário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w:t>
            </w:r>
            <w:r>
              <w:rPr>
                <w:rFonts w:ascii="Arial" w:hAnsi="Arial" w:cs="Arial"/>
                <w:i/>
                <w:sz w:val="22"/>
                <w:szCs w:val="22"/>
              </w:rPr>
              <w:t>SRC Companhia Securitizadora de Créditos Financeiros</w:t>
            </w:r>
            <w:r>
              <w:rPr>
                <w:rFonts w:ascii="Arial" w:eastAsia="MS Mincho"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roofErr w:type="spellStart"/>
            <w:r>
              <w:rPr>
                <w:rFonts w:ascii="Arial" w:hAnsi="Arial" w:cs="Arial"/>
                <w:i/>
                <w:sz w:val="22"/>
                <w:szCs w:val="22"/>
              </w:rPr>
              <w:t>Chargeback</w:t>
            </w:r>
            <w:proofErr w:type="spellEnd"/>
          </w:p>
        </w:tc>
        <w:tc>
          <w:tcPr>
            <w:tcW w:w="5473" w:type="dxa"/>
            <w:gridSpan w:val="3"/>
            <w:vAlign w:val="center"/>
          </w:tcPr>
          <w:p>
            <w:pPr>
              <w:pStyle w:val="Corpodetexto"/>
              <w:widowControl w:val="0"/>
              <w:spacing w:line="340" w:lineRule="exact"/>
              <w:jc w:val="both"/>
              <w:rPr>
                <w:rFonts w:ascii="Arial" w:hAnsi="Arial" w:cs="Arial"/>
                <w:i/>
                <w:sz w:val="22"/>
                <w:szCs w:val="22"/>
              </w:rPr>
            </w:pPr>
            <w:proofErr w:type="gramStart"/>
            <w:r>
              <w:rPr>
                <w:rFonts w:ascii="Arial" w:hAnsi="Arial" w:cs="Arial"/>
                <w:b w:val="0"/>
                <w:i/>
                <w:sz w:val="22"/>
                <w:szCs w:val="22"/>
              </w:rPr>
              <w:t>é</w:t>
            </w:r>
            <w:proofErr w:type="gramEnd"/>
            <w:r>
              <w:rPr>
                <w:rFonts w:ascii="Arial" w:hAnsi="Arial" w:cs="Arial"/>
                <w:b w:val="0"/>
                <w:i/>
                <w:sz w:val="22"/>
                <w:szCs w:val="22"/>
              </w:rPr>
              <w:t xml:space="preserve"> a contestação de Transação(</w:t>
            </w:r>
            <w:proofErr w:type="spellStart"/>
            <w:r>
              <w:rPr>
                <w:rFonts w:ascii="Arial" w:hAnsi="Arial" w:cs="Arial"/>
                <w:b w:val="0"/>
                <w:i/>
                <w:sz w:val="22"/>
                <w:szCs w:val="22"/>
              </w:rPr>
              <w:t>ões</w:t>
            </w:r>
            <w:proofErr w:type="spellEnd"/>
            <w:r>
              <w:rPr>
                <w:rFonts w:ascii="Arial" w:hAnsi="Arial" w:cs="Arial"/>
                <w:b w:val="0"/>
                <w:i/>
                <w:sz w:val="22"/>
                <w:szCs w:val="22"/>
              </w:rPr>
              <w:t>) de Pagamento, seja no todo ou em parte, por parte de Usuários-Finais, Estabelecimentos Credenciados, Bandeiras e/ou Emissores, que poderá resultar na não realização do repasse ou no estorno do(s) crédito(s) correspondente(s) efetuado(s) à Cedente.</w:t>
            </w:r>
            <w:r>
              <w:rPr>
                <w:rFonts w:ascii="Arial" w:hAnsi="Arial" w:cs="Arial"/>
                <w:i/>
                <w:sz w:val="22"/>
                <w:szCs w:val="22"/>
              </w:rPr>
              <w:t xml:space="preserve"> </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hAnsi="Arial" w:cs="Arial"/>
                <w:i/>
                <w:sz w:val="22"/>
                <w:szCs w:val="22"/>
              </w:rPr>
              <w:t>CIP</w:t>
            </w:r>
          </w:p>
        </w:tc>
        <w:tc>
          <w:tcPr>
            <w:tcW w:w="5473" w:type="dxa"/>
            <w:gridSpan w:val="3"/>
            <w:vAlign w:val="center"/>
          </w:tcPr>
          <w:p>
            <w:pPr>
              <w:pStyle w:val="Corpodetexto"/>
              <w:widowControl w:val="0"/>
              <w:spacing w:line="340" w:lineRule="exact"/>
              <w:jc w:val="both"/>
              <w:rPr>
                <w:rFonts w:ascii="Arial" w:hAnsi="Arial" w:cs="Arial"/>
                <w:b w:val="0"/>
                <w:i/>
                <w:sz w:val="22"/>
                <w:szCs w:val="22"/>
              </w:rPr>
            </w:pPr>
            <w:proofErr w:type="gramStart"/>
            <w:r>
              <w:rPr>
                <w:rFonts w:ascii="Arial" w:hAnsi="Arial" w:cs="Arial"/>
                <w:b w:val="0"/>
                <w:i/>
                <w:sz w:val="22"/>
                <w:szCs w:val="22"/>
              </w:rPr>
              <w:t>é</w:t>
            </w:r>
            <w:proofErr w:type="gramEnd"/>
            <w:r>
              <w:rPr>
                <w:rFonts w:ascii="Arial" w:hAnsi="Arial" w:cs="Arial"/>
                <w:b w:val="0"/>
                <w:i/>
                <w:sz w:val="22"/>
                <w:szCs w:val="22"/>
              </w:rPr>
              <w:t xml:space="preserve"> a Câmara Interbancária de Pagamentos ou qualquer câmara de liquidação que venha a substituí-la.</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hAnsi="Arial" w:cs="Arial"/>
                <w:i/>
                <w:sz w:val="22"/>
                <w:szCs w:val="22"/>
              </w:rPr>
              <w:t>Circular BACEN 3.461/09</w:t>
            </w:r>
          </w:p>
        </w:tc>
        <w:tc>
          <w:tcPr>
            <w:tcW w:w="5473" w:type="dxa"/>
            <w:gridSpan w:val="3"/>
            <w:vAlign w:val="center"/>
          </w:tcPr>
          <w:p>
            <w:pPr>
              <w:pStyle w:val="Corpodetexto"/>
              <w:widowControl w:val="0"/>
              <w:spacing w:line="340" w:lineRule="exact"/>
              <w:jc w:val="both"/>
              <w:rPr>
                <w:rFonts w:ascii="Arial" w:hAnsi="Arial" w:cs="Arial"/>
                <w:b w:val="0"/>
                <w:i/>
                <w:sz w:val="22"/>
                <w:szCs w:val="22"/>
              </w:rPr>
            </w:pPr>
            <w:proofErr w:type="gramStart"/>
            <w:r>
              <w:rPr>
                <w:rFonts w:ascii="Arial" w:hAnsi="Arial" w:cs="Arial"/>
                <w:b w:val="0"/>
                <w:i/>
                <w:sz w:val="22"/>
                <w:szCs w:val="22"/>
              </w:rPr>
              <w:t>significa</w:t>
            </w:r>
            <w:proofErr w:type="gramEnd"/>
            <w:r>
              <w:rPr>
                <w:rFonts w:ascii="Arial" w:hAnsi="Arial" w:cs="Arial"/>
                <w:b w:val="0"/>
                <w:i/>
                <w:sz w:val="22"/>
                <w:szCs w:val="22"/>
              </w:rPr>
              <w:t xml:space="preserve"> a Circular do BACEN nº 3.461, de 24 de julho de 2009, 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3.682/13</w:t>
            </w:r>
          </w:p>
        </w:tc>
        <w:tc>
          <w:tcPr>
            <w:tcW w:w="5473" w:type="dxa"/>
            <w:gridSpan w:val="3"/>
          </w:tcPr>
          <w:p>
            <w:pPr>
              <w:pStyle w:val="Corpodetexto"/>
              <w:widowControl w:val="0"/>
              <w:spacing w:line="340" w:lineRule="exact"/>
              <w:jc w:val="both"/>
              <w:rPr>
                <w:rFonts w:ascii="Arial" w:hAnsi="Arial" w:cs="Arial"/>
                <w:b w:val="0"/>
                <w:i/>
                <w:sz w:val="22"/>
                <w:szCs w:val="22"/>
              </w:rPr>
            </w:pPr>
            <w:proofErr w:type="gramStart"/>
            <w:r>
              <w:rPr>
                <w:rFonts w:ascii="Arial" w:eastAsia="MS Mincho" w:hAnsi="Arial" w:cs="Arial"/>
                <w:b w:val="0"/>
                <w:i/>
                <w:sz w:val="22"/>
                <w:szCs w:val="22"/>
              </w:rPr>
              <w:t>significa</w:t>
            </w:r>
            <w:proofErr w:type="gramEnd"/>
            <w:r>
              <w:rPr>
                <w:rFonts w:ascii="Arial" w:eastAsia="MS Mincho" w:hAnsi="Arial" w:cs="Arial"/>
                <w:b w:val="0"/>
                <w:i/>
                <w:sz w:val="22"/>
                <w:szCs w:val="22"/>
              </w:rPr>
              <w:t xml:space="preserve"> a Circular do BACEN n° 3.682/13, de 4 de novembro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eastAsia="MS Mincho" w:hAnsi="Arial" w:cs="Arial"/>
                <w:b w:val="0"/>
                <w:i/>
                <w:sz w:val="22"/>
                <w:szCs w:val="22"/>
              </w:rPr>
            </w:pPr>
          </w:p>
        </w:tc>
        <w:tc>
          <w:tcPr>
            <w:tcW w:w="5473" w:type="dxa"/>
            <w:gridSpan w:val="3"/>
          </w:tcPr>
          <w:p>
            <w:pPr>
              <w:pStyle w:val="Corpodetexto"/>
              <w:widowControl w:val="0"/>
              <w:spacing w:line="340" w:lineRule="exact"/>
              <w:jc w:val="both"/>
              <w:rPr>
                <w:rFonts w:ascii="Arial" w:eastAsia="MS Mincho" w:hAnsi="Arial" w:cs="Arial"/>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3.683/13</w:t>
            </w:r>
          </w:p>
        </w:tc>
        <w:tc>
          <w:tcPr>
            <w:tcW w:w="5473" w:type="dxa"/>
            <w:gridSpan w:val="3"/>
          </w:tcPr>
          <w:p>
            <w:pPr>
              <w:pStyle w:val="Corpodetexto"/>
              <w:widowControl w:val="0"/>
              <w:spacing w:line="340" w:lineRule="exact"/>
              <w:jc w:val="both"/>
              <w:rPr>
                <w:rFonts w:ascii="Arial" w:hAnsi="Arial" w:cs="Arial"/>
                <w:b w:val="0"/>
                <w:i/>
                <w:sz w:val="22"/>
                <w:szCs w:val="22"/>
              </w:rPr>
            </w:pPr>
            <w:proofErr w:type="gramStart"/>
            <w:r>
              <w:rPr>
                <w:rFonts w:ascii="Arial" w:eastAsia="MS Mincho" w:hAnsi="Arial" w:cs="Arial"/>
                <w:b w:val="0"/>
                <w:i/>
                <w:sz w:val="22"/>
                <w:szCs w:val="22"/>
              </w:rPr>
              <w:t>significa</w:t>
            </w:r>
            <w:proofErr w:type="gramEnd"/>
            <w:r>
              <w:rPr>
                <w:rFonts w:ascii="Arial" w:eastAsia="MS Mincho" w:hAnsi="Arial" w:cs="Arial"/>
                <w:b w:val="0"/>
                <w:i/>
                <w:sz w:val="22"/>
                <w:szCs w:val="22"/>
              </w:rPr>
              <w:t xml:space="preserve"> a Circular do BACEN n° 3.683/13, de 4 de novembro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eastAsia="MS Mincho" w:hAnsi="Arial" w:cs="Arial"/>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CMN</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Conselho Monetário Nacional.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CNPJ/MF</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Cadastro Nacional da Pessoa Jurídica, do Ministério da Fazenda.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Civil Brasileiro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Lei nº 10.406, de 10 de janeiro de 2002, conforme alterada, ou qualquer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de Processo Civil</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w:t>
            </w:r>
            <w:hyperlink r:id="rId10" w:history="1">
              <w:r>
                <w:rPr>
                  <w:rStyle w:val="Hyperlink"/>
                  <w:rFonts w:ascii="Arial" w:eastAsia="MS Mincho" w:hAnsi="Arial" w:cs="Arial"/>
                  <w:i/>
                  <w:color w:val="auto"/>
                  <w:sz w:val="22"/>
                  <w:szCs w:val="22"/>
                  <w:u w:val="none"/>
                </w:rPr>
                <w:t>Lei nº 13.105, de 16 de março de 2015</w:t>
              </w:r>
            </w:hyperlink>
            <w:r>
              <w:rPr>
                <w:rFonts w:ascii="Arial" w:eastAsia="MS Mincho" w:hAnsi="Arial" w:cs="Arial"/>
                <w:bCs/>
                <w:i/>
                <w:sz w:val="22"/>
                <w:szCs w:val="22"/>
              </w:rPr>
              <w:t xml:space="preserve">, </w:t>
            </w:r>
            <w:r>
              <w:rPr>
                <w:rFonts w:ascii="Arial" w:eastAsia="MS Mincho" w:hAnsi="Arial" w:cs="Arial"/>
                <w:i/>
                <w:sz w:val="22"/>
                <w:szCs w:val="22"/>
              </w:rPr>
              <w:t>com suas alterações posteriores</w:t>
            </w:r>
            <w:r>
              <w:rPr>
                <w:rFonts w:ascii="Arial" w:eastAsia="MS Mincho" w:hAnsi="Arial" w:cs="Arial"/>
                <w:bCs/>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Condições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w:t>
            </w:r>
            <w:r>
              <w:rPr>
                <w:rFonts w:ascii="Arial" w:hAnsi="Arial" w:cs="Arial"/>
                <w:i/>
                <w:color w:val="000000"/>
                <w:sz w:val="22"/>
                <w:szCs w:val="22"/>
              </w:rPr>
              <w:t xml:space="preserve"> 2.5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 Autorizada do Cessionário</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i/>
                <w:sz w:val="22"/>
                <w:szCs w:val="22"/>
              </w:rPr>
              <w:t>significa</w:t>
            </w:r>
            <w:proofErr w:type="gramEnd"/>
            <w:r>
              <w:rPr>
                <w:rFonts w:ascii="Arial" w:hAnsi="Arial" w:cs="Arial"/>
                <w:i/>
                <w:color w:val="000000"/>
                <w:sz w:val="22"/>
                <w:szCs w:val="22"/>
              </w:rPr>
              <w:t xml:space="preserve"> a conta corrente a ser mantida pelo Cessionário junto ao Banco J.P. Morgan S.A., </w:t>
            </w:r>
            <w:r>
              <w:rPr>
                <w:rFonts w:ascii="Arial" w:hAnsi="Arial" w:cs="Arial"/>
                <w:i/>
                <w:sz w:val="22"/>
                <w:szCs w:val="22"/>
              </w:rPr>
              <w:t xml:space="preserve">para a qual, mediante instruções encaminhadas pela </w:t>
            </w:r>
            <w:proofErr w:type="spellStart"/>
            <w:r>
              <w:rPr>
                <w:rFonts w:ascii="Arial" w:hAnsi="Arial" w:cs="Arial"/>
                <w:i/>
                <w:sz w:val="22"/>
                <w:szCs w:val="22"/>
              </w:rPr>
              <w:t>Servicer</w:t>
            </w:r>
            <w:proofErr w:type="spellEnd"/>
            <w:r>
              <w:rPr>
                <w:rFonts w:ascii="Arial" w:hAnsi="Arial" w:cs="Arial"/>
                <w:i/>
                <w:sz w:val="22"/>
                <w:szCs w:val="22"/>
              </w:rPr>
              <w:t xml:space="preserve"> em nome do Cessionário, serão transferidos </w:t>
            </w:r>
            <w:r>
              <w:rPr>
                <w:rFonts w:ascii="Arial" w:hAnsi="Arial" w:cs="Arial"/>
                <w:i/>
                <w:color w:val="000000"/>
                <w:sz w:val="22"/>
                <w:szCs w:val="22"/>
              </w:rPr>
              <w:t>os pagamentos referentes aos Direitos Creditórios depositados nas Contas Centralizadoras da Cedente que se refiram aos pagamentos dos Direitos Creditórios Cedidos</w:t>
            </w:r>
            <w:r>
              <w:rPr>
                <w:rFonts w:ascii="Arial" w:hAnsi="Arial" w:cs="Arial"/>
                <w:i/>
                <w:sz w:val="22"/>
                <w:szCs w:val="22"/>
              </w:rPr>
              <w:t xml:space="preserve">.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Centralizadoras da Cedente</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são as seguintes contas de titularidade da Cedente, de movimentação restrita, para as quais os Bancos Liquidantes transferirão os pagamentos referentes aos Direitos Creditórios Cedidos, bem como os demais Direitos Creditórios (não cedidos ao Cessionário) de titularidade da Cedente e/ou de demais terceiros que tenham adquirido Direitos Creditórios da Cedente: (i) conta de titularidade da Stone e mantida junto ao Banco Citibank S.A., a ser oportunamente informada pela Cedente; e (</w:t>
            </w:r>
            <w:proofErr w:type="spellStart"/>
            <w:r>
              <w:rPr>
                <w:rFonts w:ascii="Arial" w:hAnsi="Arial" w:cs="Arial"/>
                <w:i/>
                <w:sz w:val="22"/>
                <w:szCs w:val="22"/>
              </w:rPr>
              <w:t>ii</w:t>
            </w:r>
            <w:proofErr w:type="spellEnd"/>
            <w:r>
              <w:rPr>
                <w:rFonts w:ascii="Arial" w:hAnsi="Arial" w:cs="Arial"/>
                <w:i/>
                <w:sz w:val="22"/>
                <w:szCs w:val="22"/>
              </w:rPr>
              <w:t>) conta de titularidade da Stone e mantida junto ao Banco Votorantim S.A., a ser oportunamente informada pela Cedente; ou (</w:t>
            </w:r>
            <w:proofErr w:type="spellStart"/>
            <w:r>
              <w:rPr>
                <w:rFonts w:ascii="Arial" w:hAnsi="Arial" w:cs="Arial"/>
                <w:i/>
                <w:sz w:val="22"/>
                <w:szCs w:val="22"/>
              </w:rPr>
              <w:t>iii</w:t>
            </w:r>
            <w:proofErr w:type="spellEnd"/>
            <w:r>
              <w:rPr>
                <w:rFonts w:ascii="Arial" w:hAnsi="Arial" w:cs="Arial"/>
                <w:i/>
                <w:sz w:val="22"/>
                <w:szCs w:val="22"/>
              </w:rPr>
              <w:t xml:space="preserve">) qualquer outra conta de movimentação restrita a ser mantida pela Cedente em instituição financeira que venha a ser contratada pela </w:t>
            </w:r>
            <w:r>
              <w:rPr>
                <w:rFonts w:ascii="Arial" w:eastAsia="Calibri" w:hAnsi="Arial" w:cs="Arial"/>
                <w:i/>
                <w:sz w:val="22"/>
                <w:szCs w:val="22"/>
              </w:rPr>
              <w:t>Cedente</w:t>
            </w:r>
            <w:r>
              <w:rPr>
                <w:rFonts w:ascii="Arial" w:hAnsi="Arial" w:cs="Arial"/>
                <w:i/>
                <w:sz w:val="22"/>
                <w:szCs w:val="22"/>
              </w:rPr>
              <w:t xml:space="preserve"> para o serviço de Banco Depositário, respeitando os fluxos de pagamentos e funções dos Bancos Depositários.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de Livre Movimentação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as contas correntes de livre movimentação, de titularidade da Cedente, para as quais (i) serão feitos os pagamentos do Preço de Aquisição e (</w:t>
            </w:r>
            <w:proofErr w:type="spellStart"/>
            <w:r>
              <w:rPr>
                <w:rFonts w:ascii="Arial" w:hAnsi="Arial" w:cs="Arial"/>
                <w:i/>
                <w:sz w:val="22"/>
                <w:szCs w:val="22"/>
              </w:rPr>
              <w:t>ii</w:t>
            </w:r>
            <w:proofErr w:type="spellEnd"/>
            <w:r>
              <w:rPr>
                <w:rFonts w:ascii="Arial" w:hAnsi="Arial" w:cs="Arial"/>
                <w:i/>
                <w:sz w:val="22"/>
                <w:szCs w:val="22"/>
              </w:rPr>
              <w:t xml:space="preserve">) serão transferidos os pagamentos referentes aos Direitos Creditórios que sejam depositados em uma das Contas Centralizadoras da Cedente que não se refiram aos pagamentos dos Direitos Creditórios Cedidos ao Cessionário.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Contrato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presente instrumento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529"/>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t>Contratos de Contas Centralizadoras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os seguintes instrumentos particulares quando considerados em conjunto: (i) “Contrato de Prestação de Serviços de Banco Depositário”, celebrado entre a Cedente e o Banco Votorantim S.A.; e (</w:t>
            </w:r>
            <w:proofErr w:type="spellStart"/>
            <w:r>
              <w:rPr>
                <w:rFonts w:ascii="Arial" w:hAnsi="Arial" w:cs="Arial"/>
                <w:i/>
                <w:sz w:val="22"/>
                <w:szCs w:val="22"/>
              </w:rPr>
              <w:t>ii</w:t>
            </w:r>
            <w:proofErr w:type="spellEnd"/>
            <w:r>
              <w:rPr>
                <w:rFonts w:ascii="Arial" w:hAnsi="Arial" w:cs="Arial"/>
                <w:i/>
                <w:sz w:val="22"/>
                <w:szCs w:val="22"/>
              </w:rPr>
              <w:t>) “Contrato.de Prestação de Serviços de Conta Controlada” celebrado entre a Cedente e o Banco Citibank S.A.; e/ou (</w:t>
            </w:r>
            <w:proofErr w:type="spellStart"/>
            <w:r>
              <w:rPr>
                <w:rFonts w:ascii="Arial" w:hAnsi="Arial" w:cs="Arial"/>
                <w:i/>
                <w:sz w:val="22"/>
                <w:szCs w:val="22"/>
              </w:rPr>
              <w:t>iii</w:t>
            </w:r>
            <w:proofErr w:type="spellEnd"/>
            <w:r>
              <w:rPr>
                <w:rFonts w:ascii="Arial" w:hAnsi="Arial" w:cs="Arial"/>
                <w:i/>
                <w:sz w:val="22"/>
                <w:szCs w:val="22"/>
              </w:rPr>
              <w:t xml:space="preserve">) qualquer outro contrato celebrado entre a Cedente e um Banco Depositário contratado pela Cedente com o propósito de regular a movimentação de uma Conta Centralizadora da Cedente. O Cessionário aderirá aos Contratos de Contas Centralizadoras, acima mencionados, para que possa enviar as Ordens de Transferência aplicáveis aos respectivos Bancos Depositários ou possa divergir das Ordens de Transferência enviadas pelos respectivos Bancos Depositários, conforme aplicável, sem prejuízo de outros direitos e obrigações estabelecidos em tais contratos.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Contrato de Credenciamento</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i/>
                <w:sz w:val="22"/>
                <w:szCs w:val="22"/>
              </w:rPr>
              <w:t>é</w:t>
            </w:r>
            <w:proofErr w:type="gramEnd"/>
            <w:r>
              <w:rPr>
                <w:rFonts w:ascii="Arial" w:hAnsi="Arial" w:cs="Arial"/>
                <w:i/>
                <w:sz w:val="22"/>
                <w:szCs w:val="22"/>
              </w:rPr>
              <w:t xml:space="preserve"> o “Contrato de Prestação de Serviços de Credenciamento e Adesão de Estabelecimentos ao Sistema Stone”, originalmente registrado em 12 de fevereiro de 2016 no 6º Oficial de Registro de Títulos e Documentos de São Paulo sob o nº 1.790.342, conforme aditado e/ou substituído de tempos em tempos, por meio do qual os Estabelecimentos Credenciados</w:t>
            </w:r>
            <w:r>
              <w:rPr>
                <w:rFonts w:ascii="Arial" w:eastAsia="MS Mincho" w:hAnsi="Arial" w:cs="Arial"/>
                <w:i/>
                <w:sz w:val="22"/>
                <w:szCs w:val="22"/>
              </w:rPr>
              <w:t xml:space="preserve"> aderem aos termos e condições gerais da prestação de serviços prestados pela Stone</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Credenciadora</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Calibri" w:hAnsi="Arial" w:cs="Arial"/>
                <w:i/>
                <w:sz w:val="22"/>
                <w:szCs w:val="22"/>
              </w:rPr>
              <w:t>significa</w:t>
            </w:r>
            <w:proofErr w:type="gramEnd"/>
            <w:r>
              <w:rPr>
                <w:rFonts w:ascii="Arial" w:eastAsia="Calibri" w:hAnsi="Arial" w:cs="Arial"/>
                <w:i/>
                <w:sz w:val="22"/>
                <w:szCs w:val="22"/>
              </w:rPr>
              <w:t xml:space="preserve"> a Stone.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Critérios de Elegibilidade</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critérios que todo e qualquer Direito Creditório deverá atender cumulativamente para que possa ser adquirido pelo Cessionário, conforme disposto na Cláusula 2.3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CVM</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Comissão de Valores Mobiliários.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Apuração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2.1.3 do Contrato.</w:t>
            </w:r>
          </w:p>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t>Data de Integralização da Primeira Subscrição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significa</w:t>
            </w:r>
            <w:proofErr w:type="gramEnd"/>
            <w:r>
              <w:rPr>
                <w:rFonts w:ascii="Arial" w:hAnsi="Arial" w:cs="Arial"/>
                <w:i/>
                <w:spacing w:val="-2"/>
                <w:sz w:val="22"/>
                <w:szCs w:val="22"/>
              </w:rPr>
              <w:t xml:space="preserve"> a data da integralização das Debêntures na Primeira Subscrição, nos termos da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t>Data de Integralização da Segunda Subscrição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significa</w:t>
            </w:r>
            <w:proofErr w:type="gramEnd"/>
            <w:r>
              <w:rPr>
                <w:rFonts w:ascii="Arial" w:hAnsi="Arial" w:cs="Arial"/>
                <w:i/>
                <w:spacing w:val="-2"/>
                <w:sz w:val="22"/>
                <w:szCs w:val="22"/>
              </w:rPr>
              <w:t xml:space="preserve"> a data da integralização das Debêntures na Segunda Subscrição, nos termos da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Oferta</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significa</w:t>
            </w:r>
            <w:proofErr w:type="gramEnd"/>
            <w:r>
              <w:rPr>
                <w:rFonts w:ascii="Arial" w:hAnsi="Arial" w:cs="Arial"/>
                <w:i/>
                <w:spacing w:val="-2"/>
                <w:sz w:val="22"/>
                <w:szCs w:val="22"/>
              </w:rPr>
              <w:t xml:space="preserve"> o Dia Útil da ocorrência da cessão</w:t>
            </w:r>
            <w:r>
              <w:rPr>
                <w:rFonts w:ascii="Arial" w:hAnsi="Arial" w:cs="Arial"/>
                <w:i/>
                <w:sz w:val="22"/>
                <w:szCs w:val="22"/>
              </w:rPr>
              <w:t xml:space="preserve">, no qual a Cedente encaminhará à </w:t>
            </w:r>
            <w:proofErr w:type="spellStart"/>
            <w:r>
              <w:rPr>
                <w:rFonts w:ascii="Arial" w:hAnsi="Arial" w:cs="Arial"/>
                <w:i/>
                <w:sz w:val="22"/>
                <w:szCs w:val="22"/>
              </w:rPr>
              <w:t>Servicer</w:t>
            </w:r>
            <w:proofErr w:type="spellEnd"/>
            <w:r>
              <w:rPr>
                <w:rFonts w:ascii="Arial" w:hAnsi="Arial" w:cs="Arial"/>
                <w:i/>
                <w:sz w:val="22"/>
                <w:szCs w:val="22"/>
              </w:rPr>
              <w:t xml:space="preserve"> o Arquivo de Envio, conforme definido na Cláusula 3.1.1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da Resolução</w:t>
            </w: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Debêntures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5.1.1.1 do Contrato.</w:t>
            </w:r>
          </w:p>
          <w:p>
            <w:pPr>
              <w:widowControl w:val="0"/>
              <w:tabs>
                <w:tab w:val="left" w:pos="0"/>
                <w:tab w:val="left" w:pos="709"/>
                <w:tab w:val="left" w:pos="5812"/>
              </w:tabs>
              <w:spacing w:line="340" w:lineRule="exact"/>
              <w:rPr>
                <w:rFonts w:ascii="Arial" w:hAnsi="Arial" w:cs="Arial"/>
                <w:i/>
                <w:spacing w:val="-2"/>
                <w:sz w:val="22"/>
                <w:szCs w:val="22"/>
              </w:rPr>
            </w:pPr>
          </w:p>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Debenturistas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São os titulares das Debêntures em circulação, conforme definido na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Devedores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para</w:t>
            </w:r>
            <w:proofErr w:type="gramEnd"/>
            <w:r>
              <w:rPr>
                <w:rFonts w:ascii="Arial" w:hAnsi="Arial" w:cs="Arial"/>
                <w:i/>
                <w:sz w:val="22"/>
                <w:szCs w:val="22"/>
              </w:rPr>
              <w:t xml:space="preserve"> os fins do Cessionário, são os Emissores Aprovados.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747"/>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Dia Útil </w:t>
            </w:r>
            <w:r>
              <w:rPr>
                <w:rFonts w:ascii="Arial" w:eastAsia="MS Mincho" w:hAnsi="Arial" w:cs="Arial"/>
                <w:i/>
                <w:sz w:val="22"/>
                <w:szCs w:val="22"/>
              </w:rPr>
              <w:t>ou</w:t>
            </w:r>
            <w:r>
              <w:rPr>
                <w:rFonts w:ascii="Arial" w:eastAsia="MS Mincho" w:hAnsi="Arial" w:cs="Arial"/>
                <w:b/>
                <w:i/>
                <w:sz w:val="22"/>
                <w:szCs w:val="22"/>
              </w:rPr>
              <w:t xml:space="preserve"> Dias Úteis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significa</w:t>
            </w:r>
            <w:proofErr w:type="gramEnd"/>
            <w:r>
              <w:rPr>
                <w:rFonts w:ascii="Arial" w:hAnsi="Arial" w:cs="Arial"/>
                <w:i/>
                <w:sz w:val="22"/>
                <w:szCs w:val="22"/>
              </w:rPr>
              <w:t xml:space="preserve"> qualquer dia no qual haja expediente nos bancos comerciais na Cidade de São Paulo, Estado de São Paulo, e que não seja sábado, domingo ou feriado declarado nacional.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os direitos creditórios de tempos em tempos detidos pela Cedente em face dos Devedores conforme as regras dos Arranjos de Pagamentos, decorrentes de Transações de Pagamento realizadas por Usuários-Finais com a utilização de Instrumentos de Pagamento, operacionalizadas pelo Sistema Stone para a aquisição de bens ou serviços nos Estabelecimentos Credenciados, equivalentes ao valor remanescente das Transações de Pagamento após o desconto das Taxas Aplicáveis.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848"/>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Direitos Creditórios Elegíveis, cedidos pela Cedente ao Cessionário, nos termos deste Contrato e respectivos Termos de Cessão.</w:t>
            </w:r>
          </w:p>
        </w:tc>
      </w:tr>
      <w:tr>
        <w:trPr>
          <w:gridBefore w:val="1"/>
          <w:wBefore w:w="34" w:type="dxa"/>
          <w:trHeight w:val="11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48"/>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 Inadimplidos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os Direitos Creditórios Cedidos cujos respectivos Devedores estejam em atraso no cumprimento de suas respectivas obrigações contratuais.</w:t>
            </w:r>
          </w:p>
        </w:tc>
      </w:tr>
      <w:tr>
        <w:trPr>
          <w:gridBefore w:val="1"/>
          <w:wBefore w:w="34" w:type="dxa"/>
          <w:trHeight w:val="7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Elegíveis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Direitos Creditórios que atendam aos Critérios de Elegibilidade.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jc w:val="lef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Documentos Adicionais</w:t>
            </w:r>
          </w:p>
        </w:tc>
        <w:tc>
          <w:tcPr>
            <w:tcW w:w="5473" w:type="dxa"/>
            <w:gridSpan w:val="3"/>
            <w:vAlign w:val="center"/>
          </w:tcPr>
          <w:p>
            <w:pPr>
              <w:widowControl w:val="0"/>
              <w:tabs>
                <w:tab w:val="left" w:pos="0"/>
                <w:tab w:val="left" w:pos="709"/>
                <w:tab w:val="left" w:pos="5812"/>
              </w:tabs>
              <w:spacing w:line="340" w:lineRule="exact"/>
              <w:rPr>
                <w:rFonts w:ascii="Arial" w:hAnsi="Arial" w:cs="Arial"/>
                <w:b/>
                <w:bCs/>
                <w:i/>
                <w:sz w:val="22"/>
                <w:szCs w:val="22"/>
              </w:rPr>
            </w:pPr>
            <w:r>
              <w:rPr>
                <w:rFonts w:ascii="Arial" w:hAnsi="Arial" w:cs="Arial"/>
                <w:bCs/>
                <w:i/>
                <w:sz w:val="22"/>
                <w:szCs w:val="22"/>
              </w:rPr>
              <w:t xml:space="preserve">São (a) contratos celebrados entre a Cedente e a Bandeira Visa e/ou a Bandeira </w:t>
            </w:r>
            <w:proofErr w:type="spellStart"/>
            <w:r>
              <w:rPr>
                <w:rFonts w:ascii="Arial" w:hAnsi="Arial" w:cs="Arial"/>
                <w:bCs/>
                <w:i/>
                <w:sz w:val="22"/>
                <w:szCs w:val="22"/>
              </w:rPr>
              <w:t>MasterCard</w:t>
            </w:r>
            <w:proofErr w:type="spellEnd"/>
            <w:r>
              <w:rPr>
                <w:rFonts w:ascii="Arial" w:hAnsi="Arial" w:cs="Arial"/>
                <w:bCs/>
                <w:i/>
                <w:sz w:val="22"/>
                <w:szCs w:val="22"/>
              </w:rPr>
              <w:t xml:space="preserve">, conforme o caso; </w:t>
            </w:r>
            <w:r>
              <w:rPr>
                <w:rFonts w:ascii="Arial" w:hAnsi="Arial" w:cs="Arial"/>
                <w:bCs/>
                <w:i/>
                <w:iCs/>
                <w:sz w:val="22"/>
                <w:szCs w:val="22"/>
              </w:rPr>
              <w:t>e (b) outros documentos, adicionais aos Documentos Comprobatórios, que poderão ser necessários em discussões sobre a existência dos Direitos Creditórios Cedidos</w:t>
            </w:r>
            <w:r>
              <w:rPr>
                <w:rFonts w:ascii="Arial" w:hAnsi="Arial" w:cs="Arial"/>
                <w:bCs/>
                <w:i/>
                <w:sz w:val="22"/>
                <w:szCs w:val="22"/>
              </w:rPr>
              <w:t xml:space="preserve">. Os Documentos Adicionais serão disponibilizados à </w:t>
            </w:r>
            <w:proofErr w:type="spellStart"/>
            <w:r>
              <w:rPr>
                <w:rFonts w:ascii="Arial" w:hAnsi="Arial" w:cs="Arial"/>
                <w:bCs/>
                <w:i/>
                <w:sz w:val="22"/>
                <w:szCs w:val="22"/>
              </w:rPr>
              <w:t>Servicer</w:t>
            </w:r>
            <w:proofErr w:type="spellEnd"/>
            <w:r>
              <w:rPr>
                <w:rFonts w:ascii="Arial" w:hAnsi="Arial" w:cs="Arial"/>
                <w:bCs/>
                <w:i/>
                <w:sz w:val="22"/>
                <w:szCs w:val="22"/>
              </w:rPr>
              <w:t xml:space="preserve"> e/ou ao Cessionário sempre que assim solicitado por qualquer um destes, nos termos deste Contrato.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Documentos Comprobatórios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na Cláusula 2.2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hAnsi="Arial" w:cs="Arial"/>
                <w:bCs/>
                <w:i/>
                <w:sz w:val="22"/>
                <w:szCs w:val="22"/>
              </w:rPr>
              <w:t>são</w:t>
            </w:r>
            <w:proofErr w:type="gramEnd"/>
            <w:r>
              <w:rPr>
                <w:rFonts w:ascii="Arial" w:hAnsi="Arial" w:cs="Arial"/>
                <w:bCs/>
                <w:i/>
                <w:sz w:val="22"/>
                <w:szCs w:val="22"/>
              </w:rPr>
              <w:t xml:space="preserve"> as instituições financeiras e/ou instituições de pagamento devidamente autorizadas pelo BACEN e licenciadas pelas Bandeiras a emitir moeda eletrônica e/ou Instrumentos de Pagamento (inclusive Cartões), com validade no Brasil, nos termos da legislação aplicável do CMN e BACEN.</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Evento de Suspensão</w:t>
            </w: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os eventos definidos na Cláusula 8.4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 Aprovados</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os seguintes Emissores: (i) Itaú Unibanco S.A.; (</w:t>
            </w:r>
            <w:proofErr w:type="spellStart"/>
            <w:r>
              <w:rPr>
                <w:rFonts w:ascii="Arial" w:hAnsi="Arial" w:cs="Arial"/>
                <w:i/>
                <w:sz w:val="22"/>
                <w:szCs w:val="22"/>
              </w:rPr>
              <w:t>ii</w:t>
            </w:r>
            <w:proofErr w:type="spellEnd"/>
            <w:r>
              <w:rPr>
                <w:rFonts w:ascii="Arial" w:hAnsi="Arial" w:cs="Arial"/>
                <w:i/>
                <w:sz w:val="22"/>
                <w:szCs w:val="22"/>
              </w:rPr>
              <w:t>) Banco Bradesco S.A.; (</w:t>
            </w:r>
            <w:proofErr w:type="spellStart"/>
            <w:r>
              <w:rPr>
                <w:rFonts w:ascii="Arial" w:hAnsi="Arial" w:cs="Arial"/>
                <w:i/>
                <w:sz w:val="22"/>
                <w:szCs w:val="22"/>
              </w:rPr>
              <w:t>iii</w:t>
            </w:r>
            <w:proofErr w:type="spellEnd"/>
            <w:r>
              <w:rPr>
                <w:rFonts w:ascii="Arial" w:hAnsi="Arial" w:cs="Arial"/>
                <w:i/>
                <w:sz w:val="22"/>
                <w:szCs w:val="22"/>
              </w:rPr>
              <w:t>) Banco Citibank S.A.; (</w:t>
            </w:r>
            <w:proofErr w:type="spellStart"/>
            <w:r>
              <w:rPr>
                <w:rFonts w:ascii="Arial" w:hAnsi="Arial" w:cs="Arial"/>
                <w:i/>
                <w:sz w:val="22"/>
                <w:szCs w:val="22"/>
              </w:rPr>
              <w:t>iv</w:t>
            </w:r>
            <w:proofErr w:type="spellEnd"/>
            <w:r>
              <w:rPr>
                <w:rFonts w:ascii="Arial" w:hAnsi="Arial" w:cs="Arial"/>
                <w:i/>
                <w:sz w:val="22"/>
                <w:szCs w:val="22"/>
              </w:rPr>
              <w:t xml:space="preserve">) Banco Santander (Brasil) S.A.; (v) Banco do Brasil S.A.; e (vi) Caixa Econômica Federal.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Escritura de Emissão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Estabelecimentos Credenciados</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w:t>
            </w:r>
            <w:r>
              <w:rPr>
                <w:rFonts w:ascii="Arial" w:hAnsi="Arial" w:cs="Arial"/>
                <w:i/>
                <w:sz w:val="22"/>
                <w:szCs w:val="22"/>
              </w:rPr>
              <w:t>estabelecimentos comerciais ou profissionais autônomos, localizados</w:t>
            </w:r>
            <w:r>
              <w:rPr>
                <w:rFonts w:ascii="Arial" w:eastAsia="MS Mincho" w:hAnsi="Arial" w:cs="Arial"/>
                <w:i/>
                <w:sz w:val="22"/>
                <w:szCs w:val="22"/>
              </w:rPr>
              <w:t xml:space="preserve"> no Brasil, devidamente credenciados pela Stone, na qualidade de Credenciadora, e que tenham aderido e anuído ao Contrato de Credenciamento.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Evento de Resilição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significam</w:t>
            </w:r>
            <w:proofErr w:type="gramEnd"/>
            <w:r>
              <w:rPr>
                <w:rFonts w:ascii="Arial" w:eastAsia="MS Mincho" w:hAnsi="Arial" w:cs="Arial"/>
                <w:i/>
                <w:sz w:val="22"/>
                <w:szCs w:val="22"/>
              </w:rPr>
              <w:t xml:space="preserve"> os eventos listados nas Cláusulas 8.2 e 8.3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 xml:space="preserve">Evento de Resilição </w:t>
            </w:r>
            <w:r>
              <w:rPr>
                <w:rFonts w:ascii="Arial" w:hAnsi="Arial" w:cs="Arial"/>
                <w:b/>
                <w:i/>
                <w:sz w:val="22"/>
                <w:szCs w:val="22"/>
              </w:rPr>
              <w:t>Automática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significam</w:t>
            </w:r>
            <w:proofErr w:type="gramEnd"/>
            <w:r>
              <w:rPr>
                <w:rFonts w:ascii="Arial" w:eastAsia="MS Mincho" w:hAnsi="Arial" w:cs="Arial"/>
                <w:i/>
                <w:sz w:val="22"/>
                <w:szCs w:val="22"/>
              </w:rPr>
              <w:t xml:space="preserve"> os eventos listados na Cláusula 8.2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hAnsi="Arial" w:cs="Arial"/>
                <w:b/>
                <w:i/>
                <w:sz w:val="22"/>
                <w:szCs w:val="22"/>
              </w:rPr>
              <w:t>Eventos de Resilição Não Automática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significam</w:t>
            </w:r>
            <w:proofErr w:type="gramEnd"/>
            <w:r>
              <w:rPr>
                <w:rFonts w:ascii="Arial" w:eastAsia="MS Mincho" w:hAnsi="Arial" w:cs="Arial"/>
                <w:i/>
                <w:sz w:val="22"/>
                <w:szCs w:val="22"/>
              </w:rPr>
              <w:t xml:space="preserve"> os eventos listados na Cláusula 8.3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IGP-M</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Índice Geral de Preços do Mercado – IGP-M, apurado e divulgado pela Fundação </w:t>
            </w:r>
            <w:proofErr w:type="spellStart"/>
            <w:r>
              <w:rPr>
                <w:rFonts w:ascii="Arial" w:eastAsia="MS Mincho" w:hAnsi="Arial" w:cs="Arial"/>
                <w:i/>
                <w:sz w:val="22"/>
                <w:szCs w:val="22"/>
              </w:rPr>
              <w:t>Getulio</w:t>
            </w:r>
            <w:proofErr w:type="spellEnd"/>
            <w:r>
              <w:rPr>
                <w:rFonts w:ascii="Arial" w:eastAsia="MS Mincho" w:hAnsi="Arial" w:cs="Arial"/>
                <w:i/>
                <w:sz w:val="22"/>
                <w:szCs w:val="22"/>
              </w:rPr>
              <w:t xml:space="preserve"> Vargas.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Informações Confidenciais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bCs/>
                <w:i/>
                <w:sz w:val="22"/>
                <w:szCs w:val="22"/>
              </w:rPr>
              <w:t>são</w:t>
            </w:r>
            <w:proofErr w:type="gramEnd"/>
            <w:r>
              <w:rPr>
                <w:rFonts w:ascii="Arial" w:eastAsia="MS Mincho" w:hAnsi="Arial" w:cs="Arial"/>
                <w:bCs/>
                <w:i/>
                <w:sz w:val="22"/>
                <w:szCs w:val="22"/>
              </w:rPr>
              <w:t xml:space="preserve"> as informações definidas na Cláusula 10.1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Instituições de Pagamento</w:t>
            </w: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roofErr w:type="gramStart"/>
            <w:r>
              <w:rPr>
                <w:rFonts w:ascii="Arial" w:eastAsia="MS Mincho" w:hAnsi="Arial" w:cs="Arial"/>
                <w:b w:val="0"/>
                <w:i/>
                <w:sz w:val="22"/>
                <w:szCs w:val="22"/>
              </w:rPr>
              <w:t>são</w:t>
            </w:r>
            <w:proofErr w:type="gramEnd"/>
            <w:r>
              <w:rPr>
                <w:rFonts w:ascii="Arial" w:eastAsia="MS Mincho" w:hAnsi="Arial" w:cs="Arial"/>
                <w:b w:val="0"/>
                <w:i/>
                <w:sz w:val="22"/>
                <w:szCs w:val="22"/>
              </w:rPr>
              <w:t xml:space="preserve"> as pessoas jurídicas que, aderindo a um ou mais Arranjos de Pagamento, tenham como atividade principal ou acessória os serviços de pagamento estabelecidos no artigo 2° da Circular 3.683/13.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Instrumentos de Pagamento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significa</w:t>
            </w:r>
            <w:proofErr w:type="gramEnd"/>
            <w:r>
              <w:rPr>
                <w:rFonts w:ascii="Arial" w:hAnsi="Arial" w:cs="Arial"/>
                <w:i/>
                <w:sz w:val="22"/>
                <w:szCs w:val="22"/>
              </w:rPr>
              <w:t xml:space="preserve"> todo(s) e qual(</w:t>
            </w:r>
            <w:proofErr w:type="spellStart"/>
            <w:r>
              <w:rPr>
                <w:rFonts w:ascii="Arial" w:hAnsi="Arial" w:cs="Arial"/>
                <w:i/>
                <w:sz w:val="22"/>
                <w:szCs w:val="22"/>
              </w:rPr>
              <w:t>is</w:t>
            </w:r>
            <w:proofErr w:type="spellEnd"/>
            <w:r>
              <w:rPr>
                <w:rFonts w:ascii="Arial" w:hAnsi="Arial" w:cs="Arial"/>
                <w:i/>
                <w:sz w:val="22"/>
                <w:szCs w:val="22"/>
              </w:rPr>
              <w:t>)quer dispositivo(s), conjunto(s) de procedimentos (incluindo, mas não se limitando a instrumento(s) físico(s) ou eletrônico(s) com funções de pagamento, inclusive Cartões), que venha(m) a ser aceito(s) em Transações de Pagamento no Sistema Stone.</w:t>
            </w:r>
          </w:p>
        </w:tc>
      </w:tr>
      <w:tr>
        <w:trPr>
          <w:gridBefore w:val="1"/>
          <w:wBefore w:w="34" w:type="dxa"/>
        </w:trPr>
        <w:tc>
          <w:tcPr>
            <w:tcW w:w="3531" w:type="dxa"/>
          </w:tcPr>
          <w:p>
            <w:pPr>
              <w:pStyle w:val="Corpodetexto"/>
              <w:widowControl w:val="0"/>
              <w:spacing w:line="340" w:lineRule="exact"/>
              <w:jc w:val="left"/>
              <w:rPr>
                <w:rFonts w:ascii="Arial" w:eastAsia="MS Mincho" w:hAnsi="Arial" w:cs="Arial"/>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Investidores Profissionais</w:t>
            </w:r>
          </w:p>
          <w:p>
            <w:pPr>
              <w:pStyle w:val="Corpodetexto"/>
              <w:widowControl w:val="0"/>
              <w:spacing w:line="340" w:lineRule="exact"/>
              <w:jc w:val="left"/>
              <w:rPr>
                <w:rFonts w:ascii="Arial" w:eastAsia="MS Mincho" w:hAnsi="Arial" w:cs="Arial"/>
                <w:b w:val="0"/>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roofErr w:type="gramStart"/>
            <w:r>
              <w:rPr>
                <w:rFonts w:ascii="Arial" w:eastAsia="MS Mincho" w:hAnsi="Arial" w:cs="Arial"/>
                <w:b w:val="0"/>
                <w:bCs w:val="0"/>
                <w:i/>
                <w:sz w:val="22"/>
                <w:szCs w:val="22"/>
              </w:rPr>
              <w:t>significam</w:t>
            </w:r>
            <w:proofErr w:type="gramEnd"/>
            <w:r>
              <w:rPr>
                <w:rFonts w:ascii="Arial" w:eastAsia="MS Mincho" w:hAnsi="Arial" w:cs="Arial"/>
                <w:b w:val="0"/>
                <w:bCs w:val="0"/>
                <w:i/>
                <w:sz w:val="22"/>
                <w:szCs w:val="22"/>
              </w:rPr>
              <w:t xml:space="preserve"> investidores profissionais, conforme regulamentação aplicável, em especial a Instrução CVM 539/13.</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Lei 12.865/13</w:t>
            </w: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roofErr w:type="gramStart"/>
            <w:r>
              <w:rPr>
                <w:rFonts w:ascii="Arial" w:eastAsia="MS Mincho" w:hAnsi="Arial" w:cs="Arial"/>
                <w:b w:val="0"/>
                <w:i/>
                <w:sz w:val="22"/>
                <w:szCs w:val="22"/>
              </w:rPr>
              <w:t>significa</w:t>
            </w:r>
            <w:proofErr w:type="gramEnd"/>
            <w:r>
              <w:rPr>
                <w:rFonts w:ascii="Arial" w:eastAsia="MS Mincho" w:hAnsi="Arial" w:cs="Arial"/>
                <w:b w:val="0"/>
                <w:i/>
                <w:sz w:val="22"/>
                <w:szCs w:val="22"/>
              </w:rPr>
              <w:t xml:space="preserve"> a Lei 12.865, de 9 de outubro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Lote</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bCs w:val="0"/>
                <w:i/>
                <w:sz w:val="22"/>
                <w:szCs w:val="22"/>
              </w:rPr>
              <w:t>tem</w:t>
            </w:r>
            <w:proofErr w:type="gramEnd"/>
            <w:r>
              <w:rPr>
                <w:rFonts w:ascii="Arial" w:eastAsia="MS Mincho" w:hAnsi="Arial" w:cs="Arial"/>
                <w:b w:val="0"/>
                <w:bCs w:val="0"/>
                <w:i/>
                <w:sz w:val="22"/>
                <w:szCs w:val="22"/>
              </w:rPr>
              <w:t xml:space="preserve"> o significado que lhe é atribuído na Cláusula 3.1.1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Notificação de Cessão</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i/>
                <w:sz w:val="22"/>
                <w:szCs w:val="22"/>
              </w:rPr>
              <w:t>tem</w:t>
            </w:r>
            <w:proofErr w:type="gramEnd"/>
            <w:r>
              <w:rPr>
                <w:rFonts w:ascii="Arial" w:eastAsia="MS Mincho" w:hAnsi="Arial" w:cs="Arial"/>
                <w:b w:val="0"/>
                <w:i/>
                <w:sz w:val="22"/>
                <w:szCs w:val="22"/>
              </w:rPr>
              <w:t xml:space="preserve"> o significado que lhe é atribuído na Cláusula 7.1, item “(j)”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Obrigação Financeira</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i/>
                <w:sz w:val="22"/>
                <w:szCs w:val="22"/>
              </w:rPr>
              <w:t>qualquer</w:t>
            </w:r>
            <w:proofErr w:type="gramEnd"/>
            <w:r>
              <w:rPr>
                <w:rFonts w:ascii="Arial" w:eastAsia="MS Mincho" w:hAnsi="Arial" w:cs="Arial"/>
                <w:b w:val="0"/>
                <w:i/>
                <w:sz w:val="22"/>
                <w:szCs w:val="22"/>
              </w:rPr>
              <w:t xml:space="preserve"> obrigação financeira oriunda de dívidas financeiras, bancárias, operações de mercado de capitais, local ou internacional, derivativos, cartas de crédito, avais, fianças, coobrigações e demais garantias prestadas em benefício de terceiros.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Ônus</w:t>
            </w:r>
          </w:p>
        </w:tc>
        <w:tc>
          <w:tcPr>
            <w:tcW w:w="5473" w:type="dxa"/>
            <w:gridSpan w:val="3"/>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i/>
                <w:sz w:val="22"/>
                <w:szCs w:val="22"/>
              </w:rPr>
              <w:t>qualquer</w:t>
            </w:r>
            <w:proofErr w:type="gramEnd"/>
            <w:r>
              <w:rPr>
                <w:rFonts w:ascii="Arial" w:eastAsia="MS Mincho" w:hAnsi="Arial" w:cs="Arial"/>
                <w:b w:val="0"/>
                <w:i/>
                <w:sz w:val="22"/>
                <w:szCs w:val="22"/>
              </w:rPr>
              <w:t xml:space="preserve"> garantia (real), cessão ou alienação fiduciária, penhor, hipoteca, usufruto ou de qualquer outro gravame ou ônus real que efetivamente possam limitar a fruição e o exercício dos direitos inerentes à propriedade.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Ordem de Transferência</w:t>
            </w:r>
          </w:p>
        </w:tc>
        <w:tc>
          <w:tcPr>
            <w:tcW w:w="5473" w:type="dxa"/>
            <w:gridSpan w:val="3"/>
          </w:tcPr>
          <w:p>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 xml:space="preserve">significa a notificação a ser encaminhada pelo Cessionário ao respectivo Banco Depositário, com cópia para a </w:t>
            </w:r>
            <w:proofErr w:type="spellStart"/>
            <w:r>
              <w:rPr>
                <w:rFonts w:ascii="Arial" w:eastAsia="MS Mincho" w:hAnsi="Arial" w:cs="Arial"/>
                <w:b w:val="0"/>
                <w:i/>
                <w:sz w:val="22"/>
                <w:szCs w:val="22"/>
              </w:rPr>
              <w:t>Servicer</w:t>
            </w:r>
            <w:proofErr w:type="spellEnd"/>
            <w:r>
              <w:rPr>
                <w:rFonts w:ascii="Arial" w:eastAsia="MS Mincho" w:hAnsi="Arial" w:cs="Arial"/>
                <w:b w:val="0"/>
                <w:i/>
                <w:sz w:val="22"/>
                <w:szCs w:val="22"/>
              </w:rPr>
              <w:t xml:space="preserve"> ou, alternativamente, ser enviada pelo Banco Depositário para o Cessionário, com cópia para a </w:t>
            </w:r>
            <w:proofErr w:type="spellStart"/>
            <w:r>
              <w:rPr>
                <w:rFonts w:ascii="Arial" w:eastAsia="MS Mincho" w:hAnsi="Arial" w:cs="Arial"/>
                <w:b w:val="0"/>
                <w:i/>
                <w:sz w:val="22"/>
                <w:szCs w:val="22"/>
              </w:rPr>
              <w:t>Servicer</w:t>
            </w:r>
            <w:proofErr w:type="spellEnd"/>
            <w:r>
              <w:rPr>
                <w:rFonts w:ascii="Arial" w:eastAsia="MS Mincho" w:hAnsi="Arial" w:cs="Arial"/>
                <w:b w:val="0"/>
                <w:i/>
                <w:sz w:val="22"/>
                <w:szCs w:val="22"/>
              </w:rPr>
              <w:t xml:space="preserve">, que deverá confirmar ou contestar (apresentando divergência), devendo informar, no mínimo e nos termos do respectivo Contrato de Contas Centralizadora, o montante total a ser transferido para a Conta Autorizada do Cessionário no Dia Útil imediatamente subsequente, conforme valores e datas de vencimento dos Direitos Creditórios Cedidos.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Parte </w:t>
            </w:r>
            <w:r>
              <w:rPr>
                <w:rFonts w:ascii="Arial" w:eastAsia="MS Mincho" w:hAnsi="Arial" w:cs="Arial"/>
                <w:i/>
                <w:sz w:val="22"/>
                <w:szCs w:val="22"/>
              </w:rPr>
              <w:t>e/ou</w:t>
            </w:r>
            <w:r>
              <w:rPr>
                <w:rFonts w:ascii="Arial" w:eastAsia="MS Mincho" w:hAnsi="Arial" w:cs="Arial"/>
                <w:b/>
                <w:i/>
                <w:sz w:val="22"/>
                <w:szCs w:val="22"/>
              </w:rPr>
              <w:t xml:space="preserve"> Partes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no preâmbulo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Período de Aquisição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2.1.1 do Contrato.</w:t>
            </w:r>
          </w:p>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Pessoa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qualquer pessoa física ou jurídica, sociedade, associação, joint venture, sociedades anônimas, fundos de investimento, organizações ou entidades sem personalidade jurídica ou autoridade governamental.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Pessoas Autorizadas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as pessoas físicas às quais foram outorgados os poderes necessários para representação da respectiva Pessoa na prática dos atos em questão, nos termos dos respectivos documentos societários e/ou instrumentos de mandato, conforme aplicável.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de Aquisição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com</w:t>
            </w:r>
            <w:proofErr w:type="gramEnd"/>
            <w:r>
              <w:rPr>
                <w:rFonts w:ascii="Arial" w:eastAsia="MS Mincho" w:hAnsi="Arial" w:cs="Arial"/>
                <w:i/>
                <w:sz w:val="22"/>
                <w:szCs w:val="22"/>
              </w:rPr>
              <w:t xml:space="preserve"> relação aos Direitos Creditórios, o preço a ser pago pelo Cessionário à Cedente em decorrência da aquisição de tais Direitos Creditórios, conforme estabelecido na Cláusula 3.2 do Contrato.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da 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preço calculado nos termos da Cláusula 5.1.2 do Presente Contrato, que será pago na hipótese de Resolução de Cessão.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Primeira Aquisição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2.1.2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Primeira Subscrição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Processamento da Oferta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 </w:t>
            </w:r>
            <w:r>
              <w:rPr>
                <w:rFonts w:ascii="Arial" w:eastAsia="MS Mincho" w:hAnsi="Arial" w:cs="Arial"/>
                <w:bCs/>
                <w:i/>
                <w:sz w:val="22"/>
                <w:szCs w:val="22"/>
              </w:rPr>
              <w:t>3.1.1</w:t>
            </w:r>
            <w:r>
              <w:rPr>
                <w:rFonts w:ascii="Arial" w:eastAsia="MS Mincho" w:hAnsi="Arial" w:cs="Arial"/>
                <w:i/>
                <w:sz w:val="22"/>
                <w:szCs w:val="22"/>
              </w:rPr>
              <w:t xml:space="preserve">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a razão, a ser calculada diariamente pela </w:t>
            </w:r>
            <w:proofErr w:type="spellStart"/>
            <w:r>
              <w:rPr>
                <w:rFonts w:ascii="Arial" w:eastAsia="MS Mincho" w:hAnsi="Arial" w:cs="Arial"/>
                <w:i/>
                <w:sz w:val="22"/>
                <w:szCs w:val="22"/>
              </w:rPr>
              <w:t>Servicer</w:t>
            </w:r>
            <w:proofErr w:type="spellEnd"/>
            <w:r>
              <w:rPr>
                <w:rFonts w:ascii="Arial" w:eastAsia="MS Mincho" w:hAnsi="Arial" w:cs="Arial"/>
                <w:i/>
                <w:sz w:val="22"/>
                <w:szCs w:val="22"/>
              </w:rPr>
              <w:t>, dividindo-se (A) o somatório do (i) valor presente dos Direitos Creditórios e (</w:t>
            </w:r>
            <w:proofErr w:type="spellStart"/>
            <w:r>
              <w:rPr>
                <w:rFonts w:ascii="Arial" w:eastAsia="MS Mincho" w:hAnsi="Arial" w:cs="Arial"/>
                <w:i/>
                <w:sz w:val="22"/>
                <w:szCs w:val="22"/>
              </w:rPr>
              <w:t>ii</w:t>
            </w:r>
            <w:proofErr w:type="spellEnd"/>
            <w:r>
              <w:rPr>
                <w:rFonts w:ascii="Arial" w:eastAsia="MS Mincho" w:hAnsi="Arial" w:cs="Arial"/>
                <w:i/>
                <w:sz w:val="22"/>
                <w:szCs w:val="22"/>
              </w:rPr>
              <w:t xml:space="preserve">) saldo em conta corrente da Conta Autorizada (o numerador) por (B) saldo devedor das Debêntures.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Referências Utilizadas nas Trocas de Arquivos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o </w:t>
            </w:r>
            <w:r>
              <w:rPr>
                <w:rFonts w:ascii="Arial" w:eastAsia="MS Mincho" w:hAnsi="Arial" w:cs="Arial"/>
                <w:b/>
                <w:i/>
                <w:sz w:val="22"/>
                <w:szCs w:val="22"/>
                <w:u w:val="single"/>
              </w:rPr>
              <w:t>Anexo XII</w:t>
            </w:r>
            <w:r>
              <w:rPr>
                <w:rFonts w:ascii="Arial" w:eastAsia="MS Mincho" w:hAnsi="Arial" w:cs="Arial"/>
                <w:i/>
                <w:sz w:val="22"/>
                <w:szCs w:val="22"/>
              </w:rPr>
              <w:t xml:space="preserve">, que descreve as referências que são utilizadas nas trocas de arquivos entre a Cedente e a </w:t>
            </w:r>
            <w:proofErr w:type="spellStart"/>
            <w:r>
              <w:rPr>
                <w:rFonts w:ascii="Arial" w:eastAsia="MS Mincho" w:hAnsi="Arial" w:cs="Arial"/>
                <w:i/>
                <w:sz w:val="22"/>
                <w:szCs w:val="22"/>
              </w:rPr>
              <w:t>Servicer</w:t>
            </w:r>
            <w:proofErr w:type="spellEnd"/>
            <w:r>
              <w:rPr>
                <w:rFonts w:ascii="Arial" w:eastAsia="MS Mincho" w:hAnsi="Arial" w:cs="Arial"/>
                <w:i/>
                <w:sz w:val="22"/>
                <w:szCs w:val="22"/>
              </w:rPr>
              <w:t xml:space="preserve"> nos termos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Representantes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bCs/>
                <w:i/>
                <w:sz w:val="22"/>
                <w:szCs w:val="22"/>
              </w:rPr>
              <w:t>são</w:t>
            </w:r>
            <w:proofErr w:type="gramEnd"/>
            <w:r>
              <w:rPr>
                <w:rFonts w:ascii="Arial" w:eastAsia="MS Mincho" w:hAnsi="Arial" w:cs="Arial"/>
                <w:bCs/>
                <w:i/>
                <w:sz w:val="22"/>
                <w:szCs w:val="22"/>
              </w:rPr>
              <w:t xml:space="preserve"> as pessoas definidas na Cláusula 10.1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Resolução CMN 4.282/13</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a Resolução n° 4.282/13, expedida pelo Conselho Monetário Nacional em 4 de novembro de 2013, </w:t>
            </w:r>
            <w:r>
              <w:rPr>
                <w:rFonts w:ascii="Arial" w:hAnsi="Arial" w:cs="Arial"/>
                <w:i/>
                <w:sz w:val="22"/>
                <w:szCs w:val="22"/>
              </w:rPr>
              <w:t>conforme alterada, ou qualquer outra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 5.1.1 do Contrato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Segunda Aquisição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2.1.3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Segunda Subscrição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roofErr w:type="spellStart"/>
            <w:r>
              <w:rPr>
                <w:rFonts w:ascii="Arial" w:eastAsia="MS Mincho" w:hAnsi="Arial" w:cs="Arial"/>
                <w:b/>
                <w:bCs/>
                <w:i/>
                <w:sz w:val="22"/>
                <w:szCs w:val="22"/>
              </w:rPr>
              <w:t>Servicer</w:t>
            </w:r>
            <w:proofErr w:type="spellEnd"/>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é</w:t>
            </w:r>
            <w:proofErr w:type="gramEnd"/>
            <w:r>
              <w:rPr>
                <w:rFonts w:ascii="Arial" w:hAnsi="Arial" w:cs="Arial"/>
                <w:i/>
                <w:sz w:val="22"/>
                <w:szCs w:val="22"/>
              </w:rPr>
              <w:t xml:space="preserve"> a </w:t>
            </w:r>
            <w:r>
              <w:rPr>
                <w:rFonts w:ascii="Arial" w:hAnsi="Arial" w:cs="Arial"/>
                <w:b/>
                <w:i/>
                <w:sz w:val="22"/>
                <w:szCs w:val="22"/>
              </w:rPr>
              <w:t>OLIVEIRA TRUST SERVICER S.A.</w:t>
            </w:r>
            <w:r>
              <w:rPr>
                <w:rFonts w:ascii="Arial" w:hAnsi="Arial" w:cs="Arial"/>
                <w:i/>
                <w:sz w:val="22"/>
                <w:szCs w:val="22"/>
              </w:rPr>
              <w:t>, sociedade por ações com sede na Cidade do Rio de Janeiro, Estado do Rio de Janeiro, na Avenida das Américas, nº 3.434, Bloco 07, sala 202, Condomínio Mario Henrique Simonsen, CEP 22640-102, Barra da Tijuca, inscrita no CNPJ/MF sob o nº 02.150.453/0001-20.</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Sistema de Troca de Arquivos</w:t>
            </w:r>
          </w:p>
        </w:tc>
        <w:tc>
          <w:tcPr>
            <w:tcW w:w="5473" w:type="dxa"/>
            <w:gridSpan w:val="3"/>
          </w:tcPr>
          <w:p>
            <w:pPr>
              <w:widowControl w:val="0"/>
              <w:tabs>
                <w:tab w:val="left" w:pos="0"/>
                <w:tab w:val="left" w:pos="709"/>
                <w:tab w:val="left" w:pos="5812"/>
              </w:tabs>
              <w:spacing w:line="340" w:lineRule="exact"/>
              <w:rPr>
                <w:rFonts w:ascii="Arial" w:eastAsia="MS Mincho" w:hAnsi="Arial" w:cs="Arial"/>
                <w:b/>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o sistema </w:t>
            </w:r>
            <w:proofErr w:type="spellStart"/>
            <w:r>
              <w:rPr>
                <w:rFonts w:ascii="Arial" w:eastAsia="MS Mincho" w:hAnsi="Arial" w:cs="Arial"/>
                <w:i/>
                <w:sz w:val="22"/>
                <w:szCs w:val="22"/>
              </w:rPr>
              <w:t>Connect:Direct</w:t>
            </w:r>
            <w:proofErr w:type="spellEnd"/>
            <w:r>
              <w:rPr>
                <w:rFonts w:ascii="Arial" w:eastAsia="MS Mincho" w:hAnsi="Arial" w:cs="Arial"/>
                <w:i/>
                <w:sz w:val="22"/>
                <w:szCs w:val="22"/>
              </w:rPr>
              <w:t xml:space="preserve">, ou qualquer outro sistema de troca de arquivos eletrônicos que venha a ser acordado entre a Cedente e a </w:t>
            </w:r>
            <w:proofErr w:type="spellStart"/>
            <w:r>
              <w:rPr>
                <w:rFonts w:ascii="Arial" w:eastAsia="MS Mincho" w:hAnsi="Arial" w:cs="Arial"/>
                <w:i/>
                <w:sz w:val="22"/>
                <w:szCs w:val="22"/>
              </w:rPr>
              <w:t>Servicer</w:t>
            </w:r>
            <w:proofErr w:type="spellEnd"/>
            <w:r>
              <w:rPr>
                <w:rFonts w:ascii="Arial" w:eastAsia="MS Mincho" w:hAnsi="Arial" w:cs="Arial"/>
                <w:i/>
                <w:sz w:val="22"/>
                <w:szCs w:val="22"/>
              </w:rPr>
              <w:t>, em nome do Cessionário</w:t>
            </w:r>
            <w:r>
              <w:rPr>
                <w:rFonts w:ascii="Arial" w:eastAsia="MS Mincho" w:hAnsi="Arial" w:cs="Arial"/>
                <w:b/>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Sistema Stone</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significa</w:t>
            </w:r>
            <w:proofErr w:type="gramEnd"/>
            <w:r>
              <w:rPr>
                <w:rFonts w:ascii="Arial" w:hAnsi="Arial" w:cs="Arial"/>
                <w:i/>
                <w:sz w:val="22"/>
                <w:szCs w:val="22"/>
              </w:rPr>
              <w:t xml:space="preserve"> o conjunto de pessoas, tecnologias e procedimentos disponibilizados pela Stone, necessários à habilitação de Estabelecimentos Credenciados, aceitação dos Instrumentos de Pagamento, captura, transmissão, processamento e liquidação das Transações de Pagamento e à aceitação e operacionalização de outros produtos e serviços relacionados a tais atividades.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Stone</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
                <w:i/>
                <w:sz w:val="22"/>
                <w:szCs w:val="22"/>
              </w:rPr>
              <w:t>STONE PAGAMENTOS S.A.</w:t>
            </w:r>
            <w:r>
              <w:rPr>
                <w:rFonts w:ascii="Arial" w:hAnsi="Arial" w:cs="Arial"/>
                <w:i/>
                <w:sz w:val="22"/>
                <w:szCs w:val="22"/>
              </w:rPr>
              <w:t xml:space="preserve">, sociedade por ações com sede na Cidade de São Paulo, Estado de São Paulo, na Rua </w:t>
            </w:r>
            <w:proofErr w:type="spellStart"/>
            <w:r>
              <w:rPr>
                <w:rFonts w:ascii="Arial" w:hAnsi="Arial" w:cs="Arial"/>
                <w:i/>
                <w:sz w:val="22"/>
                <w:szCs w:val="22"/>
              </w:rPr>
              <w:t>Fidêncio</w:t>
            </w:r>
            <w:proofErr w:type="spellEnd"/>
            <w:r>
              <w:rPr>
                <w:rFonts w:ascii="Arial" w:hAnsi="Arial" w:cs="Arial"/>
                <w:i/>
                <w:sz w:val="22"/>
                <w:szCs w:val="22"/>
              </w:rPr>
              <w:t xml:space="preserve"> Ramos, nº 308, Torre A, conjunto 102, Vila Olímpia, CEP 04551-902, inscrita no CNPJ/MF sob nº 16.501.555/0001-57.</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Taxas Aplicáveis</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Significam as taxas que constituem a remuneração dos Emissores (</w:t>
            </w:r>
            <w:proofErr w:type="spellStart"/>
            <w:r>
              <w:rPr>
                <w:rFonts w:ascii="Arial" w:hAnsi="Arial" w:cs="Arial"/>
                <w:i/>
                <w:sz w:val="22"/>
                <w:szCs w:val="22"/>
              </w:rPr>
              <w:t>interchange</w:t>
            </w:r>
            <w:proofErr w:type="spellEnd"/>
            <w:r>
              <w:rPr>
                <w:rFonts w:ascii="Arial" w:hAnsi="Arial" w:cs="Arial"/>
                <w:i/>
                <w:sz w:val="22"/>
                <w:szCs w:val="22"/>
              </w:rPr>
              <w:t xml:space="preserve">), a remuneração da Stone na qualidade de credenciadora (tarifa de </w:t>
            </w:r>
            <w:proofErr w:type="spellStart"/>
            <w:r>
              <w:rPr>
                <w:rFonts w:ascii="Arial" w:hAnsi="Arial" w:cs="Arial"/>
                <w:i/>
                <w:sz w:val="22"/>
                <w:szCs w:val="22"/>
              </w:rPr>
              <w:t>adquirência</w:t>
            </w:r>
            <w:proofErr w:type="spellEnd"/>
            <w:r>
              <w:rPr>
                <w:rFonts w:ascii="Arial" w:hAnsi="Arial" w:cs="Arial"/>
                <w:i/>
                <w:sz w:val="22"/>
                <w:szCs w:val="22"/>
              </w:rPr>
              <w:t xml:space="preserve">) e, se aplicável, a remuneração das Bandeiras, previstas nas regras dos Arranjos de Pagamento. </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 xml:space="preserve">Taxa </w:t>
            </w:r>
            <w:proofErr w:type="spellStart"/>
            <w:r>
              <w:rPr>
                <w:rStyle w:val="Nmerodepgina"/>
                <w:rFonts w:ascii="Arial" w:hAnsi="Arial" w:cs="Arial"/>
                <w:b/>
                <w:i/>
                <w:sz w:val="22"/>
                <w:szCs w:val="22"/>
              </w:rPr>
              <w:t>Pré-DI</w:t>
            </w:r>
            <w:proofErr w:type="spellEnd"/>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que lhe é atribuído na Cláusula 3.2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Cessão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"Termo de Cessão de Direitos Creditórios" que identifica a cessão dos Direitos Creditórios Cedidos pela Cedente ao Cessionário na forma do </w:t>
            </w:r>
            <w:r>
              <w:rPr>
                <w:rFonts w:ascii="Arial" w:eastAsia="MS Mincho" w:hAnsi="Arial" w:cs="Arial"/>
                <w:b/>
                <w:i/>
                <w:sz w:val="22"/>
                <w:szCs w:val="22"/>
                <w:u w:val="single"/>
              </w:rPr>
              <w:t xml:space="preserve">Anexo IV </w:t>
            </w:r>
            <w:r>
              <w:rPr>
                <w:rFonts w:ascii="Arial" w:eastAsia="MS Mincho" w:hAnsi="Arial" w:cs="Arial"/>
                <w:i/>
                <w:sz w:val="22"/>
                <w:szCs w:val="22"/>
              </w:rPr>
              <w:t xml:space="preserve">ao presente Contrato. </w:t>
            </w: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Cessão Consolidado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"Termo de Cessão de Direitos Creditórios Consolidado", que consolida a cessão dos Direitos Creditórios Cedidos pela Cedente ao Cessionário nos termos da Cláusula 3.6 do Contrato, na forma do </w:t>
            </w:r>
            <w:r>
              <w:rPr>
                <w:rFonts w:ascii="Arial" w:eastAsia="MS Mincho" w:hAnsi="Arial" w:cs="Arial"/>
                <w:b/>
                <w:i/>
                <w:sz w:val="22"/>
                <w:szCs w:val="22"/>
                <w:u w:val="single"/>
              </w:rPr>
              <w:t>Anexo VII</w:t>
            </w:r>
            <w:r>
              <w:rPr>
                <w:rFonts w:ascii="Arial" w:eastAsia="MS Mincho" w:hAnsi="Arial" w:cs="Arial"/>
                <w:i/>
                <w:sz w:val="22"/>
                <w:szCs w:val="22"/>
              </w:rPr>
              <w:t xml:space="preserve"> ao presente Contrato.</w:t>
            </w:r>
          </w:p>
        </w:tc>
      </w:tr>
      <w:tr>
        <w:trPr>
          <w:gridBefore w:val="1"/>
          <w:wBefore w:w="34" w:type="dxa"/>
          <w:trHeight w:val="28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"Termo de Resolução de Cessão de Direitos Creditórios" que identifica os Direitos Creditórios Cedidos pela Cedente ao Cessionário que serão objeto de Resolução de Cessão, na forma do </w:t>
            </w:r>
            <w:r>
              <w:rPr>
                <w:rFonts w:ascii="Arial" w:eastAsia="MS Mincho" w:hAnsi="Arial" w:cs="Arial"/>
                <w:b/>
                <w:i/>
                <w:sz w:val="22"/>
                <w:szCs w:val="22"/>
                <w:u w:val="single"/>
              </w:rPr>
              <w:t>Anexo IX</w:t>
            </w:r>
            <w:r>
              <w:rPr>
                <w:rFonts w:ascii="Arial" w:eastAsia="MS Mincho" w:hAnsi="Arial" w:cs="Arial"/>
                <w:b/>
                <w:i/>
                <w:sz w:val="22"/>
                <w:szCs w:val="22"/>
              </w:rPr>
              <w:t xml:space="preserve"> </w:t>
            </w:r>
            <w:r>
              <w:rPr>
                <w:rFonts w:ascii="Arial" w:eastAsia="MS Mincho" w:hAnsi="Arial" w:cs="Arial"/>
                <w:i/>
                <w:sz w:val="22"/>
                <w:szCs w:val="22"/>
              </w:rPr>
              <w:t>ao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692"/>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Transação de Pagamento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a operação de pagamento, pelo Usuário-Final, pela aquisição de bens e/ou serviços junto ao respectivo Estabelecimento Credenciado, mediante a utilização de quaisquer Instrumentos de Pagamento</w:t>
            </w:r>
            <w:r>
              <w:rPr>
                <w:rFonts w:ascii="Arial" w:hAnsi="Arial" w:cs="Arial"/>
                <w:i/>
                <w:sz w:val="22"/>
                <w:szCs w:val="22"/>
              </w:rPr>
              <w:t>, no âmbito de um ou mais Arranjos de Pagamento.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75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bCs/>
                <w:i/>
                <w:sz w:val="22"/>
                <w:szCs w:val="22"/>
              </w:rPr>
              <w:t>Usuários-Finais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as pessoas físicas ou jurídicas que utilizam um Instrumento de Pagamento das Bandeiras para a realização de uma Transação de Pagamento.</w:t>
            </w:r>
          </w:p>
        </w:tc>
      </w:tr>
      <w:tr>
        <w:trPr>
          <w:gridBefore w:val="1"/>
          <w:wBefore w:w="34" w:type="dxa"/>
          <w:trHeight w:val="451"/>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Valor Disponível para Aquisição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2.1.4 do Contrato.</w:t>
            </w:r>
          </w:p>
        </w:tc>
      </w:tr>
    </w:tbl>
    <w:p>
      <w:pPr>
        <w:pStyle w:val="Default"/>
        <w:widowControl/>
        <w:rPr>
          <w:rFonts w:ascii="Arial" w:hAnsi="Arial" w:cs="Arial"/>
          <w:i/>
          <w:sz w:val="22"/>
          <w:szCs w:val="22"/>
        </w:rPr>
      </w:pPr>
    </w:p>
    <w:p>
      <w:pPr>
        <w:autoSpaceDE/>
        <w:autoSpaceDN/>
        <w:adjustRightInd/>
        <w:jc w:val="left"/>
        <w:rPr>
          <w:rFonts w:ascii="Arial" w:hAnsi="Arial" w:cs="Arial"/>
          <w:i/>
          <w:color w:val="000000"/>
          <w:sz w:val="22"/>
          <w:szCs w:val="22"/>
        </w:rPr>
      </w:pPr>
      <w:r>
        <w:rPr>
          <w:rFonts w:ascii="Arial" w:hAnsi="Arial" w:cs="Arial"/>
          <w:i/>
          <w:sz w:val="22"/>
          <w:szCs w:val="22"/>
        </w:rPr>
        <w:br w:type="page"/>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ANEXO B AO</w:t>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pPr>
        <w:autoSpaceDE/>
        <w:autoSpaceDN/>
        <w:adjustRightInd/>
        <w:spacing w:line="340" w:lineRule="exact"/>
        <w:jc w:val="center"/>
        <w:rPr>
          <w:rFonts w:ascii="Arial" w:eastAsia="MS Mincho" w:hAnsi="Arial" w:cs="Arial"/>
          <w:b/>
          <w:bCs/>
          <w:sz w:val="22"/>
          <w:szCs w:val="22"/>
        </w:rPr>
      </w:pPr>
    </w:p>
    <w:p>
      <w:pPr>
        <w:autoSpaceDE/>
        <w:autoSpaceDN/>
        <w:adjustRightInd/>
        <w:spacing w:line="340" w:lineRule="exact"/>
        <w:jc w:val="center"/>
        <w:rPr>
          <w:rFonts w:ascii="Arial" w:eastAsia="MS Mincho" w:hAnsi="Arial" w:cs="Arial"/>
          <w:b/>
          <w:bCs/>
          <w:sz w:val="22"/>
          <w:szCs w:val="22"/>
        </w:rPr>
      </w:pPr>
    </w:p>
    <w:p>
      <w:pPr>
        <w:spacing w:line="340" w:lineRule="exact"/>
        <w:jc w:val="center"/>
        <w:rPr>
          <w:rFonts w:ascii="Arial" w:hAnsi="Arial" w:cs="Arial"/>
          <w:b/>
          <w:i/>
          <w:color w:val="000000"/>
          <w:sz w:val="22"/>
          <w:szCs w:val="22"/>
        </w:rPr>
      </w:pPr>
      <w:r>
        <w:rPr>
          <w:rFonts w:ascii="Arial" w:hAnsi="Arial" w:cs="Arial"/>
          <w:b/>
          <w:i/>
          <w:color w:val="000000"/>
          <w:sz w:val="22"/>
          <w:szCs w:val="22"/>
        </w:rPr>
        <w:t>ANEXO IV</w:t>
      </w:r>
    </w:p>
    <w:p>
      <w:pPr>
        <w:spacing w:line="340" w:lineRule="exact"/>
        <w:jc w:val="center"/>
        <w:rPr>
          <w:rFonts w:ascii="Arial" w:eastAsia="MS Mincho" w:hAnsi="Arial" w:cs="Arial"/>
          <w:b/>
          <w:i/>
          <w:sz w:val="22"/>
          <w:szCs w:val="22"/>
        </w:rPr>
      </w:pPr>
      <w:r>
        <w:rPr>
          <w:rFonts w:ascii="Arial" w:eastAsia="MS Mincho" w:hAnsi="Arial" w:cs="Arial"/>
          <w:b/>
          <w:i/>
          <w:sz w:val="22"/>
          <w:szCs w:val="22"/>
        </w:rPr>
        <w:t>AO</w:t>
      </w:r>
    </w:p>
    <w:p>
      <w:pPr>
        <w:pStyle w:val="Default"/>
        <w:spacing w:line="340" w:lineRule="exact"/>
        <w:jc w:val="center"/>
        <w:rPr>
          <w:rFonts w:ascii="Arial" w:hAnsi="Arial" w:cs="Arial"/>
          <w:b/>
          <w:bCs/>
          <w:i/>
          <w:sz w:val="22"/>
          <w:szCs w:val="22"/>
        </w:rPr>
      </w:pPr>
      <w:r>
        <w:rPr>
          <w:rStyle w:val="DeltaViewInsertion"/>
          <w:rFonts w:ascii="Arial" w:hAnsi="Arial" w:cs="Arial"/>
          <w:b/>
          <w:i/>
          <w:color w:val="auto"/>
          <w:sz w:val="22"/>
          <w:szCs w:val="22"/>
          <w:u w:val="none"/>
        </w:rPr>
        <w:t>CONTRATO DE PROMESSA DE CESSÃO E AQUISIÇÃO DE DIREITOS CREDITÓRIOS E OUTRAS AVENÇAS</w:t>
      </w:r>
    </w:p>
    <w:p>
      <w:pPr>
        <w:pStyle w:val="Default"/>
        <w:spacing w:line="340" w:lineRule="exact"/>
        <w:jc w:val="center"/>
        <w:rPr>
          <w:rFonts w:ascii="Arial" w:hAnsi="Arial" w:cs="Arial"/>
          <w:b/>
          <w:bCs/>
          <w:i/>
          <w:sz w:val="22"/>
          <w:szCs w:val="22"/>
        </w:rPr>
      </w:pPr>
    </w:p>
    <w:p>
      <w:pPr>
        <w:pStyle w:val="Default"/>
        <w:spacing w:line="340" w:lineRule="exact"/>
        <w:jc w:val="center"/>
        <w:rPr>
          <w:rFonts w:ascii="Arial" w:hAnsi="Arial" w:cs="Arial"/>
          <w:b/>
          <w:bCs/>
          <w:i/>
          <w:sz w:val="22"/>
          <w:szCs w:val="22"/>
        </w:rPr>
      </w:pPr>
      <w:r>
        <w:rPr>
          <w:rFonts w:ascii="Arial" w:hAnsi="Arial" w:cs="Arial"/>
          <w:b/>
          <w:bCs/>
          <w:i/>
          <w:sz w:val="22"/>
          <w:szCs w:val="22"/>
        </w:rPr>
        <w:t>Modelo do Termo De Cessão</w:t>
      </w:r>
    </w:p>
    <w:p>
      <w:pPr>
        <w:pStyle w:val="Default"/>
        <w:spacing w:line="340" w:lineRule="exact"/>
        <w:jc w:val="center"/>
        <w:rPr>
          <w:rFonts w:ascii="Arial" w:hAnsi="Arial" w:cs="Arial"/>
          <w:i/>
          <w:sz w:val="22"/>
          <w:szCs w:val="22"/>
        </w:rPr>
      </w:pPr>
    </w:p>
    <w:p>
      <w:pPr>
        <w:pStyle w:val="Default"/>
        <w:spacing w:line="340" w:lineRule="exact"/>
        <w:jc w:val="center"/>
        <w:rPr>
          <w:rFonts w:ascii="Arial" w:hAnsi="Arial" w:cs="Arial"/>
          <w:b/>
          <w:i/>
          <w:sz w:val="22"/>
          <w:szCs w:val="22"/>
          <w:u w:val="single"/>
        </w:rPr>
      </w:pPr>
      <w:r>
        <w:rPr>
          <w:rFonts w:ascii="Arial" w:hAnsi="Arial" w:cs="Arial"/>
          <w:b/>
          <w:i/>
          <w:sz w:val="22"/>
          <w:szCs w:val="22"/>
          <w:u w:val="single"/>
        </w:rPr>
        <w:t>TERMO DE CESSÃO DE DIREITOS CREDITÓRIOS Nº [</w:t>
      </w:r>
      <w:r>
        <w:rPr>
          <w:rFonts w:ascii="Arial" w:hAnsi="Arial" w:cs="Arial"/>
          <w:b/>
          <w:i/>
          <w:sz w:val="22"/>
          <w:szCs w:val="22"/>
          <w:u w:val="single"/>
        </w:rPr>
        <w:sym w:font="Symbol" w:char="F0B7"/>
      </w:r>
      <w:r>
        <w:rPr>
          <w:rFonts w:ascii="Arial" w:hAnsi="Arial" w:cs="Arial"/>
          <w:b/>
          <w:i/>
          <w:sz w:val="22"/>
          <w:szCs w:val="22"/>
          <w:u w:val="single"/>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i/>
          <w:sz w:val="22"/>
          <w:szCs w:val="22"/>
        </w:rPr>
        <w:t>Pelo presente Termo de Cessão de Direitos Creditórios (“</w:t>
      </w:r>
      <w:r>
        <w:rPr>
          <w:rFonts w:ascii="Arial" w:hAnsi="Arial" w:cs="Arial"/>
          <w:b/>
          <w:i/>
          <w:sz w:val="22"/>
          <w:szCs w:val="22"/>
        </w:rPr>
        <w:t>Termo</w:t>
      </w:r>
      <w:r>
        <w:rPr>
          <w:rFonts w:ascii="Arial" w:hAnsi="Arial" w:cs="Arial"/>
          <w:i/>
          <w:sz w:val="22"/>
          <w:szCs w:val="22"/>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b/>
          <w:i/>
          <w:sz w:val="22"/>
          <w:szCs w:val="22"/>
        </w:rPr>
        <w:t>Cedente: STONE PAGAMENTOS S.A.</w:t>
      </w:r>
      <w:r>
        <w:rPr>
          <w:rFonts w:ascii="Arial" w:hAnsi="Arial" w:cs="Arial"/>
          <w:i/>
          <w:sz w:val="22"/>
          <w:szCs w:val="22"/>
        </w:rPr>
        <w:t xml:space="preserve">, sociedade por ações com sede na Cidade de São Paulo, Estado de São Paulo, na Rua </w:t>
      </w:r>
      <w:proofErr w:type="spellStart"/>
      <w:r>
        <w:rPr>
          <w:rFonts w:ascii="Arial" w:hAnsi="Arial" w:cs="Arial"/>
          <w:i/>
          <w:sz w:val="22"/>
          <w:szCs w:val="22"/>
        </w:rPr>
        <w:t>Fidêncio</w:t>
      </w:r>
      <w:proofErr w:type="spellEnd"/>
      <w:r>
        <w:rPr>
          <w:rFonts w:ascii="Arial" w:hAnsi="Arial" w:cs="Arial"/>
          <w:i/>
          <w:sz w:val="22"/>
          <w:szCs w:val="22"/>
        </w:rPr>
        <w:t xml:space="preserve"> Ramos, nº 308, Torre A, conjunto 102, Vila Olímpia, CEP 04551-902, inscrita no CNPJ/MF sob nº 16.501.555/0001-57 (“</w:t>
      </w:r>
      <w:r>
        <w:rPr>
          <w:rFonts w:ascii="Arial" w:hAnsi="Arial" w:cs="Arial"/>
          <w:b/>
          <w:i/>
          <w:sz w:val="22"/>
          <w:szCs w:val="22"/>
        </w:rPr>
        <w:t>Cedente</w:t>
      </w:r>
      <w:r>
        <w:rPr>
          <w:rFonts w:ascii="Arial" w:hAnsi="Arial" w:cs="Arial"/>
          <w:i/>
          <w:sz w:val="22"/>
          <w:szCs w:val="22"/>
        </w:rPr>
        <w:t>”); e</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b/>
          <w:i/>
          <w:sz w:val="22"/>
          <w:szCs w:val="22"/>
        </w:rPr>
        <w:t>Cessionário:</w:t>
      </w:r>
      <w:r>
        <w:rPr>
          <w:rFonts w:ascii="Arial" w:hAnsi="Arial" w:cs="Arial"/>
          <w:i/>
          <w:sz w:val="22"/>
          <w:szCs w:val="22"/>
        </w:rPr>
        <w:t xml:space="preserve"> </w:t>
      </w:r>
      <w:r>
        <w:rPr>
          <w:rFonts w:ascii="Arial" w:hAnsi="Arial" w:cs="Arial"/>
          <w:b/>
          <w:i/>
          <w:sz w:val="22"/>
          <w:szCs w:val="22"/>
        </w:rPr>
        <w:t>SRC COMPANHIA SECURITIZADORA DE CRÉDITOS FINANCEIROS</w:t>
      </w:r>
      <w:r>
        <w:rPr>
          <w:rFonts w:ascii="Arial" w:hAnsi="Arial" w:cs="Arial"/>
          <w:i/>
          <w:sz w:val="22"/>
          <w:szCs w:val="22"/>
        </w:rPr>
        <w:t xml:space="preserve">, sociedade por ações sem registro de companhia aberta, com sede na Rua Joaquim Floriano, nº 1052, 13º andar, Itaim Bibi, na cidade de São Paulo, Estado de São Paulo, inscrita no CNPJ/MF sob nº </w:t>
      </w:r>
      <w:r>
        <w:rPr>
          <w:rFonts w:ascii="Arial" w:hAnsi="Arial" w:cs="Arial"/>
          <w:i/>
          <w:sz w:val="22"/>
          <w:szCs w:val="22"/>
          <w:lang w:eastAsia="en-US"/>
        </w:rPr>
        <w:t>31.345.064/0</w:t>
      </w:r>
      <w:r>
        <w:rPr>
          <w:rFonts w:ascii="Arial" w:hAnsi="Arial" w:cs="Arial"/>
          <w:i/>
          <w:sz w:val="22"/>
          <w:szCs w:val="22"/>
        </w:rPr>
        <w:t>001-58, neste ato representada na forma de seus atos constitutivos e demais documentos societários (“</w:t>
      </w:r>
      <w:r>
        <w:rPr>
          <w:rFonts w:ascii="Arial" w:hAnsi="Arial" w:cs="Arial"/>
          <w:b/>
          <w:i/>
          <w:sz w:val="22"/>
          <w:szCs w:val="22"/>
        </w:rPr>
        <w:t>Cessionário</w:t>
      </w:r>
      <w:r>
        <w:rPr>
          <w:rFonts w:ascii="Arial" w:hAnsi="Arial" w:cs="Arial"/>
          <w:i/>
          <w:sz w:val="22"/>
          <w:szCs w:val="22"/>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i/>
          <w:sz w:val="22"/>
          <w:szCs w:val="22"/>
        </w:rPr>
        <w:t>Pelo presente instrumento particular e na melhor forma de direito, a Cedente e o Cessionário, acima qualificados, devidamente representados, doravante conjuntamente denominados "</w:t>
      </w:r>
      <w:r>
        <w:rPr>
          <w:rFonts w:ascii="Arial" w:hAnsi="Arial" w:cs="Arial"/>
          <w:b/>
          <w:i/>
          <w:sz w:val="22"/>
          <w:szCs w:val="22"/>
        </w:rPr>
        <w:t>Partes</w:t>
      </w:r>
      <w:r>
        <w:rPr>
          <w:rFonts w:ascii="Arial" w:hAnsi="Arial" w:cs="Arial"/>
          <w:i/>
          <w:sz w:val="22"/>
          <w:szCs w:val="22"/>
        </w:rPr>
        <w:t xml:space="preserve">", resolvem, de forma irrevogável e irretratável, celebrar o presente Termo, que se regerá pelas cláusulas e condições a seguir especificadas: </w:t>
      </w:r>
    </w:p>
    <w:p>
      <w:pPr>
        <w:widowControl w:val="0"/>
        <w:autoSpaceDE/>
        <w:autoSpaceDN/>
        <w:adjustRightInd/>
        <w:spacing w:line="340" w:lineRule="exact"/>
        <w:rPr>
          <w:rFonts w:ascii="Arial" w:hAnsi="Arial" w:cs="Arial"/>
          <w:i/>
          <w:sz w:val="22"/>
          <w:szCs w:val="22"/>
        </w:rPr>
      </w:pPr>
    </w:p>
    <w:p>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Todas as condições e termos relativos à presente cessão que não estiverem expressamente estabelecidos neste Termo encontram-se descritos no “Contrato de Promessa de Cessão e Aquisição de Direitos Creditórios e Outras Avenças” celebrado entre a Cedente e o Cessionário em 27 de setembro de 2018 ("</w:t>
      </w:r>
      <w:r>
        <w:rPr>
          <w:rFonts w:ascii="Arial" w:hAnsi="Arial" w:cs="Arial"/>
          <w:b/>
          <w:i/>
          <w:sz w:val="22"/>
          <w:szCs w:val="22"/>
        </w:rPr>
        <w:t>Contrato</w:t>
      </w:r>
      <w:r>
        <w:rPr>
          <w:rFonts w:ascii="Arial" w:hAnsi="Arial" w:cs="Arial"/>
          <w:i/>
          <w:sz w:val="22"/>
          <w:szCs w:val="22"/>
        </w:rPr>
        <w:t xml:space="preserve">"), o qual deverá prevalecer em caso de divergência ou discrepância com este Termo.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Pelo presente Termo, a Cedente cede e transfere ao Cessionário, sem qualquer direito de regresso ou coobrigação da Cedente, os Direitos Creditórios identificados no Arquivo Adicional de Direitos Creditórios, original ou alterado, conforme aplicável, enviado pela Cedente ao Cessionário nesta data, nos termos da Cláusula 3.1.1 do Contrato, denominado “[</w:t>
      </w:r>
      <w:r>
        <w:rPr>
          <w:rFonts w:ascii="Arial" w:hAnsi="Arial" w:cs="Arial"/>
          <w:i/>
          <w:sz w:val="22"/>
          <w:szCs w:val="22"/>
        </w:rPr>
        <w:sym w:font="Symbol" w:char="F0B7"/>
      </w:r>
      <w:r>
        <w:rPr>
          <w:rFonts w:ascii="Arial" w:hAnsi="Arial" w:cs="Arial"/>
          <w:i/>
          <w:sz w:val="22"/>
          <w:szCs w:val="22"/>
        </w:rPr>
        <w:t xml:space="preserve">]”, conforme Lotes descritos no </w:t>
      </w:r>
      <w:r>
        <w:rPr>
          <w:rFonts w:ascii="Arial" w:hAnsi="Arial" w:cs="Arial"/>
          <w:b/>
          <w:i/>
          <w:sz w:val="22"/>
          <w:szCs w:val="22"/>
          <w:u w:val="single"/>
        </w:rPr>
        <w:t>Anexo A</w:t>
      </w:r>
      <w:r>
        <w:rPr>
          <w:rFonts w:ascii="Arial" w:hAnsi="Arial" w:cs="Arial"/>
          <w:i/>
          <w:sz w:val="22"/>
          <w:szCs w:val="22"/>
        </w:rPr>
        <w:t xml:space="preserve"> </w:t>
      </w:r>
      <w:proofErr w:type="spellStart"/>
      <w:r>
        <w:rPr>
          <w:rFonts w:ascii="Arial" w:hAnsi="Arial" w:cs="Arial"/>
          <w:i/>
          <w:sz w:val="22"/>
          <w:szCs w:val="22"/>
        </w:rPr>
        <w:t>a</w:t>
      </w:r>
      <w:proofErr w:type="spellEnd"/>
      <w:r>
        <w:rPr>
          <w:rFonts w:ascii="Arial" w:hAnsi="Arial" w:cs="Arial"/>
          <w:i/>
          <w:sz w:val="22"/>
          <w:szCs w:val="22"/>
        </w:rPr>
        <w:t xml:space="preserve"> este Termo, pelo preço certo e ajustado “Preço de Aquisição” abaixo especificado, mediante crédito na respectiva Conta de Livre Movimentação de titularidade da Cedente observado o horário previstos na Cláusula 3.1.2 do Contrato, após a celebração deste Termo de Cessão, pelo que a Cedente dá ao Cessionário a mais ampla, geral, irrevogável e irretratável quitação, para nada mais reclamar, seja a que tempo e título for.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u w:val="single"/>
        </w:rPr>
        <w:t>Preço de Aquisição</w:t>
      </w:r>
      <w:r>
        <w:rPr>
          <w:rFonts w:ascii="Arial" w:hAnsi="Arial" w:cs="Arial"/>
          <w:i/>
          <w:sz w:val="22"/>
          <w:szCs w:val="22"/>
        </w:rPr>
        <w:t>. O Preço de Aquisição pelos Direitos Creditórios ora cedidos corresponde a R$[</w:t>
      </w:r>
      <w:r>
        <w:rPr>
          <w:rFonts w:ascii="Arial" w:hAnsi="Arial" w:cs="Arial"/>
          <w:i/>
          <w:sz w:val="22"/>
          <w:szCs w:val="22"/>
        </w:rPr>
        <w:sym w:font="Symbol" w:char="F0B7"/>
      </w:r>
      <w:r>
        <w:rPr>
          <w:rFonts w:ascii="Arial" w:hAnsi="Arial" w:cs="Arial"/>
          <w:i/>
          <w:sz w:val="22"/>
          <w:szCs w:val="22"/>
        </w:rPr>
        <w:t xml:space="preserve">] e será pago à vista na presente data, conforme previsto na Cláusula 3.1.2 do Contrato. </w:t>
      </w:r>
    </w:p>
    <w:p>
      <w:pPr>
        <w:pStyle w:val="PargrafodaLista"/>
        <w:spacing w:line="340" w:lineRule="exact"/>
        <w:ind w:left="0"/>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Os Documentos Comprobatórios representativos dos Direitos Creditórios encontram-se depositados, conforme estabelecido no Contrato, sob a guarda da </w:t>
      </w:r>
      <w:proofErr w:type="spellStart"/>
      <w:r>
        <w:rPr>
          <w:rFonts w:ascii="Arial" w:hAnsi="Arial" w:cs="Arial"/>
          <w:i/>
          <w:sz w:val="22"/>
          <w:szCs w:val="22"/>
        </w:rPr>
        <w:t>Servicer</w:t>
      </w:r>
      <w:proofErr w:type="spellEnd"/>
      <w:r>
        <w:rPr>
          <w:rFonts w:ascii="Arial" w:hAnsi="Arial" w:cs="Arial"/>
          <w:i/>
          <w:sz w:val="22"/>
          <w:szCs w:val="22"/>
        </w:rPr>
        <w:t xml:space="preserve">, o qual atuará como agente de depósito.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 xml:space="preserve">A Cedente reafirma todas as declarações e compromissos expressos no Contrato, incluindo, sem limitação, as declarações realizadas por meio da Cláusula 6.1 do Contrato, atestando sua validade, como se neste Termo estivessem inscritos e, adicionalmente, declara que não houve oneração ou cessão adicional dos Direitos Creditórios Cedidos que possa vir a afetar os Direitos Creditórios ofertados ao Cessionário.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 presente cessão é feita em caráter irrevogável e irretratável, excluída expressamente a cláusula de arrependimento, obrigando as Partes e seus sucessores a qualquer título.</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 presente Termo será regido e interpretado em conformidade com as leis da República Federativa do Brasil.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As Partes, pelo presente Termo, irrevogavelmente concordam em submeter ao Foro da Cidade de São Paulo, Estado de São Paulo, quaisquer divergências que venham a resultar do presente Termo, com a renúncia de qualquer outro, por mais privilegiado que seja.</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Este Termo é parte integrante do Contrato.</w:t>
      </w:r>
    </w:p>
    <w:p>
      <w:pPr>
        <w:pStyle w:val="Default"/>
        <w:widowControl/>
        <w:spacing w:line="340" w:lineRule="exact"/>
        <w:jc w:val="both"/>
        <w:rPr>
          <w:rFonts w:ascii="Arial" w:hAnsi="Arial" w:cs="Arial"/>
          <w:i/>
          <w:sz w:val="22"/>
          <w:szCs w:val="22"/>
        </w:rPr>
      </w:pPr>
    </w:p>
    <w:p>
      <w:pPr>
        <w:suppressAutoHyphens/>
        <w:spacing w:line="340" w:lineRule="exact"/>
        <w:rPr>
          <w:rFonts w:ascii="Arial" w:hAnsi="Arial" w:cs="Arial"/>
          <w:i/>
          <w:iCs/>
          <w:sz w:val="22"/>
          <w:szCs w:val="22"/>
        </w:rPr>
      </w:pPr>
      <w:r>
        <w:rPr>
          <w:rFonts w:ascii="Arial" w:hAnsi="Arial" w:cs="Arial"/>
          <w:i/>
          <w:iCs/>
          <w:sz w:val="22"/>
          <w:szCs w:val="22"/>
        </w:rPr>
        <w:t>As Partes assinam este Termo de Cessão em (2) (duas) vias, de mesmo teor e forma, subscritas por 2 (duas) testemunhas abaixo assinadas.</w:t>
      </w:r>
    </w:p>
    <w:p>
      <w:pPr>
        <w:suppressAutoHyphens/>
        <w:spacing w:line="340" w:lineRule="exact"/>
        <w:rPr>
          <w:rFonts w:ascii="Arial" w:hAnsi="Arial" w:cs="Arial"/>
          <w:i/>
          <w:iCs/>
          <w:sz w:val="22"/>
          <w:szCs w:val="22"/>
        </w:rPr>
      </w:pPr>
    </w:p>
    <w:p>
      <w:pPr>
        <w:suppressAutoHyphens/>
        <w:spacing w:line="340" w:lineRule="exact"/>
        <w:rPr>
          <w:rFonts w:ascii="Arial" w:hAnsi="Arial" w:cs="Arial"/>
          <w:i/>
          <w:iCs/>
          <w:sz w:val="22"/>
          <w:szCs w:val="22"/>
        </w:rPr>
      </w:pPr>
    </w:p>
    <w:p>
      <w:pPr>
        <w:suppressAutoHyphens/>
        <w:spacing w:line="340" w:lineRule="exact"/>
        <w:jc w:val="center"/>
        <w:rPr>
          <w:rFonts w:ascii="Arial" w:hAnsi="Arial" w:cs="Arial"/>
          <w:i/>
          <w:iCs/>
          <w:sz w:val="22"/>
          <w:szCs w:val="22"/>
        </w:rPr>
      </w:pPr>
      <w:r>
        <w:rPr>
          <w:rFonts w:ascii="Arial" w:hAnsi="Arial" w:cs="Arial"/>
          <w:i/>
          <w:iCs/>
          <w:sz w:val="22"/>
          <w:szCs w:val="22"/>
        </w:rPr>
        <w:t>São Paulo, [•] de [•] de [•].</w:t>
      </w:r>
    </w:p>
    <w:p>
      <w:pPr>
        <w:suppressAutoHyphens/>
        <w:spacing w:line="340" w:lineRule="exact"/>
        <w:jc w:val="center"/>
        <w:rPr>
          <w:rFonts w:ascii="Arial" w:hAnsi="Arial" w:cs="Arial"/>
          <w:i/>
          <w:iCs/>
          <w:sz w:val="22"/>
          <w:szCs w:val="22"/>
        </w:rPr>
      </w:pPr>
    </w:p>
    <w:p>
      <w:pPr>
        <w:widowControl w:val="0"/>
        <w:suppressAutoHyphens/>
        <w:spacing w:line="340" w:lineRule="exact"/>
        <w:jc w:val="center"/>
        <w:rPr>
          <w:rFonts w:ascii="Arial" w:hAnsi="Arial" w:cs="Arial"/>
          <w:b/>
          <w:i/>
          <w:caps/>
          <w:sz w:val="22"/>
          <w:szCs w:val="22"/>
          <w:highlight w:val="yellow"/>
        </w:rPr>
      </w:pPr>
    </w:p>
    <w:p>
      <w:pPr>
        <w:widowControl w:val="0"/>
        <w:suppressAutoHyphens/>
        <w:spacing w:line="340" w:lineRule="exact"/>
        <w:jc w:val="center"/>
        <w:rPr>
          <w:rFonts w:ascii="Arial" w:hAnsi="Arial" w:cs="Arial"/>
          <w:b/>
          <w:i/>
          <w:caps/>
          <w:sz w:val="22"/>
          <w:szCs w:val="22"/>
          <w:highlight w:val="yellow"/>
        </w:rPr>
      </w:pPr>
    </w:p>
    <w:p>
      <w:pPr>
        <w:widowControl w:val="0"/>
        <w:suppressAutoHyphens/>
        <w:spacing w:line="340" w:lineRule="exact"/>
        <w:jc w:val="center"/>
        <w:rPr>
          <w:rFonts w:ascii="Arial" w:hAnsi="Arial" w:cs="Arial"/>
          <w:i/>
          <w:iCs/>
          <w:sz w:val="22"/>
          <w:szCs w:val="22"/>
        </w:rPr>
      </w:pPr>
      <w:r>
        <w:rPr>
          <w:rFonts w:ascii="Arial" w:hAnsi="Arial" w:cs="Arial"/>
          <w:b/>
          <w:i/>
          <w:sz w:val="22"/>
          <w:szCs w:val="22"/>
        </w:rPr>
        <w:t>SRC COMPANHIA SECURITIZADORA DE CRÉDITOS FINANCEIROS</w:t>
      </w:r>
      <w:r>
        <w:rPr>
          <w:rFonts w:ascii="Arial" w:hAnsi="Arial" w:cs="Arial"/>
          <w:b/>
          <w:i/>
          <w:caps/>
          <w:sz w:val="22"/>
          <w:szCs w:val="22"/>
        </w:rPr>
        <w:t xml:space="preserve"> </w:t>
      </w:r>
    </w:p>
    <w:p>
      <w:pPr>
        <w:widowControl w:val="0"/>
        <w:suppressAutoHyphens/>
        <w:spacing w:line="340" w:lineRule="exact"/>
        <w:jc w:val="center"/>
        <w:rPr>
          <w:rFonts w:ascii="Arial" w:hAnsi="Arial" w:cs="Arial"/>
          <w:i/>
          <w:iCs/>
          <w:sz w:val="22"/>
          <w:szCs w:val="22"/>
        </w:rPr>
      </w:pPr>
    </w:p>
    <w:p>
      <w:pPr>
        <w:widowControl w:val="0"/>
        <w:suppressAutoHyphens/>
        <w:spacing w:line="340" w:lineRule="exact"/>
        <w:jc w:val="center"/>
        <w:rPr>
          <w:rFonts w:ascii="Arial" w:hAnsi="Arial" w:cs="Arial"/>
          <w:i/>
          <w:iCs/>
          <w:sz w:val="22"/>
          <w:szCs w:val="22"/>
        </w:rPr>
      </w:pPr>
    </w:p>
    <w:tbl>
      <w:tblPr>
        <w:tblW w:w="9075" w:type="dxa"/>
        <w:tblLayout w:type="fixed"/>
        <w:tblCellMar>
          <w:left w:w="71" w:type="dxa"/>
          <w:right w:w="71" w:type="dxa"/>
        </w:tblCellMar>
        <w:tblLook w:val="04A0" w:firstRow="1" w:lastRow="0" w:firstColumn="1" w:lastColumn="0" w:noHBand="0" w:noVBand="1"/>
      </w:tblPr>
      <w:tblGrid>
        <w:gridCol w:w="4183"/>
        <w:gridCol w:w="567"/>
        <w:gridCol w:w="4325"/>
      </w:tblGrid>
      <w:t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r>
    </w:tbl>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p>
      <w:pPr>
        <w:widowControl w:val="0"/>
        <w:suppressAutoHyphens/>
        <w:spacing w:line="340" w:lineRule="exact"/>
        <w:jc w:val="center"/>
        <w:rPr>
          <w:rFonts w:ascii="Arial" w:hAnsi="Arial" w:cs="Arial"/>
          <w:b/>
          <w:i/>
          <w:iCs/>
          <w:sz w:val="22"/>
          <w:szCs w:val="22"/>
        </w:rPr>
      </w:pPr>
      <w:r>
        <w:rPr>
          <w:rFonts w:ascii="Arial" w:hAnsi="Arial" w:cs="Arial"/>
          <w:b/>
          <w:i/>
          <w:iCs/>
          <w:sz w:val="22"/>
          <w:szCs w:val="22"/>
        </w:rPr>
        <w:t>STONE PAGAMENTOS S.A.</w:t>
      </w: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r>
    </w:tbl>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r>
        <w:rPr>
          <w:rFonts w:ascii="Arial" w:hAnsi="Arial" w:cs="Arial"/>
          <w:i/>
          <w:iCs/>
          <w:sz w:val="22"/>
          <w:szCs w:val="22"/>
        </w:rPr>
        <w:t>TESTEMUNHAS:</w:t>
      </w: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trPr>
          <w:trHeight w:val="51"/>
        </w:trP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RG</w:t>
            </w:r>
            <w:proofErr w:type="gramEnd"/>
            <w:r>
              <w:rPr>
                <w:rFonts w:ascii="Arial" w:hAnsi="Arial" w:cs="Arial"/>
                <w:i/>
                <w:iCs/>
                <w:sz w:val="22"/>
                <w:szCs w:val="22"/>
              </w:rPr>
              <w:t>:</w:t>
            </w:r>
            <w:r>
              <w:rPr>
                <w:rFonts w:ascii="Arial" w:hAnsi="Arial" w:cs="Arial"/>
                <w:i/>
                <w:iCs/>
                <w:sz w:val="22"/>
                <w:szCs w:val="22"/>
              </w:rPr>
              <w:br/>
              <w:t>CPF/MF:</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RG</w:t>
            </w:r>
            <w:proofErr w:type="gramEnd"/>
            <w:r>
              <w:rPr>
                <w:rFonts w:ascii="Arial" w:hAnsi="Arial" w:cs="Arial"/>
                <w:i/>
                <w:iCs/>
                <w:sz w:val="22"/>
                <w:szCs w:val="22"/>
              </w:rPr>
              <w:t>:</w:t>
            </w:r>
            <w:r>
              <w:rPr>
                <w:rFonts w:ascii="Arial" w:hAnsi="Arial" w:cs="Arial"/>
                <w:i/>
                <w:iCs/>
                <w:sz w:val="22"/>
                <w:szCs w:val="22"/>
              </w:rPr>
              <w:br/>
              <w:t>CPF/MF:</w:t>
            </w:r>
          </w:p>
        </w:tc>
      </w:tr>
    </w:tbl>
    <w:p>
      <w:pPr>
        <w:pStyle w:val="Default"/>
        <w:widowControl/>
        <w:spacing w:line="340" w:lineRule="exact"/>
        <w:jc w:val="both"/>
        <w:rPr>
          <w:rFonts w:ascii="Arial" w:hAnsi="Arial" w:cs="Arial"/>
          <w:i/>
          <w:sz w:val="22"/>
          <w:szCs w:val="22"/>
        </w:rPr>
      </w:pPr>
    </w:p>
    <w:p>
      <w:pPr>
        <w:autoSpaceDE/>
        <w:autoSpaceDN/>
        <w:adjustRightInd/>
        <w:spacing w:line="340" w:lineRule="exact"/>
        <w:jc w:val="left"/>
        <w:rPr>
          <w:rFonts w:ascii="Arial" w:hAnsi="Arial" w:cs="Arial"/>
          <w:b/>
          <w:i/>
          <w:sz w:val="22"/>
          <w:szCs w:val="22"/>
          <w:u w:val="single"/>
        </w:rPr>
      </w:pPr>
    </w:p>
    <w:p>
      <w:pPr>
        <w:autoSpaceDE/>
        <w:autoSpaceDN/>
        <w:adjustRightInd/>
        <w:spacing w:line="340" w:lineRule="exact"/>
        <w:jc w:val="left"/>
        <w:rPr>
          <w:rFonts w:ascii="Arial" w:hAnsi="Arial" w:cs="Arial"/>
          <w:b/>
          <w:i/>
          <w:sz w:val="22"/>
          <w:szCs w:val="22"/>
          <w:u w:val="single"/>
        </w:rPr>
      </w:pPr>
      <w:r>
        <w:rPr>
          <w:rFonts w:ascii="Arial" w:hAnsi="Arial" w:cs="Arial"/>
          <w:b/>
          <w:i/>
          <w:sz w:val="22"/>
          <w:szCs w:val="22"/>
          <w:u w:val="single"/>
        </w:rPr>
        <w:br w:type="page"/>
      </w:r>
    </w:p>
    <w:p>
      <w:pPr>
        <w:spacing w:line="340" w:lineRule="exact"/>
        <w:jc w:val="center"/>
        <w:rPr>
          <w:rFonts w:ascii="Arial" w:hAnsi="Arial" w:cs="Arial"/>
          <w:b/>
          <w:i/>
          <w:sz w:val="22"/>
          <w:szCs w:val="22"/>
          <w:u w:val="single"/>
        </w:rPr>
      </w:pPr>
      <w:r>
        <w:rPr>
          <w:rFonts w:ascii="Arial" w:hAnsi="Arial" w:cs="Arial"/>
          <w:b/>
          <w:i/>
          <w:sz w:val="22"/>
          <w:szCs w:val="22"/>
          <w:u w:val="single"/>
        </w:rPr>
        <w:t>ANEXO A AO TERMO DE CESSÃO DIREITOS CREDITÓRIOS Nº [</w:t>
      </w:r>
      <w:r>
        <w:rPr>
          <w:rFonts w:ascii="Arial" w:hAnsi="Arial" w:cs="Arial"/>
          <w:b/>
          <w:i/>
          <w:sz w:val="22"/>
          <w:szCs w:val="22"/>
          <w:u w:val="single"/>
        </w:rPr>
        <w:sym w:font="Symbol" w:char="F0B7"/>
      </w:r>
      <w:r>
        <w:rPr>
          <w:rFonts w:ascii="Arial" w:hAnsi="Arial" w:cs="Arial"/>
          <w:b/>
          <w:i/>
          <w:sz w:val="22"/>
          <w:szCs w:val="22"/>
          <w:u w:val="single"/>
        </w:rPr>
        <w:t>]</w:t>
      </w:r>
    </w:p>
    <w:p>
      <w:pPr>
        <w:widowControl w:val="0"/>
        <w:spacing w:line="340" w:lineRule="exact"/>
        <w:contextualSpacing/>
        <w:jc w:val="center"/>
        <w:rPr>
          <w:rFonts w:ascii="Arial" w:hAnsi="Arial" w:cs="Arial"/>
          <w:i/>
          <w:sz w:val="22"/>
          <w:szCs w:val="22"/>
        </w:rPr>
      </w:pPr>
    </w:p>
    <w:p>
      <w:pPr>
        <w:widowControl w:val="0"/>
        <w:spacing w:line="340" w:lineRule="exact"/>
        <w:contextualSpacing/>
        <w:jc w:val="center"/>
        <w:rPr>
          <w:rFonts w:ascii="Arial" w:hAnsi="Arial" w:cs="Arial"/>
          <w:i/>
          <w:sz w:val="22"/>
          <w:szCs w:val="22"/>
        </w:rPr>
      </w:pPr>
      <w:r>
        <w:rPr>
          <w:rFonts w:ascii="Arial" w:hAnsi="Arial" w:cs="Arial"/>
          <w:b/>
          <w:i/>
          <w:sz w:val="22"/>
          <w:szCs w:val="22"/>
        </w:rPr>
        <w:t>SRC COMPANHIA SECURITIZADORA DE CRÉDITOS FINANCEIROS</w:t>
      </w:r>
    </w:p>
    <w:p>
      <w:pPr>
        <w:widowControl w:val="0"/>
        <w:spacing w:line="340" w:lineRule="exact"/>
        <w:contextualSpacing/>
        <w:jc w:val="center"/>
        <w:rPr>
          <w:rFonts w:ascii="Arial" w:hAnsi="Arial" w:cs="Arial"/>
          <w:bCs/>
          <w:i/>
          <w:sz w:val="22"/>
          <w:szCs w:val="22"/>
        </w:rPr>
      </w:pPr>
      <w:r>
        <w:rPr>
          <w:rFonts w:ascii="Arial" w:hAnsi="Arial" w:cs="Arial"/>
          <w:i/>
          <w:sz w:val="22"/>
          <w:szCs w:val="22"/>
        </w:rPr>
        <w:t xml:space="preserve">CNPJ/MF nº </w:t>
      </w:r>
      <w:r>
        <w:rPr>
          <w:rFonts w:ascii="Arial" w:hAnsi="Arial" w:cs="Arial"/>
          <w:i/>
          <w:sz w:val="22"/>
          <w:szCs w:val="22"/>
          <w:lang w:eastAsia="en-US"/>
        </w:rPr>
        <w:t>31.345.064/0</w:t>
      </w:r>
      <w:r>
        <w:rPr>
          <w:rFonts w:ascii="Arial" w:hAnsi="Arial" w:cs="Arial"/>
          <w:i/>
          <w:sz w:val="22"/>
          <w:szCs w:val="22"/>
        </w:rPr>
        <w:t>001-58</w:t>
      </w:r>
    </w:p>
    <w:p>
      <w:pPr>
        <w:widowControl w:val="0"/>
        <w:spacing w:line="340" w:lineRule="exact"/>
        <w:contextualSpacing/>
        <w:jc w:val="center"/>
        <w:rPr>
          <w:rFonts w:ascii="Arial" w:hAnsi="Arial" w:cs="Arial"/>
          <w:bCs/>
          <w:i/>
          <w:sz w:val="22"/>
          <w:szCs w:val="22"/>
        </w:rPr>
      </w:pPr>
    </w:p>
    <w:p>
      <w:pPr>
        <w:widowControl w:val="0"/>
        <w:spacing w:line="340" w:lineRule="exact"/>
        <w:contextualSpacing/>
        <w:rPr>
          <w:rFonts w:ascii="Arial" w:hAnsi="Arial" w:cs="Arial"/>
          <w:b/>
          <w:i/>
          <w:sz w:val="22"/>
          <w:szCs w:val="22"/>
        </w:rPr>
      </w:pPr>
      <w:r>
        <w:rPr>
          <w:rFonts w:ascii="Arial" w:hAnsi="Arial" w:cs="Arial"/>
          <w:b/>
          <w:i/>
          <w:sz w:val="22"/>
          <w:szCs w:val="22"/>
        </w:rPr>
        <w:t>Lote 1</w:t>
      </w:r>
    </w:p>
    <w:p>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pPr>
        <w:pStyle w:val="Default"/>
        <w:spacing w:line="340" w:lineRule="exact"/>
        <w:jc w:val="both"/>
        <w:rPr>
          <w:rFonts w:ascii="Arial" w:hAnsi="Arial" w:cs="Arial"/>
          <w:bCs/>
          <w:i/>
          <w:sz w:val="22"/>
          <w:szCs w:val="22"/>
        </w:rPr>
      </w:pPr>
    </w:p>
    <w:p>
      <w:pPr>
        <w:widowControl w:val="0"/>
        <w:spacing w:line="340" w:lineRule="exact"/>
        <w:contextualSpacing/>
        <w:rPr>
          <w:rFonts w:ascii="Arial" w:hAnsi="Arial" w:cs="Arial"/>
          <w:b/>
          <w:i/>
          <w:sz w:val="22"/>
          <w:szCs w:val="22"/>
        </w:rPr>
      </w:pPr>
      <w:r>
        <w:rPr>
          <w:rFonts w:ascii="Arial" w:hAnsi="Arial" w:cs="Arial"/>
          <w:b/>
          <w:i/>
          <w:sz w:val="22"/>
          <w:szCs w:val="22"/>
        </w:rPr>
        <w:t>Lote 2</w:t>
      </w:r>
    </w:p>
    <w:p>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pStyle w:val="Default"/>
        <w:widowControl/>
        <w:spacing w:line="340" w:lineRule="exact"/>
        <w:jc w:val="both"/>
        <w:rPr>
          <w:rFonts w:ascii="Arial" w:hAnsi="Arial" w:cs="Arial"/>
          <w:i/>
          <w:sz w:val="22"/>
          <w:szCs w:val="22"/>
        </w:rPr>
      </w:pPr>
    </w:p>
    <w:sectPr>
      <w:footerReference w:type="even" r:id="rId11"/>
      <w:footerReference w:type="default" r:id="rId12"/>
      <w:headerReference w:type="first" r:id="rId13"/>
      <w:footerReference w:type="first" r:id="rId14"/>
      <w:pgSz w:w="11906" w:h="16838" w:code="9"/>
      <w:pgMar w:top="1678" w:right="1701" w:bottom="1701" w:left="1701" w:header="72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96097" w16cid:durableId="1F491EF9"/>
  <w16cid:commentId w16cid:paraId="5B7224A1" w16cid:durableId="1F491F53"/>
  <w16cid:commentId w16cid:paraId="2719D547" w16cid:durableId="1F49204D"/>
  <w16cid:commentId w16cid:paraId="7EA8EC7F" w16cid:durableId="1F48C43E"/>
  <w16cid:commentId w16cid:paraId="211F3F4C" w16cid:durableId="1F4A1192"/>
  <w16cid:commentId w16cid:paraId="5A104C80" w16cid:durableId="1F4A1291"/>
  <w16cid:commentId w16cid:paraId="76975518" w16cid:durableId="1F4A1376"/>
  <w16cid:commentId w16cid:paraId="769E0B99" w16cid:durableId="1F4A1488"/>
  <w16cid:commentId w16cid:paraId="3D9E5CA0" w16cid:durableId="1F4A14E0"/>
  <w16cid:commentId w16cid:paraId="6395F987" w16cid:durableId="1F4A157C"/>
  <w16cid:commentId w16cid:paraId="52FCDB98" w16cid:durableId="1F4A165B"/>
  <w16cid:commentId w16cid:paraId="13C2122C" w16cid:durableId="1F4A1769"/>
  <w16cid:commentId w16cid:paraId="5712A213" w16cid:durableId="1F4A183B"/>
  <w16cid:commentId w16cid:paraId="52296B02" w16cid:durableId="1F492411"/>
  <w16cid:commentId w16cid:paraId="3E2DE452" w16cid:durableId="1F4A18E1"/>
  <w16cid:commentId w16cid:paraId="0589D791" w16cid:durableId="1F492705"/>
  <w16cid:commentId w16cid:paraId="55528851" w16cid:durableId="1F4A1AF8"/>
  <w16cid:commentId w16cid:paraId="79727BE7" w16cid:durableId="1F4A1B2E"/>
  <w16cid:commentId w16cid:paraId="7A555AB8" w16cid:durableId="1F4A1B4C"/>
  <w16cid:commentId w16cid:paraId="55CE35BD" w16cid:durableId="1F4A1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utiger Light">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092983"/>
      <w:docPartObj>
        <w:docPartGallery w:val="Page Numbers (Bottom of Page)"/>
        <w:docPartUnique/>
      </w:docPartObj>
    </w:sdtPr>
    <w:sdtEndPr>
      <w:rPr>
        <w:rFonts w:ascii="Verdana" w:hAnsi="Verdana"/>
        <w:sz w:val="20"/>
        <w:szCs w:val="20"/>
      </w:rPr>
    </w:sdtEndPr>
    <w:sdtContent>
      <w:p>
        <w:pPr>
          <w:pStyle w:val="Rodap"/>
          <w:jc w:val="center"/>
          <w:rPr>
            <w:rFonts w:ascii="Verdana" w:hAnsi="Verdana"/>
            <w:sz w:val="20"/>
            <w:szCs w:val="20"/>
          </w:rPr>
        </w:pPr>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21</w:t>
        </w:r>
        <w:r>
          <w:rPr>
            <w:rFonts w:ascii="Verdana" w:hAnsi="Verdana"/>
            <w:sz w:val="20"/>
            <w:szCs w:val="20"/>
          </w:rPr>
          <w:fldChar w:fldCharType="end"/>
        </w:r>
      </w:p>
    </w:sdtContent>
  </w:sdt>
  <w:p>
    <w:pPr>
      <w:jc w:val="left"/>
      <w:rPr>
        <w:rFonts w:ascii="Frutiger Light" w:hAnsi="Frutiger Light"/>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- 41694797v4 - 11361002.482263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(15.9.21)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5/1/2011 11:01:27"/>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microsoft.com/office/2016/09/relationships/commentsIds" Target="commentsIds.xml" Id="rId36" /><Relationship Type="http://schemas.openxmlformats.org/officeDocument/2006/relationships/hyperlink" Target="http://legislacao.planalto.gov.br/legisla/legislacao.nsf/Viw_Identificacao/lei%205.869-1973?OpenDocument" TargetMode="External" Id="rId10"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 J U R _ S P ! 4 1 6 9 4 7 9 7 . 4 < / d o c u m e n t i d >  
     < s e n d e r i d > L R H < / s e n d e r i d >  
     < s e n d e r e m a i l > L M A R I N H O @ P N . C O M . B R < / s e n d e r e m a i l >  
     < l a s t m o d i f i e d > 2 0 2 1 - 0 9 - 1 5 T 0 1 : 1 0 : 0 0 . 0 0 0 0 0 0 0 - 0 3 : 0 0 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BD69-9519-4983-9EB4-4946FDB53200}">
  <ds:schemaRefs>
    <ds:schemaRef ds:uri="http://schemas.openxmlformats.org/officeDocument/2006/bibliography"/>
  </ds:schemaRefs>
</ds:datastoreItem>
</file>

<file path=customXml/itemProps2.xml><?xml version="1.0" encoding="utf-8"?>
<ds:datastoreItem xmlns:ds="http://schemas.openxmlformats.org/officeDocument/2006/customXml" ds:itemID="{A9793BDB-D7D7-4216-946A-F9FDC0E4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34</Pages>
  <Words>7585</Words>
  <Characters>43549</Characters>
  <Application>Microsoft Office Word</Application>
  <DocSecurity>0</DocSecurity>
  <Lines>362</Lines>
  <Paragraphs>102</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51032</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Pinheiro Neto Advogados</cp:lastModifiedBy>
  <cp:revision>14</cp:revision>
  <cp:lastPrinted>2018-09-28T14:13:00Z</cp:lastPrinted>
  <dcterms:created xsi:type="dcterms:W3CDTF">2021-09-14T22:28:00Z</dcterms:created>
  <dcterms:modified xsi:type="dcterms:W3CDTF">2021-09-15T04:10:00Z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- 41694797v4 - 11361002.482263</vt:lpwstr>
  </property>
</Properties>
</file>