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A2" w:rsidRDefault="002272F1">
      <w:pPr>
        <w:spacing w:line="300" w:lineRule="exact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PRIMEIRO ADITAMENTO AO </w:t>
      </w:r>
      <w:r w:rsidR="006517A2" w:rsidRPr="006517A2">
        <w:rPr>
          <w:rFonts w:ascii="Verdana" w:hAnsi="Verdana" w:cs="Calibri"/>
          <w:b/>
          <w:sz w:val="20"/>
          <w:szCs w:val="20"/>
        </w:rPr>
        <w:t xml:space="preserve">INSTRUMENTO PARTICULAR DE ESCRITURA DA TERCEIRA EMISSÃO DE DEBÊNTURES SIMPLES, NÃO CONVERSÍVEIS EM AÇÕES, COM GARANTIA REAL, A SER CONVOLADA EM ESPÉCIE QUIROGRAFÁRIA, EM SÉRIE ÚNICA, PARA DISTRIBUIÇÃO PÚBLICA, COM ESFORÇOS RESTRITOS DE DISTRIBUIÇÃO, DA </w:t>
      </w:r>
      <w:proofErr w:type="spellStart"/>
      <w:r w:rsidR="006517A2" w:rsidRPr="006517A2">
        <w:rPr>
          <w:rFonts w:ascii="Verdana" w:hAnsi="Verdana" w:cs="Calibri"/>
          <w:b/>
          <w:sz w:val="20"/>
          <w:szCs w:val="20"/>
        </w:rPr>
        <w:t>STATKRAFT</w:t>
      </w:r>
      <w:proofErr w:type="spellEnd"/>
      <w:r w:rsidR="006517A2" w:rsidRPr="006517A2">
        <w:rPr>
          <w:rFonts w:ascii="Verdana" w:hAnsi="Verdana" w:cs="Calibri"/>
          <w:b/>
          <w:sz w:val="20"/>
          <w:szCs w:val="20"/>
        </w:rPr>
        <w:t xml:space="preserve"> ENERGIAS RENOVÁVEIS S.A.</w:t>
      </w:r>
    </w:p>
    <w:p w:rsidR="006517A2" w:rsidRDefault="006517A2">
      <w:pPr>
        <w:spacing w:line="300" w:lineRule="exact"/>
        <w:jc w:val="both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2272F1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Entre</w:t>
      </w: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  <w:bookmarkStart w:id="0" w:name="_GoBack"/>
      <w:bookmarkEnd w:id="0"/>
    </w:p>
    <w:p w:rsidR="00522217" w:rsidRDefault="006517A2">
      <w:pPr>
        <w:spacing w:line="300" w:lineRule="exact"/>
        <w:jc w:val="center"/>
        <w:rPr>
          <w:rFonts w:ascii="Verdana" w:hAnsi="Verdana" w:cs="Calibri"/>
          <w:b/>
          <w:smallCaps/>
          <w:sz w:val="20"/>
          <w:szCs w:val="20"/>
        </w:rPr>
      </w:pPr>
      <w:proofErr w:type="spellStart"/>
      <w:r w:rsidRPr="006517A2">
        <w:rPr>
          <w:rFonts w:ascii="Verdana" w:hAnsi="Verdana" w:cs="Calibri"/>
          <w:b/>
          <w:caps/>
          <w:sz w:val="20"/>
          <w:szCs w:val="20"/>
        </w:rPr>
        <w:t>STATKRAFT</w:t>
      </w:r>
      <w:proofErr w:type="spellEnd"/>
      <w:r w:rsidRPr="006517A2">
        <w:rPr>
          <w:rFonts w:ascii="Verdana" w:hAnsi="Verdana" w:cs="Calibri"/>
          <w:b/>
          <w:caps/>
          <w:sz w:val="20"/>
          <w:szCs w:val="20"/>
        </w:rPr>
        <w:t xml:space="preserve"> ENERGIAS RENOVÁVEIS S.A.</w:t>
      </w:r>
    </w:p>
    <w:p w:rsidR="00522217" w:rsidRDefault="002272F1">
      <w:pPr>
        <w:spacing w:line="300" w:lineRule="exact"/>
        <w:jc w:val="center"/>
        <w:rPr>
          <w:rFonts w:ascii="Verdana" w:hAnsi="Verdana" w:cs="Calibri"/>
          <w:bCs/>
          <w:i/>
          <w:sz w:val="20"/>
          <w:szCs w:val="20"/>
        </w:rPr>
      </w:pPr>
      <w:r>
        <w:rPr>
          <w:rFonts w:ascii="Verdana" w:hAnsi="Verdana" w:cs="Calibri"/>
          <w:bCs/>
          <w:i/>
          <w:sz w:val="20"/>
          <w:szCs w:val="20"/>
        </w:rPr>
        <w:t>como Emissora,</w:t>
      </w: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bCs/>
          <w:sz w:val="20"/>
          <w:szCs w:val="20"/>
        </w:rPr>
      </w:pPr>
    </w:p>
    <w:p w:rsidR="00522217" w:rsidRDefault="006517A2">
      <w:pPr>
        <w:tabs>
          <w:tab w:val="left" w:pos="6930"/>
        </w:tabs>
        <w:spacing w:line="300" w:lineRule="exact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e</w:t>
      </w:r>
    </w:p>
    <w:p w:rsidR="006517A2" w:rsidRDefault="006517A2">
      <w:pPr>
        <w:tabs>
          <w:tab w:val="left" w:pos="6930"/>
        </w:tabs>
        <w:spacing w:line="300" w:lineRule="exact"/>
        <w:jc w:val="center"/>
        <w:rPr>
          <w:rFonts w:ascii="Verdana" w:hAnsi="Verdana" w:cs="Calibri"/>
          <w:b/>
          <w:bCs/>
          <w:sz w:val="20"/>
          <w:szCs w:val="20"/>
        </w:rPr>
      </w:pPr>
    </w:p>
    <w:p w:rsidR="006517A2" w:rsidRDefault="006517A2">
      <w:pPr>
        <w:tabs>
          <w:tab w:val="left" w:pos="6930"/>
        </w:tabs>
        <w:spacing w:line="300" w:lineRule="exact"/>
        <w:jc w:val="center"/>
        <w:rPr>
          <w:rFonts w:ascii="Verdana" w:hAnsi="Verdana" w:cs="Calibri"/>
          <w:b/>
          <w:bCs/>
          <w:sz w:val="20"/>
          <w:szCs w:val="20"/>
        </w:rPr>
      </w:pPr>
    </w:p>
    <w:p w:rsidR="00522217" w:rsidRDefault="002272F1">
      <w:pPr>
        <w:suppressAutoHyphens/>
        <w:spacing w:line="300" w:lineRule="exact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SIMPLIFIC PAVARINI DISTRIBUIDORA DE TÍTULOS E VALORES MOBILIÁRIOS LTDA.</w:t>
      </w:r>
    </w:p>
    <w:p w:rsidR="00522217" w:rsidRDefault="002272F1">
      <w:pPr>
        <w:spacing w:line="300" w:lineRule="exact"/>
        <w:jc w:val="center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t>como Agente Fiduciário</w:t>
      </w: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2272F1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[</w:t>
      </w:r>
      <w:r>
        <w:rPr>
          <w:rFonts w:ascii="Verdana" w:hAnsi="Verdana" w:cs="Calibri"/>
          <w:b/>
          <w:sz w:val="20"/>
          <w:szCs w:val="20"/>
        </w:rPr>
        <w:sym w:font="Symbol" w:char="F0B7"/>
      </w:r>
      <w:r>
        <w:rPr>
          <w:rFonts w:ascii="Verdana" w:hAnsi="Verdana" w:cs="Calibri"/>
          <w:b/>
          <w:sz w:val="20"/>
          <w:szCs w:val="20"/>
        </w:rPr>
        <w:t>] de [</w:t>
      </w:r>
      <w:r>
        <w:rPr>
          <w:rFonts w:ascii="Verdana" w:hAnsi="Verdana" w:cs="Calibri"/>
          <w:b/>
          <w:sz w:val="20"/>
          <w:szCs w:val="20"/>
        </w:rPr>
        <w:sym w:font="Symbol" w:char="F0B7"/>
      </w:r>
      <w:r>
        <w:rPr>
          <w:rFonts w:ascii="Verdana" w:hAnsi="Verdana" w:cs="Calibri"/>
          <w:b/>
          <w:sz w:val="20"/>
          <w:szCs w:val="20"/>
        </w:rPr>
        <w:t>] de 201[</w:t>
      </w:r>
      <w:r>
        <w:rPr>
          <w:rFonts w:ascii="Verdana" w:hAnsi="Verdana" w:cs="Calibri"/>
          <w:b/>
          <w:sz w:val="20"/>
          <w:szCs w:val="20"/>
        </w:rPr>
        <w:sym w:font="Symbol" w:char="F0B7"/>
      </w:r>
      <w:r>
        <w:rPr>
          <w:rFonts w:ascii="Verdana" w:hAnsi="Verdana" w:cs="Calibri"/>
          <w:b/>
          <w:sz w:val="20"/>
          <w:szCs w:val="20"/>
        </w:rPr>
        <w:t>]</w:t>
      </w:r>
    </w:p>
    <w:p w:rsidR="00522217" w:rsidRDefault="00522217">
      <w:pPr>
        <w:spacing w:line="30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522217" w:rsidRDefault="00522217">
      <w:pPr>
        <w:pStyle w:val="BodyTextContinued"/>
        <w:pBdr>
          <w:bottom w:val="double" w:sz="6" w:space="4" w:color="auto"/>
        </w:pBdr>
        <w:spacing w:after="0" w:line="300" w:lineRule="exact"/>
        <w:jc w:val="center"/>
        <w:rPr>
          <w:rFonts w:ascii="Verdana" w:hAnsi="Verdana" w:cs="Calibri"/>
          <w:smallCaps/>
          <w:sz w:val="20"/>
          <w:lang w:val="pt-BR" w:eastAsia="pt-BR"/>
        </w:rPr>
      </w:pPr>
    </w:p>
    <w:p w:rsidR="00522217" w:rsidRDefault="002272F1">
      <w:pPr>
        <w:spacing w:line="300" w:lineRule="exact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caps/>
          <w:sz w:val="20"/>
          <w:szCs w:val="20"/>
        </w:rPr>
        <w:br w:type="page"/>
      </w:r>
    </w:p>
    <w:p w:rsidR="00522217" w:rsidRDefault="006517A2">
      <w:pPr>
        <w:spacing w:line="300" w:lineRule="exact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lastRenderedPageBreak/>
        <w:t xml:space="preserve">PRIMEIRO ADITAMENTO AO </w:t>
      </w:r>
      <w:r w:rsidRPr="006517A2">
        <w:rPr>
          <w:rFonts w:ascii="Verdana" w:hAnsi="Verdana" w:cs="Calibri"/>
          <w:b/>
          <w:sz w:val="20"/>
          <w:szCs w:val="20"/>
        </w:rPr>
        <w:t xml:space="preserve">INSTRUMENTO PARTICULAR DE ESCRITURA DA TERCEIRA EMISSÃO DE DEBÊNTURES SIMPLES, NÃO CONVERSÍVEIS EM AÇÕES, COM GARANTIA REAL, A SER CONVOLADA EM ESPÉCIE QUIROGRAFÁRIA, EM SÉRIE ÚNICA, PARA DISTRIBUIÇÃO PÚBLICA, COM ESFORÇOS RESTRITOS DE DISTRIBUIÇÃO, DA </w:t>
      </w:r>
      <w:proofErr w:type="spellStart"/>
      <w:r w:rsidRPr="006517A2">
        <w:rPr>
          <w:rFonts w:ascii="Verdana" w:hAnsi="Verdana" w:cs="Calibri"/>
          <w:b/>
          <w:sz w:val="20"/>
          <w:szCs w:val="20"/>
        </w:rPr>
        <w:t>STATKRAFT</w:t>
      </w:r>
      <w:proofErr w:type="spellEnd"/>
      <w:r w:rsidRPr="006517A2">
        <w:rPr>
          <w:rFonts w:ascii="Verdana" w:hAnsi="Verdana" w:cs="Calibri"/>
          <w:b/>
          <w:sz w:val="20"/>
          <w:szCs w:val="20"/>
        </w:rPr>
        <w:t xml:space="preserve"> ENERGIAS RENOVÁVEIS S.A.</w:t>
      </w:r>
    </w:p>
    <w:p w:rsidR="00522217" w:rsidRDefault="00522217">
      <w:pPr>
        <w:spacing w:line="300" w:lineRule="exact"/>
        <w:jc w:val="both"/>
        <w:rPr>
          <w:rFonts w:ascii="Verdana" w:hAnsi="Verdana" w:cs="Calibri"/>
          <w:b/>
          <w:sz w:val="20"/>
          <w:szCs w:val="20"/>
        </w:rPr>
      </w:pPr>
    </w:p>
    <w:p w:rsidR="00522217" w:rsidRDefault="002272F1">
      <w:pPr>
        <w:suppressAutoHyphens/>
        <w:spacing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Pelo presente instrumento particular, as partes abaixo qualificadas:</w:t>
      </w:r>
    </w:p>
    <w:p w:rsidR="00522217" w:rsidRDefault="00522217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522217" w:rsidRPr="006517A2" w:rsidRDefault="006517A2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  <w:proofErr w:type="spellStart"/>
      <w:r w:rsidRPr="006517A2">
        <w:rPr>
          <w:rFonts w:ascii="Verdana" w:hAnsi="Verdana" w:cs="Calibri"/>
          <w:b/>
          <w:caps/>
          <w:sz w:val="20"/>
          <w:szCs w:val="20"/>
        </w:rPr>
        <w:t>STATKRAFT</w:t>
      </w:r>
      <w:proofErr w:type="spellEnd"/>
      <w:r w:rsidRPr="006517A2">
        <w:rPr>
          <w:rFonts w:ascii="Verdana" w:hAnsi="Verdana" w:cs="Calibri"/>
          <w:b/>
          <w:caps/>
          <w:sz w:val="20"/>
          <w:szCs w:val="20"/>
        </w:rPr>
        <w:t xml:space="preserve"> ENERGIAS RENOVÁVEIS S.A.</w:t>
      </w:r>
      <w:r w:rsidRPr="006517A2">
        <w:rPr>
          <w:rFonts w:ascii="Verdana" w:hAnsi="Verdana" w:cs="Calibri"/>
          <w:caps/>
          <w:sz w:val="20"/>
          <w:szCs w:val="20"/>
        </w:rPr>
        <w:t xml:space="preserve">, </w:t>
      </w:r>
      <w:r w:rsidRPr="006517A2">
        <w:rPr>
          <w:rFonts w:ascii="Verdana" w:hAnsi="Verdana" w:cs="Calibri"/>
          <w:sz w:val="20"/>
          <w:szCs w:val="20"/>
        </w:rPr>
        <w:t>sociedade por ações com registro de companhia aberta junto a comissão de valores mobiliários (“</w:t>
      </w:r>
      <w:r>
        <w:rPr>
          <w:rFonts w:ascii="Verdana" w:hAnsi="Verdana" w:cs="Calibri"/>
          <w:sz w:val="20"/>
          <w:szCs w:val="20"/>
        </w:rPr>
        <w:t>CVM</w:t>
      </w:r>
      <w:r w:rsidRPr="006517A2">
        <w:rPr>
          <w:rFonts w:ascii="Verdana" w:hAnsi="Verdana" w:cs="Calibri"/>
          <w:sz w:val="20"/>
          <w:szCs w:val="20"/>
        </w:rPr>
        <w:t xml:space="preserve">”), com sede na avenida professor </w:t>
      </w:r>
      <w:proofErr w:type="spellStart"/>
      <w:r w:rsidRPr="006517A2">
        <w:rPr>
          <w:rFonts w:ascii="Verdana" w:hAnsi="Verdana" w:cs="Calibri"/>
          <w:sz w:val="20"/>
          <w:szCs w:val="20"/>
        </w:rPr>
        <w:t>osmar</w:t>
      </w:r>
      <w:proofErr w:type="spellEnd"/>
      <w:r w:rsidRPr="006517A2">
        <w:rPr>
          <w:rFonts w:ascii="Verdana" w:hAnsi="Verdana" w:cs="Calibri"/>
          <w:sz w:val="20"/>
          <w:szCs w:val="20"/>
        </w:rPr>
        <w:t xml:space="preserve"> cunha, nº 416, 10º andar, bairro centro, cidade de </w:t>
      </w:r>
      <w:r>
        <w:rPr>
          <w:rFonts w:ascii="Verdana" w:hAnsi="Verdana" w:cs="Calibri"/>
          <w:sz w:val="20"/>
          <w:szCs w:val="20"/>
        </w:rPr>
        <w:t>F</w:t>
      </w:r>
      <w:r w:rsidRPr="006517A2">
        <w:rPr>
          <w:rFonts w:ascii="Verdana" w:hAnsi="Verdana" w:cs="Calibri"/>
          <w:sz w:val="20"/>
          <w:szCs w:val="20"/>
        </w:rPr>
        <w:t>lorianópolis, estado de santa cataria, cep 88015-100, inscrita no cadastro nacional da pessoa jurídica do ministério da fazenda (“</w:t>
      </w:r>
      <w:proofErr w:type="spellStart"/>
      <w:r w:rsidRPr="006517A2">
        <w:rPr>
          <w:rFonts w:ascii="Verdana" w:hAnsi="Verdana" w:cs="Calibri"/>
          <w:sz w:val="20"/>
          <w:szCs w:val="20"/>
        </w:rPr>
        <w:t>cnpj</w:t>
      </w:r>
      <w:proofErr w:type="spellEnd"/>
      <w:r w:rsidRPr="006517A2">
        <w:rPr>
          <w:rFonts w:ascii="Verdana" w:hAnsi="Verdana" w:cs="Calibri"/>
          <w:sz w:val="20"/>
          <w:szCs w:val="20"/>
        </w:rPr>
        <w:t>/</w:t>
      </w:r>
      <w:proofErr w:type="spellStart"/>
      <w:r w:rsidRPr="006517A2">
        <w:rPr>
          <w:rFonts w:ascii="Verdana" w:hAnsi="Verdana" w:cs="Calibri"/>
          <w:sz w:val="20"/>
          <w:szCs w:val="20"/>
        </w:rPr>
        <w:t>mf</w:t>
      </w:r>
      <w:proofErr w:type="spellEnd"/>
      <w:r w:rsidRPr="006517A2">
        <w:rPr>
          <w:rFonts w:ascii="Verdana" w:hAnsi="Verdana" w:cs="Calibri"/>
          <w:sz w:val="20"/>
          <w:szCs w:val="20"/>
        </w:rPr>
        <w:t xml:space="preserve">”) sob o nº 00.622.416/0001-41, com seus atos constitutivos registrados perante a </w:t>
      </w:r>
      <w:proofErr w:type="spellStart"/>
      <w:r w:rsidRPr="006517A2">
        <w:rPr>
          <w:rFonts w:ascii="Verdana" w:hAnsi="Verdana" w:cs="Calibri"/>
          <w:sz w:val="20"/>
          <w:szCs w:val="20"/>
        </w:rPr>
        <w:t>jucesc</w:t>
      </w:r>
      <w:proofErr w:type="spellEnd"/>
      <w:r>
        <w:rPr>
          <w:rFonts w:ascii="Verdana" w:hAnsi="Verdana" w:cs="Calibri"/>
          <w:sz w:val="20"/>
          <w:szCs w:val="20"/>
        </w:rPr>
        <w:t xml:space="preserve"> </w:t>
      </w:r>
      <w:r w:rsidRPr="006517A2">
        <w:rPr>
          <w:rFonts w:ascii="Verdana" w:hAnsi="Verdana" w:cs="Calibri"/>
          <w:sz w:val="20"/>
          <w:szCs w:val="20"/>
        </w:rPr>
        <w:t xml:space="preserve">sob o </w:t>
      </w:r>
      <w:proofErr w:type="spellStart"/>
      <w:r w:rsidRPr="006517A2">
        <w:rPr>
          <w:rFonts w:ascii="Verdana" w:hAnsi="Verdana" w:cs="Calibri"/>
          <w:sz w:val="20"/>
          <w:szCs w:val="20"/>
        </w:rPr>
        <w:t>nire</w:t>
      </w:r>
      <w:proofErr w:type="spellEnd"/>
      <w:r w:rsidRPr="006517A2">
        <w:rPr>
          <w:rFonts w:ascii="Verdana" w:hAnsi="Verdana" w:cs="Calibri"/>
          <w:sz w:val="20"/>
          <w:szCs w:val="20"/>
        </w:rPr>
        <w:t xml:space="preserve"> 42.300.041.386 neste ato representada na forma de seu estatuto social (“</w:t>
      </w:r>
      <w:r>
        <w:rPr>
          <w:rFonts w:ascii="Verdana" w:hAnsi="Verdana" w:cs="Calibri"/>
          <w:sz w:val="20"/>
          <w:szCs w:val="20"/>
        </w:rPr>
        <w:t>C</w:t>
      </w:r>
      <w:r w:rsidRPr="006517A2">
        <w:rPr>
          <w:rFonts w:ascii="Verdana" w:hAnsi="Verdana" w:cs="Calibri"/>
          <w:sz w:val="20"/>
          <w:szCs w:val="20"/>
        </w:rPr>
        <w:t>ompanhia”)</w:t>
      </w:r>
      <w:r w:rsidRPr="006517A2">
        <w:rPr>
          <w:rFonts w:ascii="Verdana" w:hAnsi="Verdana" w:cs="Calibri"/>
          <w:caps/>
          <w:sz w:val="20"/>
          <w:szCs w:val="20"/>
        </w:rPr>
        <w:t>;</w:t>
      </w:r>
    </w:p>
    <w:p w:rsidR="00522217" w:rsidRDefault="00522217">
      <w:pPr>
        <w:spacing w:line="300" w:lineRule="exact"/>
        <w:jc w:val="both"/>
        <w:rPr>
          <w:rFonts w:ascii="Verdana" w:hAnsi="Verdana" w:cs="Calibri"/>
          <w:bCs/>
          <w:sz w:val="20"/>
          <w:szCs w:val="20"/>
        </w:rPr>
      </w:pPr>
    </w:p>
    <w:p w:rsidR="00522217" w:rsidRDefault="002272F1">
      <w:pPr>
        <w:spacing w:line="300" w:lineRule="exact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SIMPLIFIC PAVARINI DISTRIBUIDORA DE TÍTULOS E VALORES MOBILIÁRIOS LTDA.</w:t>
      </w:r>
      <w:r>
        <w:rPr>
          <w:rFonts w:ascii="Verdana" w:hAnsi="Verdana"/>
          <w:bCs/>
          <w:color w:val="000000"/>
          <w:sz w:val="20"/>
          <w:szCs w:val="20"/>
        </w:rPr>
        <w:t>, instituição financeira atuando por sua filial na cidade de São Paulo, estado de São Paulo, na Rua Joaquim Floriano, nº 466, Bloco B, Sala 1.401, CEP: 04534-002, inscrita no CNPJ/MF sob o nº 15.227.994/0004-01, neste ato representada na forma de seu estatuto social (“</w:t>
      </w:r>
      <w:r>
        <w:rPr>
          <w:rFonts w:ascii="Verdana" w:hAnsi="Verdana"/>
          <w:bCs/>
          <w:color w:val="000000"/>
          <w:sz w:val="20"/>
          <w:szCs w:val="20"/>
          <w:u w:val="single"/>
        </w:rPr>
        <w:t>Simplific Pavarini</w:t>
      </w:r>
      <w:r>
        <w:rPr>
          <w:rFonts w:ascii="Verdana" w:hAnsi="Verdana"/>
          <w:bCs/>
          <w:color w:val="000000"/>
          <w:sz w:val="20"/>
          <w:szCs w:val="20"/>
        </w:rPr>
        <w:t>” ou “</w:t>
      </w:r>
      <w:r>
        <w:rPr>
          <w:rFonts w:ascii="Verdana" w:hAnsi="Verdana"/>
          <w:bCs/>
          <w:color w:val="000000"/>
          <w:sz w:val="20"/>
          <w:szCs w:val="20"/>
          <w:u w:val="single"/>
        </w:rPr>
        <w:t>Agente Fiduciário</w:t>
      </w:r>
      <w:r>
        <w:rPr>
          <w:rFonts w:ascii="Verdana" w:hAnsi="Verdana"/>
          <w:bCs/>
          <w:color w:val="000000"/>
          <w:sz w:val="20"/>
          <w:szCs w:val="20"/>
        </w:rPr>
        <w:t xml:space="preserve">”), </w:t>
      </w:r>
      <w:r>
        <w:rPr>
          <w:rFonts w:ascii="Verdana" w:hAnsi="Verdana" w:cs="Calibri"/>
          <w:bCs/>
          <w:sz w:val="20"/>
          <w:szCs w:val="20"/>
        </w:rPr>
        <w:t>representando a comunhão dos titulares das debenturistas (“</w:t>
      </w:r>
      <w:r>
        <w:rPr>
          <w:rFonts w:ascii="Verdana" w:hAnsi="Verdana" w:cs="Calibri"/>
          <w:bCs/>
          <w:sz w:val="20"/>
          <w:szCs w:val="20"/>
          <w:u w:val="single"/>
        </w:rPr>
        <w:t>Debenturistas</w:t>
      </w:r>
      <w:r>
        <w:rPr>
          <w:rFonts w:ascii="Verdana" w:hAnsi="Verdana" w:cs="Calibri"/>
          <w:bCs/>
          <w:sz w:val="20"/>
          <w:szCs w:val="20"/>
        </w:rPr>
        <w:t>”), nos termos da Lei nº 6.404, de 15 de dezembro de 1976, conforme alterada (“</w:t>
      </w:r>
      <w:r>
        <w:rPr>
          <w:rFonts w:ascii="Verdana" w:hAnsi="Verdana" w:cs="Calibri"/>
          <w:bCs/>
          <w:sz w:val="20"/>
          <w:szCs w:val="20"/>
          <w:u w:val="single"/>
        </w:rPr>
        <w:t>Lei das Sociedades por Ações</w:t>
      </w:r>
      <w:r>
        <w:rPr>
          <w:rFonts w:ascii="Verdana" w:hAnsi="Verdana" w:cs="Calibri"/>
          <w:bCs/>
          <w:sz w:val="20"/>
          <w:szCs w:val="20"/>
        </w:rPr>
        <w:t xml:space="preserve">”); </w:t>
      </w:r>
    </w:p>
    <w:p w:rsidR="00522217" w:rsidRDefault="00522217">
      <w:pPr>
        <w:spacing w:line="300" w:lineRule="exact"/>
        <w:jc w:val="both"/>
        <w:rPr>
          <w:rFonts w:ascii="Verdana" w:hAnsi="Verdana" w:cs="Calibri"/>
          <w:bCs/>
          <w:sz w:val="20"/>
          <w:szCs w:val="20"/>
        </w:rPr>
      </w:pPr>
    </w:p>
    <w:p w:rsidR="00522217" w:rsidRDefault="002272F1">
      <w:pPr>
        <w:tabs>
          <w:tab w:val="left" w:pos="709"/>
        </w:tabs>
        <w:spacing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a Emissora</w:t>
      </w:r>
      <w:r w:rsidR="006517A2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 xml:space="preserve"> o Agente Fiduciário, doravante designados, em conjunto, como “</w:t>
      </w:r>
      <w:r>
        <w:rPr>
          <w:rFonts w:ascii="Verdana" w:hAnsi="Verdana"/>
          <w:sz w:val="20"/>
          <w:szCs w:val="20"/>
          <w:u w:val="single"/>
        </w:rPr>
        <w:t>Partes</w:t>
      </w:r>
      <w:r>
        <w:rPr>
          <w:rFonts w:ascii="Verdana" w:hAnsi="Verdana"/>
          <w:sz w:val="20"/>
          <w:szCs w:val="20"/>
        </w:rPr>
        <w:t>” e, individualmente, como “</w:t>
      </w:r>
      <w:r>
        <w:rPr>
          <w:rFonts w:ascii="Verdana" w:hAnsi="Verdana"/>
          <w:sz w:val="20"/>
          <w:szCs w:val="20"/>
          <w:u w:val="single"/>
        </w:rPr>
        <w:t>Parte</w:t>
      </w:r>
      <w:r>
        <w:rPr>
          <w:rFonts w:ascii="Verdana" w:hAnsi="Verdana"/>
          <w:sz w:val="20"/>
          <w:szCs w:val="20"/>
        </w:rPr>
        <w:t>”, c</w:t>
      </w:r>
      <w:r>
        <w:rPr>
          <w:rFonts w:ascii="Verdana" w:hAnsi="Verdana" w:cs="Calibri"/>
          <w:sz w:val="20"/>
          <w:szCs w:val="20"/>
        </w:rPr>
        <w:t xml:space="preserve">elebram este Primeiro Aditamento ao </w:t>
      </w:r>
      <w:r w:rsidR="006517A2">
        <w:rPr>
          <w:rFonts w:ascii="Verdana" w:hAnsi="Verdana" w:cs="Calibri"/>
          <w:sz w:val="20"/>
          <w:szCs w:val="20"/>
        </w:rPr>
        <w:t>I</w:t>
      </w:r>
      <w:r w:rsidR="006517A2" w:rsidRPr="006517A2">
        <w:rPr>
          <w:rFonts w:ascii="Verdana" w:hAnsi="Verdana" w:cs="Calibri"/>
          <w:sz w:val="20"/>
          <w:szCs w:val="20"/>
        </w:rPr>
        <w:t xml:space="preserve">nstrumento </w:t>
      </w:r>
      <w:r w:rsidR="006517A2">
        <w:rPr>
          <w:rFonts w:ascii="Verdana" w:hAnsi="Verdana" w:cs="Calibri"/>
          <w:sz w:val="20"/>
          <w:szCs w:val="20"/>
        </w:rPr>
        <w:t>P</w:t>
      </w:r>
      <w:r w:rsidR="006517A2" w:rsidRPr="006517A2">
        <w:rPr>
          <w:rFonts w:ascii="Verdana" w:hAnsi="Verdana" w:cs="Calibri"/>
          <w:sz w:val="20"/>
          <w:szCs w:val="20"/>
        </w:rPr>
        <w:t xml:space="preserve">articular de </w:t>
      </w:r>
      <w:r w:rsidR="006517A2">
        <w:rPr>
          <w:rFonts w:ascii="Verdana" w:hAnsi="Verdana" w:cs="Calibri"/>
          <w:sz w:val="20"/>
          <w:szCs w:val="20"/>
        </w:rPr>
        <w:t>E</w:t>
      </w:r>
      <w:r w:rsidR="006517A2" w:rsidRPr="006517A2">
        <w:rPr>
          <w:rFonts w:ascii="Verdana" w:hAnsi="Verdana" w:cs="Calibri"/>
          <w:sz w:val="20"/>
          <w:szCs w:val="20"/>
        </w:rPr>
        <w:t xml:space="preserve">scritura da </w:t>
      </w:r>
      <w:r w:rsidR="006517A2">
        <w:rPr>
          <w:rFonts w:ascii="Verdana" w:hAnsi="Verdana" w:cs="Calibri"/>
          <w:sz w:val="20"/>
          <w:szCs w:val="20"/>
        </w:rPr>
        <w:t>T</w:t>
      </w:r>
      <w:r w:rsidR="006517A2" w:rsidRPr="006517A2">
        <w:rPr>
          <w:rFonts w:ascii="Verdana" w:hAnsi="Verdana" w:cs="Calibri"/>
          <w:sz w:val="20"/>
          <w:szCs w:val="20"/>
        </w:rPr>
        <w:t xml:space="preserve">erceira </w:t>
      </w:r>
      <w:r w:rsidR="006517A2">
        <w:rPr>
          <w:rFonts w:ascii="Verdana" w:hAnsi="Verdana" w:cs="Calibri"/>
          <w:sz w:val="20"/>
          <w:szCs w:val="20"/>
        </w:rPr>
        <w:t>E</w:t>
      </w:r>
      <w:r w:rsidR="006517A2" w:rsidRPr="006517A2">
        <w:rPr>
          <w:rFonts w:ascii="Verdana" w:hAnsi="Verdana" w:cs="Calibri"/>
          <w:sz w:val="20"/>
          <w:szCs w:val="20"/>
        </w:rPr>
        <w:t xml:space="preserve">missão de </w:t>
      </w:r>
      <w:r w:rsidR="006517A2">
        <w:rPr>
          <w:rFonts w:ascii="Verdana" w:hAnsi="Verdana" w:cs="Calibri"/>
          <w:sz w:val="20"/>
          <w:szCs w:val="20"/>
        </w:rPr>
        <w:t>D</w:t>
      </w:r>
      <w:r w:rsidR="006517A2" w:rsidRPr="006517A2">
        <w:rPr>
          <w:rFonts w:ascii="Verdana" w:hAnsi="Verdana" w:cs="Calibri"/>
          <w:sz w:val="20"/>
          <w:szCs w:val="20"/>
        </w:rPr>
        <w:t xml:space="preserve">ebêntures </w:t>
      </w:r>
      <w:r w:rsidR="006517A2">
        <w:rPr>
          <w:rFonts w:ascii="Verdana" w:hAnsi="Verdana" w:cs="Calibri"/>
          <w:sz w:val="20"/>
          <w:szCs w:val="20"/>
        </w:rPr>
        <w:t>S</w:t>
      </w:r>
      <w:r w:rsidR="006517A2" w:rsidRPr="006517A2">
        <w:rPr>
          <w:rFonts w:ascii="Verdana" w:hAnsi="Verdana" w:cs="Calibri"/>
          <w:sz w:val="20"/>
          <w:szCs w:val="20"/>
        </w:rPr>
        <w:t xml:space="preserve">imples, não conversíveis em ações, com garantia real, a ser convolada em espécie quirografária, em série única, para distribuição pública, com esforços restritos de distribuição, da </w:t>
      </w:r>
      <w:proofErr w:type="spellStart"/>
      <w:r w:rsidR="006517A2">
        <w:rPr>
          <w:rFonts w:ascii="Verdana" w:hAnsi="Verdana" w:cs="Calibri"/>
          <w:sz w:val="20"/>
          <w:szCs w:val="20"/>
        </w:rPr>
        <w:t>S</w:t>
      </w:r>
      <w:r w:rsidR="006517A2" w:rsidRPr="006517A2">
        <w:rPr>
          <w:rFonts w:ascii="Verdana" w:hAnsi="Verdana" w:cs="Calibri"/>
          <w:sz w:val="20"/>
          <w:szCs w:val="20"/>
        </w:rPr>
        <w:t>tatkraft</w:t>
      </w:r>
      <w:proofErr w:type="spellEnd"/>
      <w:r w:rsidR="006517A2" w:rsidRPr="006517A2">
        <w:rPr>
          <w:rFonts w:ascii="Verdana" w:hAnsi="Verdana" w:cs="Calibri"/>
          <w:sz w:val="20"/>
          <w:szCs w:val="20"/>
        </w:rPr>
        <w:t xml:space="preserve"> </w:t>
      </w:r>
      <w:r w:rsidR="006517A2">
        <w:rPr>
          <w:rFonts w:ascii="Verdana" w:hAnsi="Verdana" w:cs="Calibri"/>
          <w:sz w:val="20"/>
          <w:szCs w:val="20"/>
        </w:rPr>
        <w:t>E</w:t>
      </w:r>
      <w:r w:rsidR="006517A2" w:rsidRPr="006517A2">
        <w:rPr>
          <w:rFonts w:ascii="Verdana" w:hAnsi="Verdana" w:cs="Calibri"/>
          <w:sz w:val="20"/>
          <w:szCs w:val="20"/>
        </w:rPr>
        <w:t xml:space="preserve">nergias </w:t>
      </w:r>
      <w:r w:rsidR="006517A2">
        <w:rPr>
          <w:rFonts w:ascii="Verdana" w:hAnsi="Verdana" w:cs="Calibri"/>
          <w:sz w:val="20"/>
          <w:szCs w:val="20"/>
        </w:rPr>
        <w:t>R</w:t>
      </w:r>
      <w:r w:rsidR="006517A2" w:rsidRPr="006517A2">
        <w:rPr>
          <w:rFonts w:ascii="Verdana" w:hAnsi="Verdana" w:cs="Calibri"/>
          <w:sz w:val="20"/>
          <w:szCs w:val="20"/>
        </w:rPr>
        <w:t>enováveis s.a.</w:t>
      </w:r>
      <w:r>
        <w:rPr>
          <w:rFonts w:ascii="Verdana" w:hAnsi="Verdana" w:cs="Calibri"/>
          <w:sz w:val="20"/>
          <w:szCs w:val="20"/>
        </w:rPr>
        <w:t xml:space="preserve"> (“</w:t>
      </w:r>
      <w:r>
        <w:rPr>
          <w:rFonts w:ascii="Verdana" w:hAnsi="Verdana" w:cs="Calibri"/>
          <w:sz w:val="20"/>
          <w:szCs w:val="20"/>
          <w:u w:val="single"/>
        </w:rPr>
        <w:t>Debêntures</w:t>
      </w:r>
      <w:r>
        <w:rPr>
          <w:rFonts w:ascii="Verdana" w:hAnsi="Verdana" w:cs="Calibri"/>
          <w:sz w:val="20"/>
          <w:szCs w:val="20"/>
        </w:rPr>
        <w:t>” e “</w:t>
      </w:r>
      <w:r>
        <w:rPr>
          <w:rFonts w:ascii="Verdana" w:hAnsi="Verdana"/>
          <w:sz w:val="20"/>
          <w:szCs w:val="20"/>
          <w:u w:val="single"/>
        </w:rPr>
        <w:t>Aditamento à Escritura de Emissão</w:t>
      </w:r>
      <w:r>
        <w:rPr>
          <w:rFonts w:ascii="Verdana" w:hAnsi="Verdana" w:cs="Calibri"/>
          <w:sz w:val="20"/>
          <w:szCs w:val="20"/>
        </w:rPr>
        <w:t>”, respectivamente), nos termos e condições abaixo.</w:t>
      </w:r>
    </w:p>
    <w:p w:rsidR="00522217" w:rsidRDefault="00522217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522217" w:rsidRDefault="002272F1">
      <w:pPr>
        <w:suppressAutoHyphens/>
        <w:spacing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Os termos aqui iniciados em letra maiúscula, estejam no singular ou no plural, terão o significado a eles atribuído nesta Escritura de Emissão, ainda que posteriormente ao seu uso.</w:t>
      </w:r>
    </w:p>
    <w:p w:rsidR="00522217" w:rsidRDefault="00522217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p w:rsidR="00522217" w:rsidRDefault="002272F1">
      <w:pPr>
        <w:pStyle w:val="NormalWeb"/>
        <w:spacing w:before="0" w:beforeAutospacing="0" w:after="0" w:afterAutospacing="0" w:line="300" w:lineRule="exact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CONSIDERANDO QUE:</w:t>
      </w:r>
    </w:p>
    <w:p w:rsidR="00522217" w:rsidRDefault="00522217">
      <w:pPr>
        <w:pStyle w:val="NormalWeb"/>
        <w:spacing w:before="0" w:beforeAutospacing="0" w:after="0" w:afterAutospacing="0" w:line="300" w:lineRule="exact"/>
        <w:jc w:val="both"/>
        <w:rPr>
          <w:rFonts w:ascii="Verdana" w:hAnsi="Verdana" w:cs="Tahoma"/>
          <w:sz w:val="20"/>
          <w:szCs w:val="20"/>
        </w:rPr>
      </w:pPr>
    </w:p>
    <w:p w:rsidR="00522217" w:rsidRDefault="002272F1">
      <w:pPr>
        <w:pStyle w:val="NormalWeb"/>
        <w:numPr>
          <w:ilvl w:val="0"/>
          <w:numId w:val="33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m </w:t>
      </w:r>
      <w:r w:rsidR="006517A2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 xml:space="preserve"> de </w:t>
      </w:r>
      <w:r w:rsidR="006517A2">
        <w:rPr>
          <w:rFonts w:ascii="Verdana" w:hAnsi="Verdana"/>
          <w:sz w:val="20"/>
          <w:szCs w:val="20"/>
        </w:rPr>
        <w:t>novembro</w:t>
      </w:r>
      <w:r>
        <w:rPr>
          <w:rFonts w:ascii="Verdana" w:hAnsi="Verdana"/>
          <w:sz w:val="20"/>
          <w:szCs w:val="20"/>
        </w:rPr>
        <w:t xml:space="preserve"> de 2018, as Partes celebraram o “</w:t>
      </w:r>
      <w:r w:rsidR="006517A2" w:rsidRPr="006517A2">
        <w:rPr>
          <w:rFonts w:ascii="Verdana" w:hAnsi="Verdana"/>
          <w:sz w:val="20"/>
          <w:szCs w:val="20"/>
        </w:rPr>
        <w:t xml:space="preserve">Instrumento Particular de Escritura da Terceira Emissão de Debêntures Simples, não conversíveis em ações, com garantia real, a ser convolada em espécie quirografária, em série única, para distribuição pública, com esforços restritos de distribuição, da </w:t>
      </w:r>
      <w:proofErr w:type="spellStart"/>
      <w:r w:rsidR="006517A2" w:rsidRPr="006517A2">
        <w:rPr>
          <w:rFonts w:ascii="Verdana" w:hAnsi="Verdana"/>
          <w:sz w:val="20"/>
          <w:szCs w:val="20"/>
        </w:rPr>
        <w:t>Statkraft</w:t>
      </w:r>
      <w:proofErr w:type="spellEnd"/>
      <w:r w:rsidR="006517A2" w:rsidRPr="006517A2">
        <w:rPr>
          <w:rFonts w:ascii="Verdana" w:hAnsi="Verdana"/>
          <w:sz w:val="20"/>
          <w:szCs w:val="20"/>
        </w:rPr>
        <w:t xml:space="preserve"> Energias Renováveis </w:t>
      </w:r>
      <w:r w:rsidR="006517A2">
        <w:rPr>
          <w:rFonts w:ascii="Verdana" w:hAnsi="Verdana"/>
          <w:sz w:val="20"/>
          <w:szCs w:val="20"/>
        </w:rPr>
        <w:t>S.A</w:t>
      </w:r>
      <w:r w:rsidR="006517A2" w:rsidRPr="006517A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 (“</w:t>
      </w:r>
      <w:r>
        <w:rPr>
          <w:rFonts w:ascii="Verdana" w:hAnsi="Verdana"/>
          <w:sz w:val="20"/>
          <w:szCs w:val="20"/>
          <w:u w:val="single"/>
        </w:rPr>
        <w:t>Escritura de Emissão</w:t>
      </w:r>
      <w:r>
        <w:rPr>
          <w:rFonts w:ascii="Verdana" w:hAnsi="Verdana"/>
          <w:sz w:val="20"/>
          <w:szCs w:val="20"/>
        </w:rPr>
        <w:t xml:space="preserve">”), o qual foi </w:t>
      </w:r>
      <w:r>
        <w:rPr>
          <w:rFonts w:ascii="Verdana" w:hAnsi="Verdana"/>
          <w:sz w:val="20"/>
          <w:szCs w:val="20"/>
        </w:rPr>
        <w:lastRenderedPageBreak/>
        <w:t xml:space="preserve">arquivado perante a </w:t>
      </w:r>
      <w:r>
        <w:rPr>
          <w:rFonts w:ascii="Verdana" w:hAnsi="Verdana" w:cs="Tahoma"/>
          <w:bCs/>
          <w:sz w:val="20"/>
          <w:szCs w:val="20"/>
        </w:rPr>
        <w:t>Junta Comercial do Estado de S</w:t>
      </w:r>
      <w:r w:rsidR="006517A2">
        <w:rPr>
          <w:rFonts w:ascii="Verdana" w:hAnsi="Verdana" w:cs="Tahoma"/>
          <w:bCs/>
          <w:sz w:val="20"/>
          <w:szCs w:val="20"/>
        </w:rPr>
        <w:t>anta Catarina</w:t>
      </w:r>
      <w:r>
        <w:rPr>
          <w:rFonts w:ascii="Verdana" w:hAnsi="Verdana" w:cs="Tahoma"/>
          <w:bCs/>
          <w:sz w:val="20"/>
          <w:szCs w:val="20"/>
        </w:rPr>
        <w:t xml:space="preserve"> (“</w:t>
      </w:r>
      <w:proofErr w:type="spellStart"/>
      <w:r w:rsidR="006517A2">
        <w:rPr>
          <w:rFonts w:ascii="Verdana" w:hAnsi="Verdana" w:cs="Tahoma"/>
          <w:bCs/>
          <w:sz w:val="20"/>
          <w:szCs w:val="20"/>
          <w:u w:val="single"/>
        </w:rPr>
        <w:t>JUCESC</w:t>
      </w:r>
      <w:proofErr w:type="spellEnd"/>
      <w:r>
        <w:rPr>
          <w:rFonts w:ascii="Verdana" w:hAnsi="Verdana" w:cs="Tahoma"/>
          <w:bCs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 em sessão realizada em </w:t>
      </w:r>
      <w:r w:rsidR="006517A2">
        <w:rPr>
          <w:rFonts w:ascii="Verdana" w:hAnsi="Verdana"/>
          <w:sz w:val="20"/>
          <w:szCs w:val="20"/>
        </w:rPr>
        <w:t>07</w:t>
      </w:r>
      <w:r>
        <w:rPr>
          <w:rFonts w:ascii="Verdana" w:hAnsi="Verdana"/>
          <w:sz w:val="20"/>
          <w:szCs w:val="20"/>
        </w:rPr>
        <w:t xml:space="preserve"> de </w:t>
      </w:r>
      <w:r w:rsidR="006517A2">
        <w:rPr>
          <w:rFonts w:ascii="Verdana" w:hAnsi="Verdana"/>
          <w:sz w:val="20"/>
          <w:szCs w:val="20"/>
        </w:rPr>
        <w:t>dezembro</w:t>
      </w:r>
      <w:r>
        <w:rPr>
          <w:rFonts w:ascii="Verdana" w:hAnsi="Verdana"/>
          <w:sz w:val="20"/>
          <w:szCs w:val="20"/>
        </w:rPr>
        <w:t xml:space="preserve"> de 2018, sob o nº </w:t>
      </w:r>
      <w:r w:rsidR="006517A2" w:rsidRPr="006517A2">
        <w:rPr>
          <w:rFonts w:ascii="Verdana" w:hAnsi="Verdana"/>
          <w:sz w:val="20"/>
          <w:szCs w:val="20"/>
        </w:rPr>
        <w:t>ED003506000</w:t>
      </w:r>
      <w:r>
        <w:rPr>
          <w:rFonts w:ascii="Verdana" w:hAnsi="Verdana"/>
          <w:sz w:val="20"/>
          <w:szCs w:val="20"/>
        </w:rPr>
        <w:t>;</w:t>
      </w:r>
    </w:p>
    <w:p w:rsidR="00522217" w:rsidRDefault="0052221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rFonts w:ascii="Verdana" w:hAnsi="Verdana"/>
          <w:sz w:val="20"/>
          <w:szCs w:val="20"/>
        </w:rPr>
      </w:pPr>
    </w:p>
    <w:p w:rsidR="00936B13" w:rsidRDefault="002272F1">
      <w:pPr>
        <w:pStyle w:val="NormalWeb"/>
        <w:numPr>
          <w:ilvl w:val="0"/>
          <w:numId w:val="33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nos termos da cláusula 7.8.1. da Escritura de Emissão, as Debêntures foram emitidas como Debêntures da espécie </w:t>
      </w:r>
      <w:r w:rsidR="00936B13">
        <w:rPr>
          <w:rFonts w:ascii="Verdana" w:hAnsi="Verdana"/>
          <w:sz w:val="20"/>
          <w:szCs w:val="20"/>
        </w:rPr>
        <w:t xml:space="preserve">com garantia real </w:t>
      </w:r>
      <w:r>
        <w:rPr>
          <w:rFonts w:ascii="Verdana" w:hAnsi="Verdana"/>
          <w:sz w:val="20"/>
          <w:szCs w:val="20"/>
        </w:rPr>
        <w:t xml:space="preserve">a serem automaticamente convoladas em da espécie </w:t>
      </w:r>
      <w:r w:rsidR="00936B13">
        <w:rPr>
          <w:rFonts w:ascii="Verdana" w:hAnsi="Verdana"/>
          <w:sz w:val="20"/>
          <w:szCs w:val="20"/>
        </w:rPr>
        <w:t>quirografária</w:t>
      </w:r>
      <w:r>
        <w:rPr>
          <w:rFonts w:ascii="Verdana" w:hAnsi="Verdana"/>
          <w:sz w:val="20"/>
          <w:szCs w:val="20"/>
        </w:rPr>
        <w:t xml:space="preserve">, no momento em que </w:t>
      </w:r>
      <w:r w:rsidR="00936B13">
        <w:rPr>
          <w:rFonts w:ascii="Verdana" w:hAnsi="Verdana"/>
          <w:sz w:val="20"/>
          <w:szCs w:val="20"/>
        </w:rPr>
        <w:t xml:space="preserve">fosse concluído o processo de incorporação societária da </w:t>
      </w:r>
      <w:proofErr w:type="spellStart"/>
      <w:r w:rsidR="00936B13">
        <w:rPr>
          <w:rFonts w:ascii="Verdana" w:hAnsi="Verdana"/>
          <w:sz w:val="20"/>
          <w:szCs w:val="20"/>
        </w:rPr>
        <w:t>EDP</w:t>
      </w:r>
      <w:proofErr w:type="spellEnd"/>
      <w:r w:rsidR="00936B13">
        <w:rPr>
          <w:rFonts w:ascii="Verdana" w:hAnsi="Verdana"/>
          <w:sz w:val="20"/>
          <w:szCs w:val="20"/>
        </w:rPr>
        <w:t xml:space="preserve"> </w:t>
      </w:r>
      <w:proofErr w:type="spellStart"/>
      <w:r w:rsidR="00936B13">
        <w:rPr>
          <w:rFonts w:ascii="Verdana" w:hAnsi="Verdana"/>
          <w:sz w:val="20"/>
          <w:szCs w:val="20"/>
        </w:rPr>
        <w:t>PCH</w:t>
      </w:r>
      <w:proofErr w:type="spellEnd"/>
      <w:r w:rsidR="00936B13">
        <w:rPr>
          <w:rFonts w:ascii="Verdana" w:hAnsi="Verdana"/>
          <w:sz w:val="20"/>
          <w:szCs w:val="20"/>
        </w:rPr>
        <w:t xml:space="preserve"> pela Emissora, nos termos da cláusula 7.10.1 da Escritura de Emissão</w:t>
      </w:r>
    </w:p>
    <w:p w:rsidR="00522217" w:rsidRDefault="0052221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NormalWeb"/>
        <w:numPr>
          <w:ilvl w:val="0"/>
          <w:numId w:val="33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[</w:t>
      </w:r>
      <w:r w:rsidRPr="00936B13">
        <w:rPr>
          <w:rFonts w:ascii="Verdana" w:hAnsi="Verdana"/>
          <w:sz w:val="20"/>
          <w:szCs w:val="20"/>
          <w:highlight w:val="yellow"/>
        </w:rPr>
        <w:sym w:font="Symbol" w:char="F0B7"/>
      </w:r>
      <w:r>
        <w:rPr>
          <w:rFonts w:ascii="Verdana" w:hAnsi="Verdana"/>
          <w:sz w:val="20"/>
          <w:szCs w:val="20"/>
        </w:rPr>
        <w:t>] de [</w:t>
      </w:r>
      <w:r w:rsidRPr="00936B13">
        <w:rPr>
          <w:rFonts w:ascii="Verdana" w:hAnsi="Verdana"/>
          <w:sz w:val="20"/>
          <w:szCs w:val="20"/>
          <w:highlight w:val="yellow"/>
        </w:rPr>
        <w:sym w:font="Symbol" w:char="F0B7"/>
      </w:r>
      <w:r>
        <w:rPr>
          <w:rFonts w:ascii="Verdana" w:hAnsi="Verdana"/>
          <w:sz w:val="20"/>
          <w:szCs w:val="20"/>
        </w:rPr>
        <w:t xml:space="preserve">] de 2018, </w:t>
      </w:r>
      <w:r w:rsidR="00936B13">
        <w:rPr>
          <w:rFonts w:ascii="Verdana" w:hAnsi="Verdana"/>
          <w:sz w:val="20"/>
          <w:szCs w:val="20"/>
        </w:rPr>
        <w:t>a Emissora apresentou ao Agente Fiduciário os atos societários de incorporação devidamente registrados no cartório de [</w:t>
      </w:r>
      <w:r w:rsidR="00936B13" w:rsidRPr="00936B13">
        <w:rPr>
          <w:rFonts w:ascii="Verdana" w:hAnsi="Verdana"/>
          <w:sz w:val="20"/>
          <w:szCs w:val="20"/>
          <w:highlight w:val="yellow"/>
        </w:rPr>
        <w:t>.</w:t>
      </w:r>
      <w:r w:rsidR="00936B13">
        <w:rPr>
          <w:rFonts w:ascii="Verdana" w:hAnsi="Verdana"/>
          <w:sz w:val="20"/>
          <w:szCs w:val="20"/>
        </w:rPr>
        <w:t xml:space="preserve">] sob número [.] e também o respectivo cancelamento do CNPJ/MF de titularidade da </w:t>
      </w:r>
      <w:proofErr w:type="spellStart"/>
      <w:r w:rsidR="00936B13">
        <w:rPr>
          <w:rFonts w:ascii="Verdana" w:hAnsi="Verdana"/>
          <w:sz w:val="20"/>
          <w:szCs w:val="20"/>
        </w:rPr>
        <w:t>EDP</w:t>
      </w:r>
      <w:proofErr w:type="spellEnd"/>
      <w:r w:rsidR="00936B13">
        <w:rPr>
          <w:rFonts w:ascii="Verdana" w:hAnsi="Verdana"/>
          <w:sz w:val="20"/>
          <w:szCs w:val="20"/>
        </w:rPr>
        <w:t xml:space="preserve"> </w:t>
      </w:r>
      <w:proofErr w:type="spellStart"/>
      <w:r w:rsidR="00936B13">
        <w:rPr>
          <w:rFonts w:ascii="Verdana" w:hAnsi="Verdana"/>
          <w:sz w:val="20"/>
          <w:szCs w:val="20"/>
        </w:rPr>
        <w:t>PCH</w:t>
      </w:r>
      <w:proofErr w:type="spellEnd"/>
      <w:r>
        <w:rPr>
          <w:rFonts w:ascii="Verdana" w:hAnsi="Verdana"/>
          <w:sz w:val="20"/>
          <w:szCs w:val="20"/>
        </w:rPr>
        <w:t>; e</w:t>
      </w:r>
    </w:p>
    <w:p w:rsidR="00522217" w:rsidRDefault="0052221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NormalWeb"/>
        <w:numPr>
          <w:ilvl w:val="0"/>
          <w:numId w:val="33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nos termos da cláusula </w:t>
      </w:r>
      <w:r w:rsidR="00936B13">
        <w:rPr>
          <w:rFonts w:ascii="Verdana" w:hAnsi="Verdana"/>
          <w:sz w:val="20"/>
          <w:szCs w:val="20"/>
        </w:rPr>
        <w:t>7.8.1</w:t>
      </w:r>
      <w:r>
        <w:rPr>
          <w:rFonts w:ascii="Verdana" w:hAnsi="Verdana"/>
          <w:sz w:val="20"/>
          <w:szCs w:val="20"/>
        </w:rPr>
        <w:t xml:space="preserve"> da Escritura de Emissão, as Partes acordaram em celebrar o aditamento à Escritura de Emissão, para formalização e ratificação da convolação das Debêntures para da espécie </w:t>
      </w:r>
      <w:r w:rsidR="00936B13">
        <w:rPr>
          <w:rFonts w:ascii="Verdana" w:hAnsi="Verdana"/>
          <w:sz w:val="20"/>
          <w:szCs w:val="20"/>
        </w:rPr>
        <w:t>quirografária</w:t>
      </w:r>
      <w:r>
        <w:rPr>
          <w:rFonts w:ascii="Verdana" w:hAnsi="Verdana"/>
          <w:sz w:val="20"/>
          <w:szCs w:val="20"/>
        </w:rPr>
        <w:t>, dispensadas novas deliberações da Emissora e/ou Assembleia de Debenturistas para tanto.</w:t>
      </w:r>
    </w:p>
    <w:p w:rsidR="00522217" w:rsidRDefault="0052221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ISTO POSTO</w:t>
      </w:r>
      <w:r>
        <w:rPr>
          <w:rFonts w:ascii="Verdana" w:hAnsi="Verdana"/>
          <w:sz w:val="20"/>
          <w:szCs w:val="20"/>
        </w:rPr>
        <w:t>, resolvem as Partes, na melhor forma de direito, celebrar o presente Aditamento a Escritura de Emissão, que se regerá pelas cláusulas e condições abaixo dispostas:</w:t>
      </w:r>
    </w:p>
    <w:p w:rsidR="00522217" w:rsidRDefault="00522217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p w:rsidR="00522217" w:rsidRDefault="002272F1">
      <w:pPr>
        <w:pStyle w:val="Ttulo1"/>
        <w:keepNext/>
        <w:numPr>
          <w:ilvl w:val="1"/>
          <w:numId w:val="33"/>
        </w:numPr>
        <w:tabs>
          <w:tab w:val="left" w:pos="142"/>
        </w:tabs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TERMOS DEFINIDOS</w:t>
      </w:r>
    </w:p>
    <w:p w:rsidR="00522217" w:rsidRDefault="00522217"/>
    <w:p w:rsidR="00522217" w:rsidRDefault="002272F1">
      <w:p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1.1.</w:t>
      </w:r>
      <w:r>
        <w:rPr>
          <w:rFonts w:ascii="Verdana" w:hAnsi="Verdana"/>
          <w:sz w:val="20"/>
          <w:szCs w:val="20"/>
        </w:rPr>
        <w:tab/>
        <w:t>Os termos aqui iniciados em maiúsculas, estejam no singular ou no plural, terão o significado a eles atribuídos na Escritura de Emissão, ainda que posteriormente ao seu uso, exceto se de outra forma definidos neste Aditamento à Escritura de Emissão.</w:t>
      </w:r>
    </w:p>
    <w:p w:rsidR="00522217" w:rsidRDefault="00522217">
      <w:pPr>
        <w:spacing w:line="300" w:lineRule="exact"/>
        <w:rPr>
          <w:rFonts w:ascii="Verdana" w:hAnsi="Verdana"/>
          <w:sz w:val="20"/>
          <w:szCs w:val="20"/>
        </w:rPr>
      </w:pPr>
    </w:p>
    <w:p w:rsidR="00522217" w:rsidRDefault="002272F1">
      <w:pPr>
        <w:pStyle w:val="Ttulo1"/>
        <w:keepNext/>
        <w:numPr>
          <w:ilvl w:val="1"/>
          <w:numId w:val="33"/>
        </w:numPr>
        <w:tabs>
          <w:tab w:val="left" w:pos="142"/>
        </w:tabs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REGISTRO DO ADITAMENTO</w:t>
      </w:r>
    </w:p>
    <w:p w:rsidR="00522217" w:rsidRDefault="00522217"/>
    <w:p w:rsidR="00522217" w:rsidRDefault="002272F1">
      <w:pPr>
        <w:pStyle w:val="Corpodetexto"/>
        <w:tabs>
          <w:tab w:val="left" w:pos="1134"/>
        </w:tabs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2.1.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Nos termos do artigo 62, inciso II e parágrafo 3º, da Lei das Sociedades por Ações, este Aditamento à Escritura de Emissão será averbado na </w:t>
      </w:r>
      <w:proofErr w:type="spellStart"/>
      <w:r w:rsidR="00936B13">
        <w:rPr>
          <w:rFonts w:ascii="Verdana" w:hAnsi="Verdana" w:cs="Tahoma"/>
          <w:bCs/>
          <w:sz w:val="20"/>
          <w:szCs w:val="20"/>
          <w:u w:val="single"/>
        </w:rPr>
        <w:t>JUCESC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>, no prazo de 2 (dois) dias contato da respectiva assinatura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Calibri"/>
          <w:sz w:val="20"/>
          <w:szCs w:val="20"/>
        </w:rPr>
        <w:t xml:space="preserve">A Emissora compromete-se a enviar ao Agente Fiduciário 1 (uma) via original deste </w:t>
      </w:r>
      <w:r>
        <w:rPr>
          <w:rFonts w:ascii="Verdana" w:hAnsi="Verdana"/>
          <w:sz w:val="20"/>
          <w:szCs w:val="20"/>
        </w:rPr>
        <w:t>Aditamento à Escritura</w:t>
      </w:r>
      <w:r>
        <w:rPr>
          <w:rFonts w:ascii="Verdana" w:hAnsi="Verdana" w:cs="Calibri"/>
          <w:sz w:val="20"/>
          <w:szCs w:val="20"/>
        </w:rPr>
        <w:t xml:space="preserve">, devidamente registrado </w:t>
      </w:r>
      <w:r w:rsidR="00936B13">
        <w:rPr>
          <w:rFonts w:ascii="Verdana" w:hAnsi="Verdana" w:cs="Calibri"/>
          <w:sz w:val="20"/>
          <w:szCs w:val="20"/>
        </w:rPr>
        <w:t xml:space="preserve">na </w:t>
      </w:r>
      <w:proofErr w:type="spellStart"/>
      <w:r w:rsidR="00936B13">
        <w:rPr>
          <w:rFonts w:ascii="Verdana" w:hAnsi="Verdana" w:cs="Calibri"/>
          <w:sz w:val="20"/>
          <w:szCs w:val="20"/>
        </w:rPr>
        <w:t>JUCESC</w:t>
      </w:r>
      <w:proofErr w:type="spellEnd"/>
      <w:r>
        <w:rPr>
          <w:rFonts w:ascii="Verdana" w:hAnsi="Verdana" w:cs="Calibri"/>
          <w:sz w:val="20"/>
          <w:szCs w:val="20"/>
        </w:rPr>
        <w:t>, em até 5 (cinco) dias, contados da data de obtenção do referido registro.</w:t>
      </w:r>
    </w:p>
    <w:p w:rsidR="00522217" w:rsidRDefault="00522217">
      <w:pPr>
        <w:pStyle w:val="Corpodetexto"/>
        <w:tabs>
          <w:tab w:val="left" w:pos="1134"/>
        </w:tabs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Ttulo1"/>
        <w:keepNext/>
        <w:numPr>
          <w:ilvl w:val="1"/>
          <w:numId w:val="33"/>
        </w:numPr>
        <w:tabs>
          <w:tab w:val="left" w:pos="142"/>
        </w:tabs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ALTERAÇÕES DA ESCRITURA DE EMISSÃO</w:t>
      </w:r>
    </w:p>
    <w:p w:rsidR="00522217" w:rsidRDefault="00522217"/>
    <w:p w:rsidR="00522217" w:rsidRDefault="002272F1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Partes, por meio deste Aditamento à Escritura de Emissão, em virtude do cumprimento da convolação das Debêntures da espécie </w:t>
      </w:r>
      <w:r w:rsidR="00936B13">
        <w:rPr>
          <w:rFonts w:ascii="Verdana" w:hAnsi="Verdana"/>
          <w:sz w:val="20"/>
          <w:szCs w:val="20"/>
        </w:rPr>
        <w:t>com garantia real</w:t>
      </w:r>
      <w:r>
        <w:rPr>
          <w:rFonts w:ascii="Verdana" w:hAnsi="Verdana"/>
          <w:sz w:val="20"/>
          <w:szCs w:val="20"/>
        </w:rPr>
        <w:t xml:space="preserve"> para da espécie com </w:t>
      </w:r>
      <w:r w:rsidR="00936B13">
        <w:rPr>
          <w:rFonts w:ascii="Verdana" w:hAnsi="Verdana"/>
          <w:sz w:val="20"/>
          <w:szCs w:val="20"/>
        </w:rPr>
        <w:t>quirografária</w:t>
      </w:r>
      <w:r>
        <w:rPr>
          <w:rFonts w:ascii="Verdana" w:hAnsi="Verdana"/>
          <w:sz w:val="20"/>
          <w:szCs w:val="20"/>
        </w:rPr>
        <w:t>, concordam em alterar: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PargrafodaLista"/>
        <w:numPr>
          <w:ilvl w:val="2"/>
          <w:numId w:val="3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definição “Escritura” constante do preambulo, bem como todas as respectivas referências ao respectivo aditamento constante na Escritura de Emissão, que passam a vigorar com as redações abaixo: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</w:p>
    <w:p w:rsidR="00522217" w:rsidRDefault="002272F1" w:rsidP="00936B13">
      <w:pPr>
        <w:pStyle w:val="PargrafodaLista"/>
        <w:tabs>
          <w:tab w:val="left" w:pos="567"/>
        </w:tabs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936B13" w:rsidRPr="00936B13">
        <w:rPr>
          <w:rFonts w:ascii="Verdana" w:hAnsi="Verdana"/>
          <w:sz w:val="20"/>
          <w:szCs w:val="20"/>
        </w:rPr>
        <w:t xml:space="preserve">Instrumento Particular de Escritura da Terceira Emissão de Debêntures Simples, não conversíveis em ações, </w:t>
      </w:r>
      <w:r w:rsidR="00936B13">
        <w:rPr>
          <w:rFonts w:ascii="Verdana" w:hAnsi="Verdana"/>
          <w:sz w:val="20"/>
          <w:szCs w:val="20"/>
        </w:rPr>
        <w:t xml:space="preserve">da </w:t>
      </w:r>
      <w:r w:rsidR="00936B13" w:rsidRPr="00936B13">
        <w:rPr>
          <w:rFonts w:ascii="Verdana" w:hAnsi="Verdana"/>
          <w:sz w:val="20"/>
          <w:szCs w:val="20"/>
        </w:rPr>
        <w:t xml:space="preserve">espécie quirografária, em série única, para distribuição pública, com esforços restritos de distribuição, da </w:t>
      </w:r>
      <w:proofErr w:type="spellStart"/>
      <w:r w:rsidR="00936B13" w:rsidRPr="00936B13">
        <w:rPr>
          <w:rFonts w:ascii="Verdana" w:hAnsi="Verdana"/>
          <w:sz w:val="20"/>
          <w:szCs w:val="20"/>
        </w:rPr>
        <w:t>Statkraft</w:t>
      </w:r>
      <w:proofErr w:type="spellEnd"/>
      <w:r w:rsidR="00936B13" w:rsidRPr="00936B13">
        <w:rPr>
          <w:rFonts w:ascii="Verdana" w:hAnsi="Verdana"/>
          <w:sz w:val="20"/>
          <w:szCs w:val="20"/>
        </w:rPr>
        <w:t xml:space="preserve"> Energias Renováveis s.a.</w:t>
      </w:r>
      <w:r>
        <w:rPr>
          <w:rFonts w:ascii="Verdana" w:hAnsi="Verdana"/>
          <w:sz w:val="20"/>
          <w:szCs w:val="20"/>
        </w:rPr>
        <w:t>”</w:t>
      </w:r>
    </w:p>
    <w:p w:rsidR="00522217" w:rsidRDefault="00522217">
      <w:pPr>
        <w:pStyle w:val="PargrafodaLista"/>
        <w:tabs>
          <w:tab w:val="left" w:pos="709"/>
        </w:tabs>
        <w:autoSpaceDE w:val="0"/>
        <w:autoSpaceDN w:val="0"/>
        <w:adjustRightInd w:val="0"/>
        <w:spacing w:line="300" w:lineRule="exact"/>
        <w:ind w:left="0"/>
        <w:rPr>
          <w:rFonts w:ascii="Verdana" w:hAnsi="Verdana"/>
          <w:sz w:val="20"/>
          <w:szCs w:val="20"/>
        </w:rPr>
      </w:pPr>
    </w:p>
    <w:p w:rsidR="00522217" w:rsidRDefault="002272F1">
      <w:pPr>
        <w:pStyle w:val="PargrafodaLista"/>
        <w:numPr>
          <w:ilvl w:val="2"/>
          <w:numId w:val="3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redação da cláusula </w:t>
      </w:r>
      <w:r w:rsidR="00936B13">
        <w:rPr>
          <w:rFonts w:ascii="Verdana" w:hAnsi="Verdana"/>
          <w:sz w:val="20"/>
          <w:szCs w:val="20"/>
        </w:rPr>
        <w:t>7.8</w:t>
      </w:r>
      <w:r>
        <w:rPr>
          <w:rFonts w:ascii="Verdana" w:hAnsi="Verdana"/>
          <w:sz w:val="20"/>
          <w:szCs w:val="20"/>
        </w:rPr>
        <w:t xml:space="preserve"> da Escritura de Emissão que passa a vigorar com a seguinte redação: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PargrafodaLista"/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“</w:t>
      </w:r>
      <w:r w:rsidR="00936B13">
        <w:rPr>
          <w:rFonts w:ascii="Verdana" w:hAnsi="Verdana"/>
          <w:i/>
          <w:sz w:val="20"/>
          <w:szCs w:val="20"/>
        </w:rPr>
        <w:t>7.8 Espécies.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 w:cs="Calibri"/>
          <w:i/>
          <w:sz w:val="20"/>
          <w:szCs w:val="20"/>
        </w:rPr>
        <w:t xml:space="preserve">As Debêntures serão da espécie </w:t>
      </w:r>
      <w:r w:rsidR="00936B13">
        <w:rPr>
          <w:rFonts w:ascii="Verdana" w:hAnsi="Verdana" w:cs="Calibri"/>
          <w:i/>
          <w:sz w:val="20"/>
          <w:szCs w:val="20"/>
        </w:rPr>
        <w:t>quirografária</w:t>
      </w:r>
      <w:r>
        <w:rPr>
          <w:rFonts w:ascii="Verdana" w:hAnsi="Verdana"/>
          <w:i/>
          <w:sz w:val="20"/>
          <w:szCs w:val="20"/>
        </w:rPr>
        <w:t>”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PargrafodaLista"/>
        <w:numPr>
          <w:ilvl w:val="2"/>
          <w:numId w:val="3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exclusão da cláusula </w:t>
      </w:r>
      <w:r w:rsidR="00936B13">
        <w:rPr>
          <w:rFonts w:ascii="Verdana" w:hAnsi="Verdana"/>
          <w:sz w:val="20"/>
          <w:szCs w:val="20"/>
        </w:rPr>
        <w:t xml:space="preserve">7.8.1, 7.9, 7.9.1, 7.10 e </w:t>
      </w:r>
      <w:proofErr w:type="gramStart"/>
      <w:r w:rsidR="00936B13">
        <w:rPr>
          <w:rFonts w:ascii="Verdana" w:hAnsi="Verdana"/>
          <w:sz w:val="20"/>
          <w:szCs w:val="20"/>
        </w:rPr>
        <w:t xml:space="preserve">7.10.1 </w:t>
      </w:r>
      <w:r>
        <w:rPr>
          <w:rFonts w:ascii="Verdana" w:hAnsi="Verdana"/>
          <w:sz w:val="20"/>
          <w:szCs w:val="20"/>
        </w:rPr>
        <w:t xml:space="preserve"> da</w:t>
      </w:r>
      <w:proofErr w:type="gramEnd"/>
      <w:r>
        <w:rPr>
          <w:rFonts w:ascii="Verdana" w:hAnsi="Verdana"/>
          <w:sz w:val="20"/>
          <w:szCs w:val="20"/>
        </w:rPr>
        <w:t xml:space="preserve"> Escritura de Emissão, tendo em vista a formalização da convolação por meio deste Aditamento a Escritura de Emissão.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</w:p>
    <w:p w:rsidR="00522217" w:rsidRDefault="002272F1">
      <w:pPr>
        <w:pStyle w:val="Ttulo1"/>
        <w:keepNext/>
        <w:numPr>
          <w:ilvl w:val="1"/>
          <w:numId w:val="33"/>
        </w:numPr>
        <w:tabs>
          <w:tab w:val="left" w:pos="142"/>
        </w:tabs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RATIFICAÇÕES</w:t>
      </w:r>
    </w:p>
    <w:p w:rsidR="00522217" w:rsidRDefault="00522217"/>
    <w:p w:rsidR="00522217" w:rsidRDefault="002272F1">
      <w:pPr>
        <w:pStyle w:val="PargrafodaLista"/>
        <w:numPr>
          <w:ilvl w:val="1"/>
          <w:numId w:val="3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/>
          <w:w w:val="0"/>
          <w:sz w:val="20"/>
          <w:szCs w:val="20"/>
        </w:rPr>
      </w:pPr>
      <w:r>
        <w:rPr>
          <w:rFonts w:ascii="Verdana" w:hAnsi="Verdana"/>
          <w:w w:val="0"/>
          <w:sz w:val="20"/>
          <w:szCs w:val="20"/>
        </w:rPr>
        <w:t xml:space="preserve">Ficam ratificadas, nos termos em que se encontram redigidas, todas as cláusulas, itens, características e </w:t>
      </w:r>
      <w:r>
        <w:rPr>
          <w:rFonts w:ascii="Verdana" w:hAnsi="Verdana"/>
          <w:sz w:val="20"/>
          <w:szCs w:val="20"/>
        </w:rPr>
        <w:t>condições</w:t>
      </w:r>
      <w:r>
        <w:rPr>
          <w:rFonts w:ascii="Verdana" w:hAnsi="Verdana"/>
          <w:w w:val="0"/>
          <w:sz w:val="20"/>
          <w:szCs w:val="20"/>
        </w:rPr>
        <w:t xml:space="preserve"> estabelecidas na Escritura de Emissão e não expressamente alterados por este </w:t>
      </w:r>
      <w:r>
        <w:rPr>
          <w:rFonts w:ascii="Verdana" w:hAnsi="Verdana"/>
          <w:sz w:val="20"/>
          <w:szCs w:val="20"/>
        </w:rPr>
        <w:t xml:space="preserve">Aditamento a Escritura de Emissão. A Escritura de Emissão </w:t>
      </w:r>
      <w:r>
        <w:rPr>
          <w:rFonts w:ascii="Verdana" w:hAnsi="Verdana"/>
          <w:w w:val="0"/>
          <w:sz w:val="20"/>
          <w:szCs w:val="20"/>
        </w:rPr>
        <w:t>alterada e consolidada passa a vigorar na forma prevista no Anexo I deste Aditamento.</w:t>
      </w:r>
    </w:p>
    <w:p w:rsidR="00522217" w:rsidRDefault="00522217">
      <w:pPr>
        <w:spacing w:line="300" w:lineRule="exact"/>
        <w:rPr>
          <w:rFonts w:ascii="Verdana" w:hAnsi="Verdana"/>
          <w:w w:val="0"/>
          <w:sz w:val="20"/>
          <w:szCs w:val="20"/>
        </w:rPr>
      </w:pPr>
    </w:p>
    <w:p w:rsidR="00522217" w:rsidRDefault="002272F1">
      <w:pPr>
        <w:pStyle w:val="Ttulo1"/>
        <w:keepNext/>
        <w:numPr>
          <w:ilvl w:val="1"/>
          <w:numId w:val="33"/>
        </w:numPr>
        <w:tabs>
          <w:tab w:val="left" w:pos="142"/>
        </w:tabs>
        <w:spacing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DISPOSIÇÕES FINAIS</w:t>
      </w:r>
    </w:p>
    <w:p w:rsidR="00522217" w:rsidRDefault="00522217"/>
    <w:p w:rsidR="00522217" w:rsidRDefault="002272F1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eastAsia="Arial Unicode MS" w:hAnsi="Verdana" w:cs="Calibri"/>
          <w:w w:val="0"/>
          <w:sz w:val="20"/>
          <w:szCs w:val="20"/>
        </w:rPr>
      </w:pPr>
      <w:r>
        <w:rPr>
          <w:rFonts w:ascii="Verdana" w:hAnsi="Verdana"/>
          <w:w w:val="0"/>
          <w:sz w:val="20"/>
          <w:szCs w:val="20"/>
          <w:u w:val="single"/>
        </w:rPr>
        <w:t>Renúncia</w:t>
      </w:r>
      <w:r>
        <w:rPr>
          <w:rFonts w:ascii="Verdana" w:hAnsi="Verdana"/>
          <w:w w:val="0"/>
          <w:sz w:val="20"/>
          <w:szCs w:val="20"/>
        </w:rPr>
        <w:t xml:space="preserve">. 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Não se presume a renúncia a qualquer dos direitos decorrentes deste Aditamento à Escritura de Emissão. Desta forma, nenhum atraso, omissão ou liberalidade no exercício de qualquer direito ou faculdade que caiba aos </w:t>
      </w:r>
      <w:r>
        <w:rPr>
          <w:rFonts w:ascii="Verdana" w:hAnsi="Verdana" w:cs="Calibri"/>
          <w:sz w:val="20"/>
          <w:szCs w:val="20"/>
        </w:rPr>
        <w:t xml:space="preserve">Debenturistas 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em razão de qualquer </w:t>
      </w:r>
      <w:r>
        <w:rPr>
          <w:rFonts w:ascii="Verdana" w:hAnsi="Verdana"/>
          <w:w w:val="0"/>
          <w:sz w:val="20"/>
          <w:szCs w:val="20"/>
        </w:rPr>
        <w:t>inadimplemento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 da Emissora prejudicará o exercício de tal direito ou faculdade, ou será interpretado como renúncia ao mesmo, nem constituirá novação ou precedente no tocante a qualquer outro inadimplemento ou atraso. 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eastAsia="Arial Unicode MS" w:hAnsi="Verdana" w:cs="Calibri"/>
          <w:w w:val="0"/>
          <w:sz w:val="20"/>
          <w:szCs w:val="20"/>
        </w:rPr>
      </w:pPr>
      <w:r>
        <w:rPr>
          <w:rFonts w:ascii="Verdana" w:hAnsi="Verdana"/>
          <w:w w:val="0"/>
          <w:sz w:val="20"/>
          <w:szCs w:val="20"/>
          <w:u w:val="single"/>
        </w:rPr>
        <w:t>Independência das Disposições do Aditamento à Escritura de Emissão</w:t>
      </w:r>
      <w:r>
        <w:rPr>
          <w:rFonts w:ascii="Verdana" w:hAnsi="Verdana"/>
          <w:w w:val="0"/>
          <w:sz w:val="20"/>
          <w:szCs w:val="20"/>
        </w:rPr>
        <w:t xml:space="preserve">. 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Caso qualquer das disposições ora aprovadas venha a ser julgada ilegal, inválida ou </w:t>
      </w:r>
      <w:r>
        <w:rPr>
          <w:rFonts w:ascii="Verdana" w:hAnsi="Verdana"/>
          <w:w w:val="0"/>
          <w:sz w:val="20"/>
          <w:szCs w:val="20"/>
        </w:rPr>
        <w:t>ineficaz</w:t>
      </w:r>
      <w:r>
        <w:rPr>
          <w:rFonts w:ascii="Verdana" w:eastAsia="Arial Unicode MS" w:hAnsi="Verdana" w:cs="Calibri"/>
          <w:w w:val="0"/>
          <w:sz w:val="20"/>
          <w:szCs w:val="20"/>
        </w:rPr>
        <w:t>, prevalecerão todas as demais disposições não afetadas por tal julgamento, comprometendo-se as Partes, em boa-fé, a substituírem as disposições afetadas por outra que, na medida do possível, produza o mesmo efeito.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eastAsia="Arial Unicode MS" w:hAnsi="Verdana" w:cs="Calibri"/>
          <w:w w:val="0"/>
          <w:sz w:val="20"/>
          <w:szCs w:val="20"/>
        </w:rPr>
      </w:pPr>
      <w:r>
        <w:rPr>
          <w:rFonts w:ascii="Verdana" w:hAnsi="Verdana"/>
          <w:w w:val="0"/>
          <w:sz w:val="20"/>
          <w:szCs w:val="20"/>
        </w:rPr>
        <w:lastRenderedPageBreak/>
        <w:t>Este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 Aditamento à Escritura de Emissão é regido pelas Leis da República Federativa do Brasil.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eastAsia="Arial Unicode MS" w:hAnsi="Verdana" w:cs="Calibri"/>
          <w:w w:val="0"/>
          <w:sz w:val="20"/>
          <w:szCs w:val="20"/>
        </w:rPr>
      </w:pPr>
      <w:r>
        <w:rPr>
          <w:rFonts w:ascii="Verdana" w:eastAsia="Arial Unicode MS" w:hAnsi="Verdana" w:cs="Calibri"/>
          <w:w w:val="0"/>
          <w:sz w:val="20"/>
          <w:szCs w:val="20"/>
        </w:rPr>
        <w:t xml:space="preserve">Este Aditamento à Escritura de Emissão, a Escritura de Emissão e as Debêntures constituem títulos executivos extrajudiciais nos termos dos incisos I e II do artigo 585 do Código de Processo Civil, </w:t>
      </w:r>
      <w:r>
        <w:rPr>
          <w:rFonts w:ascii="Verdana" w:hAnsi="Verdana"/>
          <w:w w:val="0"/>
          <w:sz w:val="20"/>
          <w:szCs w:val="20"/>
        </w:rPr>
        <w:t>reconhecendo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 as Partes desde já que, independentemente de quaisquer outras medidas cabíveis, as obrigações assumidas nos termos da Escritura de Emissão comportam execução específica e se submetem às disposições dos artigos 632 e seguintes do Código de Processo Civil, sem prejuízo do direito de declarar o vencimento antecipado das Debêntures, nos termos da Escritura de Emissão.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eastAsia="Arial Unicode MS" w:hAnsi="Verdana" w:cs="Calibri"/>
          <w:w w:val="0"/>
          <w:sz w:val="20"/>
          <w:szCs w:val="20"/>
        </w:rPr>
      </w:pPr>
      <w:r>
        <w:rPr>
          <w:rFonts w:ascii="Verdana" w:eastAsia="Arial Unicode MS" w:hAnsi="Verdana" w:cs="Calibri"/>
          <w:w w:val="0"/>
          <w:sz w:val="20"/>
          <w:szCs w:val="20"/>
        </w:rPr>
        <w:t>Este Aditamento à Escritura de Emissão é firmado em caráter irrevogável e irretratável, obrigando as Partes por si e seus sucessores.</w:t>
      </w:r>
    </w:p>
    <w:p w:rsidR="00522217" w:rsidRDefault="00522217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Fica eleito o foro central da Comarca de São Paulo, Estado de São Paulo, para dirimir quaisquer dúvidas ou controvérsias oriundas deste</w:t>
      </w:r>
      <w:r>
        <w:rPr>
          <w:rFonts w:ascii="Verdana" w:eastAsia="Arial Unicode MS" w:hAnsi="Verdana" w:cs="Calibri"/>
          <w:w w:val="0"/>
          <w:sz w:val="20"/>
          <w:szCs w:val="20"/>
        </w:rPr>
        <w:t xml:space="preserve"> Aditamento à Escritura de Emissão</w:t>
      </w:r>
      <w:r>
        <w:rPr>
          <w:rFonts w:ascii="Verdana" w:hAnsi="Verdana" w:cs="Calibri"/>
          <w:sz w:val="20"/>
          <w:szCs w:val="20"/>
        </w:rPr>
        <w:t>, com renúncia a qualquer outro, por mais privilegiado que seja.</w:t>
      </w:r>
    </w:p>
    <w:p w:rsidR="00522217" w:rsidRDefault="00522217">
      <w:pPr>
        <w:pStyle w:val="sub"/>
        <w:widowControl/>
        <w:shd w:val="clear" w:color="auto" w:fill="FFFFFF"/>
        <w:tabs>
          <w:tab w:val="left" w:pos="708"/>
        </w:tabs>
        <w:spacing w:before="0" w:after="0" w:line="300" w:lineRule="exact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Verdana" w:eastAsia="Arial Unicode MS" w:hAnsi="Verdana" w:cs="Calibri"/>
          <w:w w:val="0"/>
          <w:sz w:val="20"/>
          <w:szCs w:val="20"/>
        </w:rPr>
      </w:pPr>
      <w:r>
        <w:rPr>
          <w:rFonts w:ascii="Verdana" w:eastAsia="Arial Unicode MS" w:hAnsi="Verdana" w:cs="Calibri"/>
          <w:w w:val="0"/>
          <w:sz w:val="20"/>
          <w:szCs w:val="20"/>
        </w:rPr>
        <w:t xml:space="preserve">E por estarem assim justas e contratadas, as Partes firmam este Aditamento à Escritura de Emissão, em </w:t>
      </w:r>
      <w:r w:rsidR="00E11BE4">
        <w:rPr>
          <w:rFonts w:ascii="Verdana" w:eastAsia="Arial Unicode MS" w:hAnsi="Verdana" w:cs="Calibri"/>
          <w:w w:val="0"/>
          <w:sz w:val="20"/>
          <w:szCs w:val="20"/>
        </w:rPr>
        <w:t>3</w:t>
      </w:r>
      <w:r>
        <w:rPr>
          <w:rFonts w:ascii="Verdana" w:eastAsia="Arial Unicode MS" w:hAnsi="Verdana" w:cs="Calibri"/>
          <w:w w:val="0"/>
          <w:sz w:val="20"/>
          <w:szCs w:val="20"/>
        </w:rPr>
        <w:t> (</w:t>
      </w:r>
      <w:r w:rsidR="00E11BE4">
        <w:rPr>
          <w:rFonts w:ascii="Verdana" w:eastAsia="Arial Unicode MS" w:hAnsi="Verdana" w:cs="Calibri"/>
          <w:w w:val="0"/>
          <w:sz w:val="20"/>
          <w:szCs w:val="20"/>
        </w:rPr>
        <w:t>três</w:t>
      </w:r>
      <w:r>
        <w:rPr>
          <w:rFonts w:ascii="Verdana" w:eastAsia="Arial Unicode MS" w:hAnsi="Verdana" w:cs="Calibri"/>
          <w:w w:val="0"/>
          <w:sz w:val="20"/>
          <w:szCs w:val="20"/>
        </w:rPr>
        <w:t>) vias de igual teor e forma, na presença de 2 (duas) testemunhas.</w:t>
      </w:r>
    </w:p>
    <w:p w:rsidR="00522217" w:rsidRDefault="002272F1">
      <w:pPr>
        <w:pStyle w:val="p0"/>
        <w:tabs>
          <w:tab w:val="clear" w:pos="720"/>
          <w:tab w:val="left" w:pos="0"/>
        </w:tabs>
        <w:spacing w:line="300" w:lineRule="exact"/>
        <w:jc w:val="center"/>
        <w:rPr>
          <w:rFonts w:ascii="Verdana" w:eastAsia="Arial Unicode MS" w:hAnsi="Verdana" w:cs="Calibri"/>
          <w:sz w:val="20"/>
        </w:rPr>
      </w:pPr>
      <w:r>
        <w:rPr>
          <w:rFonts w:ascii="Verdana" w:eastAsia="Arial Unicode MS" w:hAnsi="Verdana" w:cs="Calibri"/>
          <w:sz w:val="20"/>
        </w:rPr>
        <w:t>São Paulo, [</w:t>
      </w:r>
      <w:r>
        <w:rPr>
          <w:rFonts w:ascii="Verdana" w:eastAsia="Arial Unicode MS" w:hAnsi="Verdana" w:cs="Calibri"/>
          <w:sz w:val="20"/>
        </w:rPr>
        <w:sym w:font="Symbol" w:char="F0B7"/>
      </w:r>
      <w:r>
        <w:rPr>
          <w:rFonts w:ascii="Verdana" w:eastAsia="Arial Unicode MS" w:hAnsi="Verdana" w:cs="Calibri"/>
          <w:sz w:val="20"/>
        </w:rPr>
        <w:t>]</w:t>
      </w:r>
      <w:r>
        <w:rPr>
          <w:rFonts w:ascii="Verdana" w:hAnsi="Verdana" w:cs="Calibri"/>
          <w:sz w:val="20"/>
        </w:rPr>
        <w:t xml:space="preserve"> de [</w:t>
      </w:r>
      <w:r>
        <w:rPr>
          <w:rFonts w:ascii="Verdana" w:hAnsi="Verdana" w:cs="Calibri"/>
          <w:sz w:val="20"/>
        </w:rPr>
        <w:sym w:font="Symbol" w:char="F0B7"/>
      </w:r>
      <w:r>
        <w:rPr>
          <w:rFonts w:ascii="Verdana" w:hAnsi="Verdana" w:cs="Calibri"/>
          <w:sz w:val="20"/>
        </w:rPr>
        <w:t>] de 2018</w:t>
      </w:r>
      <w:r>
        <w:rPr>
          <w:rFonts w:ascii="Verdana" w:eastAsia="Arial Unicode MS" w:hAnsi="Verdana" w:cs="Calibri"/>
          <w:sz w:val="20"/>
        </w:rPr>
        <w:t>.</w:t>
      </w:r>
    </w:p>
    <w:p w:rsidR="00522217" w:rsidRDefault="00522217">
      <w:pPr>
        <w:pStyle w:val="p0"/>
        <w:tabs>
          <w:tab w:val="clear" w:pos="720"/>
          <w:tab w:val="left" w:pos="0"/>
        </w:tabs>
        <w:spacing w:line="300" w:lineRule="exact"/>
        <w:jc w:val="center"/>
        <w:rPr>
          <w:rFonts w:ascii="Verdana" w:eastAsia="Arial Unicode MS" w:hAnsi="Verdana" w:cs="Calibri"/>
          <w:sz w:val="20"/>
        </w:rPr>
      </w:pPr>
    </w:p>
    <w:p w:rsidR="00522217" w:rsidRDefault="002272F1">
      <w:pPr>
        <w:pStyle w:val="p0"/>
        <w:spacing w:line="300" w:lineRule="exact"/>
        <w:jc w:val="center"/>
        <w:rPr>
          <w:rFonts w:ascii="Verdana" w:eastAsia="Arial Unicode MS" w:hAnsi="Verdana" w:cs="Calibri"/>
          <w:sz w:val="20"/>
        </w:rPr>
      </w:pPr>
      <w:r>
        <w:rPr>
          <w:rFonts w:ascii="Verdana" w:eastAsia="Arial Unicode MS" w:hAnsi="Verdana" w:cs="Calibri"/>
          <w:sz w:val="20"/>
        </w:rPr>
        <w:t>Restante da página intencionalmente deixado em branco.</w:t>
      </w:r>
    </w:p>
    <w:p w:rsidR="00522217" w:rsidRDefault="00522217">
      <w:pPr>
        <w:pStyle w:val="p0"/>
        <w:spacing w:line="300" w:lineRule="exact"/>
        <w:jc w:val="center"/>
        <w:rPr>
          <w:rFonts w:ascii="Verdana" w:eastAsia="Arial Unicode MS" w:hAnsi="Verdana" w:cs="Calibri"/>
          <w:sz w:val="20"/>
        </w:rPr>
      </w:pPr>
    </w:p>
    <w:p w:rsidR="00522217" w:rsidRDefault="002272F1">
      <w:pPr>
        <w:pStyle w:val="p0"/>
        <w:spacing w:line="300" w:lineRule="exact"/>
        <w:jc w:val="center"/>
        <w:rPr>
          <w:rFonts w:ascii="Verdana" w:eastAsia="Arial Unicode MS" w:hAnsi="Verdana" w:cs="Calibri"/>
          <w:sz w:val="20"/>
        </w:rPr>
      </w:pPr>
      <w:r>
        <w:rPr>
          <w:rFonts w:ascii="Verdana" w:eastAsia="Arial Unicode MS" w:hAnsi="Verdana" w:cs="Calibri"/>
          <w:sz w:val="20"/>
        </w:rPr>
        <w:t>Seguem as páginas de assinatura.</w:t>
      </w:r>
    </w:p>
    <w:p w:rsidR="00522217" w:rsidRDefault="002272F1">
      <w:pPr>
        <w:spacing w:line="300" w:lineRule="exact"/>
        <w:rPr>
          <w:rFonts w:ascii="Verdana" w:eastAsia="Arial Unicode MS" w:hAnsi="Verdana" w:cs="Calibri"/>
          <w:snapToGrid w:val="0"/>
          <w:w w:val="0"/>
          <w:sz w:val="20"/>
          <w:szCs w:val="20"/>
        </w:rPr>
      </w:pPr>
      <w:r>
        <w:rPr>
          <w:rFonts w:ascii="Verdana" w:eastAsia="Arial Unicode MS" w:hAnsi="Verdana" w:cs="Calibri"/>
          <w:sz w:val="20"/>
          <w:szCs w:val="20"/>
        </w:rPr>
        <w:br w:type="page"/>
      </w:r>
    </w:p>
    <w:p w:rsidR="00522217" w:rsidRDefault="00522217">
      <w:pPr>
        <w:pStyle w:val="p0"/>
        <w:spacing w:line="300" w:lineRule="exact"/>
        <w:jc w:val="center"/>
        <w:rPr>
          <w:rFonts w:ascii="Verdana" w:eastAsia="Arial Unicode MS" w:hAnsi="Verdana" w:cs="Calibri"/>
          <w:sz w:val="20"/>
        </w:rPr>
      </w:pPr>
    </w:p>
    <w:p w:rsidR="00522217" w:rsidRDefault="002272F1">
      <w:pPr>
        <w:spacing w:line="300" w:lineRule="exact"/>
        <w:jc w:val="both"/>
        <w:rPr>
          <w:rFonts w:ascii="Verdana" w:eastAsia="Arial Unicode MS" w:hAnsi="Verdana" w:cs="Calibri"/>
          <w:i/>
          <w:w w:val="0"/>
          <w:sz w:val="20"/>
          <w:szCs w:val="20"/>
        </w:rPr>
      </w:pPr>
      <w:r>
        <w:rPr>
          <w:rFonts w:ascii="Verdana" w:eastAsia="Arial Unicode MS" w:hAnsi="Verdana" w:cs="Calibri"/>
          <w:i/>
          <w:w w:val="0"/>
          <w:sz w:val="20"/>
          <w:szCs w:val="20"/>
        </w:rPr>
        <w:t xml:space="preserve">PÁGINA DE DO </w:t>
      </w:r>
      <w:r w:rsidR="00E11BE4" w:rsidRPr="00E11BE4">
        <w:rPr>
          <w:rFonts w:ascii="Verdana" w:eastAsia="Arial Unicode MS" w:hAnsi="Verdana" w:cs="Calibri"/>
          <w:i/>
          <w:w w:val="0"/>
          <w:sz w:val="20"/>
          <w:szCs w:val="20"/>
        </w:rPr>
        <w:t xml:space="preserve">PRIMEIRO ADITAMENTO AO INSTRUMENTO PARTICULAR DE ESCRITURA DA TERCEIRA EMISSÃO DE DEBÊNTURES SIMPLES, NÃO CONVERSÍVEIS EM AÇÕES, COM GARANTIA REAL, A SER CONVOLADA EM ESPÉCIE QUIROGRAFÁRIA, EM SÉRIE ÚNICA, PARA DISTRIBUIÇÃO PÚBLICA, COM ESFORÇOS RESTRITOS DE DISTRIBUIÇÃO, DA </w:t>
      </w:r>
      <w:proofErr w:type="spellStart"/>
      <w:r w:rsidR="00E11BE4" w:rsidRPr="00E11BE4">
        <w:rPr>
          <w:rFonts w:ascii="Verdana" w:eastAsia="Arial Unicode MS" w:hAnsi="Verdana" w:cs="Calibri"/>
          <w:i/>
          <w:w w:val="0"/>
          <w:sz w:val="20"/>
          <w:szCs w:val="20"/>
        </w:rPr>
        <w:t>STATKRAFT</w:t>
      </w:r>
      <w:proofErr w:type="spellEnd"/>
      <w:r w:rsidR="00E11BE4" w:rsidRPr="00E11BE4">
        <w:rPr>
          <w:rFonts w:ascii="Verdana" w:eastAsia="Arial Unicode MS" w:hAnsi="Verdana" w:cs="Calibri"/>
          <w:i/>
          <w:w w:val="0"/>
          <w:sz w:val="20"/>
          <w:szCs w:val="20"/>
        </w:rPr>
        <w:t xml:space="preserve"> ENERGIAS RENOVÁVEIS S.A.</w:t>
      </w:r>
      <w:r>
        <w:rPr>
          <w:rFonts w:ascii="Verdana" w:eastAsia="Arial Unicode MS" w:hAnsi="Verdana" w:cs="Calibri"/>
          <w:i/>
          <w:w w:val="0"/>
          <w:sz w:val="20"/>
          <w:szCs w:val="20"/>
        </w:rPr>
        <w:t>)</w:t>
      </w:r>
    </w:p>
    <w:p w:rsidR="00522217" w:rsidRDefault="00522217">
      <w:pPr>
        <w:spacing w:line="300" w:lineRule="exact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E11BE4" w:rsidRDefault="00E11BE4">
      <w:pPr>
        <w:spacing w:line="300" w:lineRule="exact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E11BE4" w:rsidRDefault="00E11BE4">
      <w:pPr>
        <w:spacing w:line="300" w:lineRule="exact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E11BE4">
      <w:pPr>
        <w:suppressAutoHyphens/>
        <w:spacing w:line="300" w:lineRule="exact"/>
        <w:jc w:val="center"/>
        <w:rPr>
          <w:rFonts w:ascii="Verdana" w:hAnsi="Verdana" w:cs="Calibri"/>
          <w:b/>
          <w:caps/>
          <w:sz w:val="20"/>
          <w:szCs w:val="20"/>
        </w:rPr>
      </w:pPr>
      <w:proofErr w:type="spellStart"/>
      <w:r w:rsidRPr="00E11BE4">
        <w:rPr>
          <w:rFonts w:ascii="Verdana" w:hAnsi="Verdana" w:cs="Calibri"/>
          <w:b/>
          <w:caps/>
          <w:sz w:val="20"/>
          <w:szCs w:val="20"/>
        </w:rPr>
        <w:t>STATKRAFT</w:t>
      </w:r>
      <w:proofErr w:type="spellEnd"/>
      <w:r w:rsidRPr="00E11BE4">
        <w:rPr>
          <w:rFonts w:ascii="Verdana" w:hAnsi="Verdana" w:cs="Calibri"/>
          <w:b/>
          <w:caps/>
          <w:sz w:val="20"/>
          <w:szCs w:val="20"/>
        </w:rPr>
        <w:t xml:space="preserve"> ENERGIAS RENOVÁVEIS S.A.</w:t>
      </w:r>
    </w:p>
    <w:p w:rsidR="00522217" w:rsidRDefault="00522217">
      <w:pPr>
        <w:suppressAutoHyphens/>
        <w:spacing w:line="300" w:lineRule="exact"/>
        <w:jc w:val="center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522217" w:rsidRDefault="00522217">
      <w:pPr>
        <w:suppressAutoHyphens/>
        <w:spacing w:line="300" w:lineRule="exact"/>
        <w:jc w:val="both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E11BE4" w:rsidRDefault="00E11BE4">
      <w:pPr>
        <w:suppressAutoHyphens/>
        <w:spacing w:line="300" w:lineRule="exact"/>
        <w:jc w:val="both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E11BE4" w:rsidRDefault="00E11BE4">
      <w:pPr>
        <w:suppressAutoHyphens/>
        <w:spacing w:line="300" w:lineRule="exact"/>
        <w:jc w:val="both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522217" w:rsidRDefault="00522217">
      <w:pPr>
        <w:spacing w:line="300" w:lineRule="exact"/>
        <w:jc w:val="both"/>
        <w:rPr>
          <w:rFonts w:ascii="Verdana" w:hAnsi="Verdana" w:cs="Calibri"/>
          <w:smallCaps/>
          <w:sz w:val="20"/>
          <w:szCs w:val="20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522217">
        <w:trPr>
          <w:cantSplit/>
        </w:trPr>
        <w:tc>
          <w:tcPr>
            <w:tcW w:w="3491" w:type="dxa"/>
            <w:tcBorders>
              <w:top w:val="single" w:sz="6" w:space="0" w:color="auto"/>
            </w:tcBorders>
          </w:tcPr>
          <w:p w:rsidR="00522217" w:rsidRDefault="002272F1">
            <w:pPr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Nome: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:rsidR="00522217" w:rsidRDefault="00522217">
            <w:pPr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:rsidR="00522217" w:rsidRDefault="002272F1">
            <w:pPr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Nome: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>Cargo:</w:t>
            </w:r>
          </w:p>
        </w:tc>
      </w:tr>
    </w:tbl>
    <w:p w:rsidR="00E11BE4" w:rsidRDefault="00E11BE4" w:rsidP="00E11BE4">
      <w:pPr>
        <w:tabs>
          <w:tab w:val="left" w:pos="7020"/>
        </w:tabs>
        <w:spacing w:line="300" w:lineRule="exact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E11BE4" w:rsidRDefault="00E11BE4" w:rsidP="00E11BE4">
      <w:pPr>
        <w:tabs>
          <w:tab w:val="left" w:pos="7020"/>
        </w:tabs>
        <w:spacing w:line="300" w:lineRule="exact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E11BE4" w:rsidRDefault="00E11BE4" w:rsidP="00E11BE4">
      <w:pPr>
        <w:tabs>
          <w:tab w:val="left" w:pos="7020"/>
        </w:tabs>
        <w:spacing w:line="300" w:lineRule="exact"/>
        <w:jc w:val="both"/>
        <w:rPr>
          <w:rFonts w:ascii="Verdana" w:eastAsia="Arial Unicode MS" w:hAnsi="Verdana" w:cs="Calibri"/>
          <w:w w:val="0"/>
          <w:sz w:val="20"/>
          <w:szCs w:val="20"/>
        </w:rPr>
      </w:pPr>
    </w:p>
    <w:p w:rsidR="00522217" w:rsidRDefault="002272F1" w:rsidP="00E11BE4">
      <w:pPr>
        <w:tabs>
          <w:tab w:val="left" w:pos="7020"/>
        </w:tabs>
        <w:spacing w:line="300" w:lineRule="exact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SIMPLIFIC PAVARINI DISTRIBUIDORA DE TÍTULOS E VALORES MOBILIÁRIOS LTDA.</w:t>
      </w:r>
    </w:p>
    <w:p w:rsidR="00522217" w:rsidRDefault="00522217">
      <w:pPr>
        <w:suppressAutoHyphens/>
        <w:spacing w:line="300" w:lineRule="exact"/>
        <w:jc w:val="both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E11BE4" w:rsidRDefault="00E11BE4">
      <w:pPr>
        <w:suppressAutoHyphens/>
        <w:spacing w:line="300" w:lineRule="exact"/>
        <w:jc w:val="both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E11BE4" w:rsidRDefault="00E11BE4">
      <w:pPr>
        <w:suppressAutoHyphens/>
        <w:spacing w:line="300" w:lineRule="exact"/>
        <w:jc w:val="both"/>
        <w:rPr>
          <w:rFonts w:ascii="Verdana" w:eastAsia="Arial Unicode MS" w:hAnsi="Verdana" w:cs="Calibri"/>
          <w:b/>
          <w:w w:val="0"/>
          <w:sz w:val="20"/>
          <w:szCs w:val="20"/>
        </w:rPr>
      </w:pPr>
    </w:p>
    <w:p w:rsidR="00522217" w:rsidRDefault="00522217">
      <w:pPr>
        <w:spacing w:line="300" w:lineRule="exact"/>
        <w:jc w:val="both"/>
        <w:rPr>
          <w:rFonts w:ascii="Verdana" w:hAnsi="Verdana" w:cs="Calibri"/>
          <w:smallCaps/>
          <w:sz w:val="20"/>
          <w:szCs w:val="20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</w:tblGrid>
      <w:tr w:rsidR="00E11BE4" w:rsidTr="00E11BE4">
        <w:trPr>
          <w:cantSplit/>
        </w:trPr>
        <w:tc>
          <w:tcPr>
            <w:tcW w:w="3491" w:type="dxa"/>
          </w:tcPr>
          <w:p w:rsidR="00E11BE4" w:rsidRDefault="00E11BE4">
            <w:pPr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</w:t>
            </w:r>
          </w:p>
          <w:p w:rsidR="00E11BE4" w:rsidRDefault="00E11BE4">
            <w:pPr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Nome: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:rsidR="00E11BE4" w:rsidRDefault="00E11BE4">
            <w:pPr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522217" w:rsidRDefault="0052221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Verdana" w:hAnsi="Verdana" w:cs="Calibri"/>
          <w:sz w:val="20"/>
          <w:szCs w:val="20"/>
        </w:rPr>
      </w:pPr>
    </w:p>
    <w:p w:rsidR="00522217" w:rsidRDefault="0052221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Verdana" w:hAnsi="Verdana" w:cs="Calibri"/>
          <w:sz w:val="20"/>
          <w:szCs w:val="20"/>
        </w:rPr>
      </w:pPr>
    </w:p>
    <w:p w:rsidR="00522217" w:rsidRDefault="002272F1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TESTEMUNHAS:</w:t>
      </w:r>
    </w:p>
    <w:p w:rsidR="00522217" w:rsidRDefault="0052221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Verdana" w:hAnsi="Verdana" w:cs="Calibri"/>
          <w:sz w:val="20"/>
          <w:szCs w:val="20"/>
        </w:rPr>
      </w:pPr>
    </w:p>
    <w:p w:rsidR="00E11BE4" w:rsidRDefault="00E11BE4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Verdana" w:hAnsi="Verdana" w:cs="Calibri"/>
          <w:sz w:val="20"/>
          <w:szCs w:val="20"/>
        </w:rPr>
      </w:pPr>
    </w:p>
    <w:p w:rsidR="00E11BE4" w:rsidRDefault="00E11BE4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Verdana" w:hAnsi="Verdana" w:cs="Calibri"/>
          <w:sz w:val="20"/>
          <w:szCs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94"/>
      </w:tblGrid>
      <w:tr w:rsidR="00522217">
        <w:tc>
          <w:tcPr>
            <w:tcW w:w="4323" w:type="dxa"/>
          </w:tcPr>
          <w:p w:rsidR="00522217" w:rsidRDefault="002272F1">
            <w:pPr>
              <w:suppressAutoHyphens/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1.______________________________</w:t>
            </w:r>
          </w:p>
        </w:tc>
        <w:tc>
          <w:tcPr>
            <w:tcW w:w="4394" w:type="dxa"/>
          </w:tcPr>
          <w:p w:rsidR="00522217" w:rsidRDefault="002272F1">
            <w:pPr>
              <w:suppressAutoHyphens/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2.______________________________</w:t>
            </w:r>
          </w:p>
        </w:tc>
      </w:tr>
      <w:tr w:rsidR="00522217">
        <w:tc>
          <w:tcPr>
            <w:tcW w:w="4323" w:type="dxa"/>
          </w:tcPr>
          <w:p w:rsidR="00522217" w:rsidRDefault="002272F1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</w:tabs>
              <w:suppressAutoHyphens/>
              <w:spacing w:after="0" w:line="300" w:lineRule="exac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Nome:</w:t>
            </w:r>
          </w:p>
        </w:tc>
        <w:tc>
          <w:tcPr>
            <w:tcW w:w="4394" w:type="dxa"/>
          </w:tcPr>
          <w:p w:rsidR="00522217" w:rsidRDefault="002272F1">
            <w:pPr>
              <w:suppressAutoHyphens/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Nome:</w:t>
            </w:r>
          </w:p>
        </w:tc>
      </w:tr>
      <w:tr w:rsidR="00522217">
        <w:tc>
          <w:tcPr>
            <w:tcW w:w="4323" w:type="dxa"/>
          </w:tcPr>
          <w:p w:rsidR="00522217" w:rsidRDefault="002272F1">
            <w:pPr>
              <w:suppressAutoHyphens/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RG:</w:t>
            </w:r>
          </w:p>
        </w:tc>
        <w:tc>
          <w:tcPr>
            <w:tcW w:w="4394" w:type="dxa"/>
          </w:tcPr>
          <w:p w:rsidR="00522217" w:rsidRDefault="002272F1">
            <w:pPr>
              <w:suppressAutoHyphens/>
              <w:spacing w:line="300" w:lineRule="exact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RG:</w:t>
            </w:r>
          </w:p>
        </w:tc>
      </w:tr>
    </w:tbl>
    <w:p w:rsidR="00522217" w:rsidRDefault="00522217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E11BE4" w:rsidRDefault="00E11BE4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E11BE4" w:rsidRDefault="00E11BE4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E11BE4" w:rsidRDefault="00E11BE4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E11BE4" w:rsidRDefault="00E11BE4">
      <w:pPr>
        <w:spacing w:line="300" w:lineRule="exact"/>
        <w:jc w:val="both"/>
        <w:rPr>
          <w:rFonts w:ascii="Verdana" w:hAnsi="Verdana" w:cs="Calibri"/>
          <w:sz w:val="20"/>
          <w:szCs w:val="20"/>
        </w:rPr>
      </w:pPr>
    </w:p>
    <w:p w:rsidR="00E11BE4" w:rsidRDefault="00E11BE4" w:rsidP="00E11BE4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ANEXO I</w:t>
      </w:r>
    </w:p>
    <w:p w:rsidR="00E11BE4" w:rsidRDefault="00E11BE4" w:rsidP="00E11BE4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p w:rsidR="00522217" w:rsidRDefault="00E11BE4" w:rsidP="00E11BE4">
      <w:pPr>
        <w:spacing w:line="300" w:lineRule="exact"/>
        <w:jc w:val="center"/>
        <w:rPr>
          <w:rFonts w:ascii="Verdana" w:hAnsi="Verdana"/>
          <w:b/>
          <w:sz w:val="20"/>
          <w:szCs w:val="20"/>
        </w:rPr>
        <w:sectPr w:rsidR="00522217">
          <w:pgSz w:w="12242" w:h="15842" w:code="1"/>
          <w:pgMar w:top="1417" w:right="1701" w:bottom="1417" w:left="1701" w:header="720" w:footer="720" w:gutter="0"/>
          <w:cols w:space="708"/>
          <w:titlePg/>
          <w:docGrid w:linePitch="360"/>
        </w:sectPr>
      </w:pPr>
      <w:proofErr w:type="spellStart"/>
      <w:r w:rsidRPr="00E11BE4">
        <w:rPr>
          <w:rFonts w:ascii="Verdana" w:hAnsi="Verdana"/>
          <w:b/>
          <w:sz w:val="20"/>
          <w:szCs w:val="20"/>
          <w:highlight w:val="yellow"/>
        </w:rPr>
        <w:t>ESCRITUA</w:t>
      </w:r>
      <w:proofErr w:type="spellEnd"/>
      <w:r w:rsidRPr="00E11BE4">
        <w:rPr>
          <w:rFonts w:ascii="Verdana" w:hAnsi="Verdana"/>
          <w:b/>
          <w:sz w:val="20"/>
          <w:szCs w:val="20"/>
          <w:highlight w:val="yellow"/>
        </w:rPr>
        <w:t xml:space="preserve"> DE EMISSÃO CONSOLIDADA</w:t>
      </w:r>
    </w:p>
    <w:p w:rsidR="00522217" w:rsidRDefault="00522217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p w:rsidR="00522217" w:rsidRDefault="00522217">
      <w:pPr>
        <w:spacing w:line="300" w:lineRule="exact"/>
        <w:jc w:val="center"/>
        <w:rPr>
          <w:rFonts w:ascii="Verdana" w:hAnsi="Verdana"/>
          <w:b/>
          <w:sz w:val="20"/>
          <w:szCs w:val="20"/>
        </w:rPr>
      </w:pPr>
    </w:p>
    <w:sectPr w:rsidR="00522217">
      <w:headerReference w:type="default" r:id="rId8"/>
      <w:footerReference w:type="default" r:id="rId9"/>
      <w:pgSz w:w="11907" w:h="16840" w:code="9"/>
      <w:pgMar w:top="2381" w:right="1304" w:bottom="1701" w:left="239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F1" w:rsidRDefault="002272F1">
      <w:r>
        <w:separator/>
      </w:r>
    </w:p>
  </w:endnote>
  <w:endnote w:type="continuationSeparator" w:id="0">
    <w:p w:rsidR="002272F1" w:rsidRDefault="0022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F1" w:rsidRDefault="002272F1">
    <w:pPr>
      <w:pStyle w:val="Rodap"/>
    </w:pPr>
    <w:fldSimple w:instr=" DOCPROPERTY iManageFooter \* MERGEFORMAT ">
      <w:r>
        <w:t>31145906v1 - 10842002.432488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F1" w:rsidRDefault="002272F1">
      <w:r>
        <w:separator/>
      </w:r>
    </w:p>
  </w:footnote>
  <w:footnote w:type="continuationSeparator" w:id="0">
    <w:p w:rsidR="002272F1" w:rsidRDefault="0022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F1" w:rsidRDefault="002272F1">
    <w:pPr>
      <w:pStyle w:val="Cabealho"/>
      <w:spacing w:line="40" w:lineRule="exact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0E56436E"/>
    <w:lvl w:ilvl="0" w:tplc="2EF267C2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2847" w:hanging="720"/>
        <w:jc w:val="both"/>
      </w:pPr>
      <w:rPr>
        <w:rFonts w:ascii="Verdana" w:hAnsi="Verdana" w:cs="Times New Roman"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7729CF"/>
    <w:multiLevelType w:val="hybridMultilevel"/>
    <w:tmpl w:val="6BA04010"/>
    <w:lvl w:ilvl="0" w:tplc="010EB25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506227C8">
      <w:start w:val="1"/>
      <w:numFmt w:val="lowerLetter"/>
      <w:lvlText w:val="(%2)"/>
      <w:lvlJc w:val="left"/>
      <w:pPr>
        <w:ind w:left="4047" w:hanging="360"/>
      </w:pPr>
      <w:rPr>
        <w:rFonts w:hint="default"/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1516"/>
    <w:multiLevelType w:val="multilevel"/>
    <w:tmpl w:val="B7C8FC9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709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0EFE6519"/>
    <w:multiLevelType w:val="multilevel"/>
    <w:tmpl w:val="AE5ECA6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762D08"/>
    <w:multiLevelType w:val="hybridMultilevel"/>
    <w:tmpl w:val="8BAA92DE"/>
    <w:lvl w:ilvl="0" w:tplc="506227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53E6E"/>
    <w:multiLevelType w:val="hybridMultilevel"/>
    <w:tmpl w:val="EFB2304E"/>
    <w:lvl w:ilvl="0" w:tplc="14288B6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9" w15:restartNumberingAfterBreak="0">
    <w:nsid w:val="162B32DE"/>
    <w:multiLevelType w:val="multilevel"/>
    <w:tmpl w:val="F6828E6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0" w15:restartNumberingAfterBreak="0">
    <w:nsid w:val="16B37F41"/>
    <w:multiLevelType w:val="hybridMultilevel"/>
    <w:tmpl w:val="459869B2"/>
    <w:lvl w:ilvl="0" w:tplc="740688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pacing w:val="0"/>
        <w:sz w:val="20"/>
        <w:szCs w:val="20"/>
      </w:rPr>
    </w:lvl>
    <w:lvl w:ilvl="1" w:tplc="4F9A5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CE1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D60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AC5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AA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7E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D8F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1A0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2D62B2"/>
    <w:multiLevelType w:val="multilevel"/>
    <w:tmpl w:val="07F8106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color w:val="auto"/>
        <w:w w:val="100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  <w:color w:val="auto"/>
        <w:w w:val="100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auto"/>
        <w:w w:val="100"/>
      </w:rPr>
    </w:lvl>
  </w:abstractNum>
  <w:abstractNum w:abstractNumId="12" w15:restartNumberingAfterBreak="0">
    <w:nsid w:val="1A666D22"/>
    <w:multiLevelType w:val="hybridMultilevel"/>
    <w:tmpl w:val="F9723D3E"/>
    <w:lvl w:ilvl="0" w:tplc="5FCEC9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34035"/>
    <w:multiLevelType w:val="hybridMultilevel"/>
    <w:tmpl w:val="F9723D3E"/>
    <w:lvl w:ilvl="0" w:tplc="5FCEC9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04521"/>
    <w:multiLevelType w:val="multilevel"/>
    <w:tmpl w:val="DF2E7698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15" w15:restartNumberingAfterBreak="0">
    <w:nsid w:val="20B44397"/>
    <w:multiLevelType w:val="multilevel"/>
    <w:tmpl w:val="94C60C3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16" w15:restartNumberingAfterBreak="0">
    <w:nsid w:val="21003993"/>
    <w:multiLevelType w:val="multilevel"/>
    <w:tmpl w:val="47BC4820"/>
    <w:lvl w:ilvl="0">
      <w:start w:val="6"/>
      <w:numFmt w:val="decimal"/>
      <w:lvlText w:val="%1."/>
      <w:lvlJc w:val="left"/>
      <w:pPr>
        <w:ind w:left="390" w:hanging="390"/>
      </w:pPr>
      <w:rPr>
        <w:rFonts w:eastAsia="Arial Unicode MS" w:hint="default"/>
        <w:w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Arial Unicode MS" w:hint="default"/>
        <w:b/>
        <w:w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w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w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="Arial Unicode MS" w:hint="default"/>
        <w:w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w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w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eastAsia="Arial Unicode MS" w:hint="default"/>
        <w:w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w w:val="0"/>
      </w:rPr>
    </w:lvl>
  </w:abstractNum>
  <w:abstractNum w:abstractNumId="17" w15:restartNumberingAfterBreak="0">
    <w:nsid w:val="22194E74"/>
    <w:multiLevelType w:val="hybridMultilevel"/>
    <w:tmpl w:val="6C00C138"/>
    <w:lvl w:ilvl="0" w:tplc="9E78E8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E7E9D"/>
    <w:multiLevelType w:val="hybridMultilevel"/>
    <w:tmpl w:val="64AEF866"/>
    <w:lvl w:ilvl="0" w:tplc="268C12BE">
      <w:start w:val="1"/>
      <w:numFmt w:val="lowerLetter"/>
      <w:lvlText w:val="(%1)"/>
      <w:lvlJc w:val="left"/>
      <w:pPr>
        <w:ind w:left="1920" w:hanging="360"/>
      </w:pPr>
      <w:rPr>
        <w:rFonts w:cs="Times New Roman" w:hint="default"/>
        <w:b w:val="0"/>
        <w:spacing w:val="0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269259B5"/>
    <w:multiLevelType w:val="hybridMultilevel"/>
    <w:tmpl w:val="91F254DA"/>
    <w:lvl w:ilvl="0" w:tplc="A0CEB06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A3584"/>
    <w:multiLevelType w:val="hybridMultilevel"/>
    <w:tmpl w:val="7E38A872"/>
    <w:lvl w:ilvl="0" w:tplc="C4EAB7A2">
      <w:start w:val="1"/>
      <w:numFmt w:val="lowerLetter"/>
      <w:lvlText w:val="(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61284"/>
    <w:multiLevelType w:val="multilevel"/>
    <w:tmpl w:val="E7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F4D594C"/>
    <w:multiLevelType w:val="hybridMultilevel"/>
    <w:tmpl w:val="6A7EFE92"/>
    <w:lvl w:ilvl="0" w:tplc="376EC3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7805B16">
      <w:start w:val="1"/>
      <w:numFmt w:val="lowerRoman"/>
      <w:lvlText w:val="(%2)"/>
      <w:lvlJc w:val="left"/>
      <w:pPr>
        <w:ind w:left="1800" w:hanging="720"/>
      </w:pPr>
      <w:rPr>
        <w:rFonts w:eastAsia="Times New Roman" w:hint="default"/>
        <w:w w:val="1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74036"/>
    <w:multiLevelType w:val="multilevel"/>
    <w:tmpl w:val="4F98F1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6516FEA"/>
    <w:multiLevelType w:val="hybridMultilevel"/>
    <w:tmpl w:val="46A21F08"/>
    <w:lvl w:ilvl="0" w:tplc="A7805B16">
      <w:start w:val="1"/>
      <w:numFmt w:val="lowerRoman"/>
      <w:lvlText w:val="(%1)"/>
      <w:lvlJc w:val="left"/>
      <w:pPr>
        <w:ind w:left="720" w:hanging="360"/>
      </w:pPr>
      <w:rPr>
        <w:rFonts w:eastAsia="Times New Roman" w:hint="default"/>
        <w:w w:val="1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A2043"/>
    <w:multiLevelType w:val="hybridMultilevel"/>
    <w:tmpl w:val="9AE866DE"/>
    <w:lvl w:ilvl="0" w:tplc="E67A5D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A5851"/>
    <w:multiLevelType w:val="multilevel"/>
    <w:tmpl w:val="B7C6C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67096B"/>
    <w:multiLevelType w:val="multilevel"/>
    <w:tmpl w:val="9C90C31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28" w15:restartNumberingAfterBreak="0">
    <w:nsid w:val="4FDD16C4"/>
    <w:multiLevelType w:val="hybridMultilevel"/>
    <w:tmpl w:val="BF329560"/>
    <w:lvl w:ilvl="0" w:tplc="96BC3C4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pacing w:val="0"/>
        <w:sz w:val="20"/>
        <w:szCs w:val="20"/>
      </w:rPr>
    </w:lvl>
    <w:lvl w:ilvl="1" w:tplc="4F9A5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CE1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D60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AC5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AA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7E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D8F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1A0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E7545B"/>
    <w:multiLevelType w:val="hybridMultilevel"/>
    <w:tmpl w:val="75F0E338"/>
    <w:lvl w:ilvl="0" w:tplc="93CEE09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71C1F"/>
    <w:multiLevelType w:val="hybridMultilevel"/>
    <w:tmpl w:val="399225B8"/>
    <w:lvl w:ilvl="0" w:tplc="BCFA3EB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4916D7"/>
    <w:multiLevelType w:val="hybridMultilevel"/>
    <w:tmpl w:val="6A7EFE92"/>
    <w:lvl w:ilvl="0" w:tplc="376EC3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7805B16">
      <w:start w:val="1"/>
      <w:numFmt w:val="lowerRoman"/>
      <w:lvlText w:val="(%2)"/>
      <w:lvlJc w:val="left"/>
      <w:pPr>
        <w:ind w:left="1800" w:hanging="720"/>
      </w:pPr>
      <w:rPr>
        <w:rFonts w:eastAsia="Times New Roman" w:hint="default"/>
        <w:w w:val="1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D541C"/>
    <w:multiLevelType w:val="hybridMultilevel"/>
    <w:tmpl w:val="EFB2304E"/>
    <w:lvl w:ilvl="0" w:tplc="14288B6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638EA"/>
    <w:multiLevelType w:val="hybridMultilevel"/>
    <w:tmpl w:val="75F0E338"/>
    <w:lvl w:ilvl="0" w:tplc="93CEE09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90D2F"/>
    <w:multiLevelType w:val="hybridMultilevel"/>
    <w:tmpl w:val="677A467E"/>
    <w:lvl w:ilvl="0" w:tplc="F2D21A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pacing w:val="0"/>
        <w:sz w:val="20"/>
        <w:szCs w:val="20"/>
      </w:rPr>
    </w:lvl>
    <w:lvl w:ilvl="1" w:tplc="D3D4E650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pacing w:val="0"/>
      </w:rPr>
    </w:lvl>
    <w:lvl w:ilvl="2" w:tplc="0416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1D1232"/>
    <w:multiLevelType w:val="multilevel"/>
    <w:tmpl w:val="33D2661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20"/>
        </w:tabs>
        <w:ind w:left="1220" w:hanging="68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6" w15:restartNumberingAfterBreak="0">
    <w:nsid w:val="6E155EC0"/>
    <w:multiLevelType w:val="hybridMultilevel"/>
    <w:tmpl w:val="78FE131C"/>
    <w:lvl w:ilvl="0" w:tplc="D3D4E6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06227C8">
      <w:start w:val="1"/>
      <w:numFmt w:val="lowerLetter"/>
      <w:lvlText w:val="(%2)"/>
      <w:lvlJc w:val="left"/>
      <w:pPr>
        <w:ind w:left="4047" w:hanging="360"/>
      </w:pPr>
      <w:rPr>
        <w:rFonts w:hint="default"/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C568E"/>
    <w:multiLevelType w:val="hybridMultilevel"/>
    <w:tmpl w:val="C04223D6"/>
    <w:lvl w:ilvl="0" w:tplc="144CFDE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B4DD5"/>
    <w:multiLevelType w:val="hybridMultilevel"/>
    <w:tmpl w:val="6344C7C4"/>
    <w:lvl w:ilvl="0" w:tplc="41C0BFD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761A6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C2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6F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29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9EB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A7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1EB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A058E"/>
    <w:multiLevelType w:val="hybridMultilevel"/>
    <w:tmpl w:val="6C00C138"/>
    <w:lvl w:ilvl="0" w:tplc="9E78E8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44C98"/>
    <w:multiLevelType w:val="hybridMultilevel"/>
    <w:tmpl w:val="FF6435E0"/>
    <w:lvl w:ilvl="0" w:tplc="96BC3C4A">
      <w:start w:val="1"/>
      <w:numFmt w:val="lowerLetter"/>
      <w:lvlText w:val="(%1)"/>
      <w:lvlJc w:val="left"/>
      <w:pPr>
        <w:ind w:left="1920" w:hanging="360"/>
      </w:pPr>
      <w:rPr>
        <w:rFonts w:cs="Times New Roman" w:hint="default"/>
        <w:b/>
        <w:spacing w:val="0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73863DAB"/>
    <w:multiLevelType w:val="hybridMultilevel"/>
    <w:tmpl w:val="96D25A8A"/>
    <w:lvl w:ilvl="0" w:tplc="F2D21A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pacing w:val="0"/>
        <w:sz w:val="20"/>
        <w:szCs w:val="20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C4021"/>
    <w:multiLevelType w:val="multilevel"/>
    <w:tmpl w:val="B7C6C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D3041D"/>
    <w:multiLevelType w:val="hybridMultilevel"/>
    <w:tmpl w:val="7F44FAB0"/>
    <w:lvl w:ilvl="0" w:tplc="D406A36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B4BF9"/>
    <w:multiLevelType w:val="hybridMultilevel"/>
    <w:tmpl w:val="399225B8"/>
    <w:lvl w:ilvl="0" w:tplc="BCFA3EB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A55597"/>
    <w:multiLevelType w:val="hybridMultilevel"/>
    <w:tmpl w:val="2634EE5E"/>
    <w:lvl w:ilvl="0" w:tplc="FEFA599C">
      <w:start w:val="1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ahoma" w:hint="default"/>
        <w:b w:val="0"/>
      </w:rPr>
    </w:lvl>
    <w:lvl w:ilvl="1" w:tplc="144CFDEC">
      <w:start w:val="1"/>
      <w:numFmt w:val="decimal"/>
      <w:lvlText w:val="%2."/>
      <w:lvlJc w:val="left"/>
      <w:pPr>
        <w:ind w:left="120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6" w15:restartNumberingAfterBreak="0">
    <w:nsid w:val="7EDA4B5C"/>
    <w:multiLevelType w:val="multilevel"/>
    <w:tmpl w:val="8FBECF6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color w:val="auto"/>
        <w:w w:val="100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auto"/>
        <w:w w:val="100"/>
      </w:rPr>
    </w:lvl>
  </w:abstractNum>
  <w:num w:numId="1">
    <w:abstractNumId w:val="0"/>
  </w:num>
  <w:num w:numId="2">
    <w:abstractNumId w:val="2"/>
  </w:num>
  <w:num w:numId="3">
    <w:abstractNumId w:val="42"/>
  </w:num>
  <w:num w:numId="4">
    <w:abstractNumId w:val="3"/>
  </w:num>
  <w:num w:numId="5">
    <w:abstractNumId w:val="40"/>
  </w:num>
  <w:num w:numId="6">
    <w:abstractNumId w:val="22"/>
  </w:num>
  <w:num w:numId="7">
    <w:abstractNumId w:val="5"/>
  </w:num>
  <w:num w:numId="8">
    <w:abstractNumId w:val="44"/>
  </w:num>
  <w:num w:numId="9">
    <w:abstractNumId w:val="35"/>
  </w:num>
  <w:num w:numId="10">
    <w:abstractNumId w:val="8"/>
  </w:num>
  <w:num w:numId="11">
    <w:abstractNumId w:val="38"/>
  </w:num>
  <w:num w:numId="12">
    <w:abstractNumId w:val="25"/>
  </w:num>
  <w:num w:numId="13">
    <w:abstractNumId w:val="1"/>
  </w:num>
  <w:num w:numId="14">
    <w:abstractNumId w:val="13"/>
  </w:num>
  <w:num w:numId="15">
    <w:abstractNumId w:val="29"/>
  </w:num>
  <w:num w:numId="16">
    <w:abstractNumId w:val="11"/>
  </w:num>
  <w:num w:numId="17">
    <w:abstractNumId w:val="16"/>
  </w:num>
  <w:num w:numId="18">
    <w:abstractNumId w:val="20"/>
  </w:num>
  <w:num w:numId="19">
    <w:abstractNumId w:val="39"/>
  </w:num>
  <w:num w:numId="20">
    <w:abstractNumId w:val="46"/>
  </w:num>
  <w:num w:numId="21">
    <w:abstractNumId w:val="43"/>
  </w:num>
  <w:num w:numId="22">
    <w:abstractNumId w:val="41"/>
  </w:num>
  <w:num w:numId="23">
    <w:abstractNumId w:val="28"/>
  </w:num>
  <w:num w:numId="24">
    <w:abstractNumId w:val="21"/>
  </w:num>
  <w:num w:numId="25">
    <w:abstractNumId w:val="23"/>
  </w:num>
  <w:num w:numId="26">
    <w:abstractNumId w:val="17"/>
  </w:num>
  <w:num w:numId="27">
    <w:abstractNumId w:val="30"/>
  </w:num>
  <w:num w:numId="28">
    <w:abstractNumId w:val="6"/>
  </w:num>
  <w:num w:numId="29">
    <w:abstractNumId w:val="7"/>
  </w:num>
  <w:num w:numId="30">
    <w:abstractNumId w:val="4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45"/>
  </w:num>
  <w:num w:numId="34">
    <w:abstractNumId w:val="15"/>
  </w:num>
  <w:num w:numId="35">
    <w:abstractNumId w:val="37"/>
  </w:num>
  <w:num w:numId="36">
    <w:abstractNumId w:val="14"/>
  </w:num>
  <w:num w:numId="37">
    <w:abstractNumId w:val="27"/>
  </w:num>
  <w:num w:numId="38">
    <w:abstractNumId w:val="26"/>
  </w:num>
  <w:num w:numId="39">
    <w:abstractNumId w:val="32"/>
  </w:num>
  <w:num w:numId="40">
    <w:abstractNumId w:val="19"/>
  </w:num>
  <w:num w:numId="41">
    <w:abstractNumId w:val="24"/>
  </w:num>
  <w:num w:numId="42">
    <w:abstractNumId w:val="36"/>
  </w:num>
  <w:num w:numId="43">
    <w:abstractNumId w:val="18"/>
  </w:num>
  <w:num w:numId="44">
    <w:abstractNumId w:val="10"/>
  </w:num>
  <w:num w:numId="45">
    <w:abstractNumId w:val="34"/>
  </w:num>
  <w:num w:numId="46">
    <w:abstractNumId w:val="31"/>
  </w:num>
  <w:num w:numId="47">
    <w:abstractNumId w:val="3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17"/>
    <w:rsid w:val="002272F1"/>
    <w:rsid w:val="00522217"/>
    <w:rsid w:val="006517A2"/>
    <w:rsid w:val="00936B13"/>
    <w:rsid w:val="00E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A659FC"/>
  <w15:chartTrackingRefBased/>
  <w15:docId w15:val="{8A0CCD34-12B2-4A1E-BB9F-43BFBDE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jc w:val="right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spacing w:line="1440" w:lineRule="auto"/>
    </w:pPr>
    <w:rPr>
      <w:sz w:val="14"/>
      <w:lang w:val="en-US"/>
    </w:rPr>
  </w:style>
  <w:style w:type="paragraph" w:styleId="Textodenotaderodap">
    <w:name w:val="footnote text"/>
    <w:basedOn w:val="Normal"/>
    <w:link w:val="TextodenotaderodapChar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character" w:customStyle="1" w:styleId="Ttulo4Char">
    <w:name w:val="Título 4 Char"/>
    <w:basedOn w:val="Fontepargpadro"/>
    <w:link w:val="Ttulo4"/>
    <w:rPr>
      <w:rFonts w:eastAsia="Arial Unicode MS"/>
      <w:b/>
      <w:bCs/>
      <w:sz w:val="22"/>
      <w:szCs w:val="22"/>
      <w:shd w:val="clear" w:color="auto" w:fill="FFFFFF"/>
      <w:lang w:eastAsia="pt-BR"/>
    </w:rPr>
  </w:style>
  <w:style w:type="character" w:customStyle="1" w:styleId="Ttulo5Char">
    <w:name w:val="Título 5 Char"/>
    <w:basedOn w:val="Fontepargpadro"/>
    <w:link w:val="Ttulo5"/>
    <w:rPr>
      <w:rFonts w:eastAsia="Times New Roman"/>
      <w:b/>
      <w:bCs/>
      <w:sz w:val="22"/>
      <w:szCs w:val="22"/>
      <w:lang w:eastAsia="pt-BR"/>
    </w:rPr>
  </w:style>
  <w:style w:type="character" w:customStyle="1" w:styleId="Ttulo9Char">
    <w:name w:val="Título 9 Char"/>
    <w:basedOn w:val="Fontepargpadro"/>
    <w:link w:val="Ttulo9"/>
    <w:rPr>
      <w:rFonts w:ascii="Cambria" w:eastAsia="Times New Roman" w:hAnsi="Cambria"/>
      <w:sz w:val="22"/>
      <w:szCs w:val="22"/>
      <w:lang w:eastAsia="pt-BR"/>
    </w:rPr>
  </w:style>
  <w:style w:type="paragraph" w:styleId="Corpodetexto2">
    <w:name w:val="Body Text 2"/>
    <w:basedOn w:val="Normal"/>
    <w:link w:val="Corpodetexto2Char"/>
    <w:pPr>
      <w:jc w:val="both"/>
    </w:pPr>
    <w:rPr>
      <w:color w:val="0000FF"/>
    </w:rPr>
  </w:style>
  <w:style w:type="character" w:customStyle="1" w:styleId="Corpodetexto2Char">
    <w:name w:val="Corpo de texto 2 Char"/>
    <w:basedOn w:val="Fontepargpadro"/>
    <w:link w:val="Corpodetexto2"/>
    <w:rPr>
      <w:rFonts w:eastAsia="Times New Roman"/>
      <w:color w:val="0000FF"/>
      <w:sz w:val="24"/>
      <w:szCs w:val="24"/>
      <w:lang w:eastAsia="pt-BR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ommarcadores">
    <w:name w:val="List Bullet"/>
    <w:basedOn w:val="Normal"/>
    <w:pPr>
      <w:numPr>
        <w:numId w:val="1"/>
      </w:numPr>
    </w:pPr>
  </w:style>
  <w:style w:type="character" w:customStyle="1" w:styleId="Char1">
    <w:name w:val="Char1"/>
    <w:basedOn w:val="Fontepargpadro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link w:val="CorpodetextoChar"/>
    <w:pPr>
      <w:spacing w:after="120"/>
    </w:pPr>
  </w:style>
  <w:style w:type="character" w:customStyle="1" w:styleId="CorpodetextoChar">
    <w:name w:val="Corpo de texto Char"/>
    <w:aliases w:val="b Char"/>
    <w:basedOn w:val="Fontepargpadro"/>
    <w:link w:val="Corpodetexto"/>
    <w:rPr>
      <w:rFonts w:eastAsia="Times New Roman"/>
      <w:sz w:val="24"/>
      <w:szCs w:val="24"/>
      <w:lang w:eastAsia="pt-BR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Pr>
      <w:rFonts w:eastAsia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eastAsia="Times New Roman"/>
      <w:sz w:val="16"/>
      <w:szCs w:val="16"/>
      <w:lang w:eastAsia="pt-BR"/>
    </w:rPr>
  </w:style>
  <w:style w:type="character" w:customStyle="1" w:styleId="Char">
    <w:name w:val="Char"/>
    <w:basedOn w:val="Fontepargpadro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  <w:lang w:eastAsia="pt-BR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Pr>
      <w:rFonts w:eastAsia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eastAsia="Times New Roman"/>
      <w:b/>
      <w:bCs/>
      <w:lang w:eastAsia="pt-BR"/>
    </w:rPr>
  </w:style>
  <w:style w:type="paragraph" w:styleId="Textodebalo">
    <w:name w:val="Balloon Text"/>
    <w:basedOn w:val="Normal"/>
    <w:link w:val="TextodebaloChar"/>
    <w:rPr>
      <w:rFonts w:ascii="Tahoma" w:hAnsi="Tahoma" w:cs="Swiss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eastAsia="Times New Roman" w:hAnsi="Tahoma" w:cs="Swiss"/>
      <w:sz w:val="16"/>
      <w:szCs w:val="16"/>
      <w:lang w:eastAsia="pt-BR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Pr>
      <w:rFonts w:eastAsia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eastAsia="Times New Roman" w:hAnsi="Swiss"/>
      <w:sz w:val="22"/>
      <w:szCs w:val="22"/>
      <w:lang w:eastAsia="pt-BR"/>
    </w:rPr>
  </w:style>
  <w:style w:type="character" w:customStyle="1" w:styleId="InitialStyle">
    <w:name w:val="InitialStyle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/>
      <w:sz w:val="24"/>
      <w:szCs w:val="24"/>
      <w:lang w:eastAsia="pt-BR"/>
    </w:rPr>
  </w:style>
  <w:style w:type="paragraph" w:customStyle="1" w:styleId="tituloc">
    <w:name w:val="titulo_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eastAsia="Times New Roman" w:hAnsi="Times"/>
      <w:b/>
      <w:bCs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uiPriority w:val="99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customStyle="1" w:styleId="BodyText32">
    <w:name w:val="Body Text 32"/>
    <w:basedOn w:val="Normal"/>
    <w:pPr>
      <w:jc w:val="both"/>
    </w:pPr>
    <w:rPr>
      <w:rFonts w:ascii="Arial" w:hAnsi="Arial"/>
      <w:szCs w:val="20"/>
    </w:rPr>
  </w:style>
  <w:style w:type="paragraph" w:customStyle="1" w:styleId="assin">
    <w:name w:val="assin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eastAsia="Times New Roman" w:hAnsi="Swiss"/>
      <w:b/>
      <w:snapToGrid w:val="0"/>
      <w:lang w:eastAsia="pt-BR"/>
    </w:rPr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tuloChar">
    <w:name w:val="Título Char"/>
    <w:basedOn w:val="Fontepargpadro"/>
    <w:link w:val="Ttulo"/>
    <w:rPr>
      <w:rFonts w:ascii="Bookman Old Style" w:eastAsia="Times New Roman" w:hAnsi="Bookman Old Style"/>
      <w:b/>
      <w:sz w:val="22"/>
      <w:lang w:eastAsia="pt-BR"/>
    </w:rPr>
  </w:style>
  <w:style w:type="paragraph" w:customStyle="1" w:styleId="TextoTpicosProspecto">
    <w:name w:val="Texto Tópicos Prospecto"/>
    <w:basedOn w:val="TextoProspecto"/>
    <w:autoRedefine/>
    <w:pPr>
      <w:numPr>
        <w:numId w:val="2"/>
      </w:numPr>
    </w:pPr>
  </w:style>
  <w:style w:type="paragraph" w:customStyle="1" w:styleId="TextoProspecto">
    <w:name w:val="Texto Prospecto"/>
    <w:basedOn w:val="Normal"/>
    <w:autoRedefine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pPr>
      <w:spacing w:line="240" w:lineRule="exact"/>
      <w:jc w:val="both"/>
    </w:pPr>
    <w:rPr>
      <w:rFonts w:ascii="Arial" w:eastAsia="Times New Roman" w:hAnsi="Arial"/>
      <w:sz w:val="22"/>
      <w:lang w:val="pt-PT" w:eastAsia="pt-BR"/>
    </w:rPr>
  </w:style>
  <w:style w:type="paragraph" w:customStyle="1" w:styleId="Celso1">
    <w:name w:val="Celso1"/>
    <w:basedOn w:val="Normal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Pr>
      <w:color w:val="000000"/>
    </w:rPr>
  </w:style>
  <w:style w:type="paragraph" w:customStyle="1" w:styleId="Corpo">
    <w:name w:val="Corpo"/>
    <w:rPr>
      <w:rFonts w:eastAsia="Times New Roman"/>
      <w:color w:val="000000"/>
      <w:sz w:val="28"/>
      <w:lang w:eastAsia="pt-BR"/>
    </w:rPr>
  </w:style>
  <w:style w:type="paragraph" w:styleId="MapadoDocumento">
    <w:name w:val="Document Map"/>
    <w:basedOn w:val="Normal"/>
    <w:link w:val="MapadoDocumentoChar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Pr>
      <w:rFonts w:ascii="Tahoma" w:eastAsia="Times New Roman" w:hAnsi="Tahoma" w:cs="Tahoma"/>
      <w:shd w:val="clear" w:color="auto" w:fill="000080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pPr>
      <w:ind w:left="283" w:hanging="283"/>
    </w:pPr>
  </w:style>
  <w:style w:type="paragraph" w:customStyle="1" w:styleId="Body1">
    <w:name w:val="Body 1"/>
    <w:basedOn w:val="Normal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Verdana" w:hAnsi="Verdana"/>
      <w:b/>
      <w:i/>
      <w:sz w:val="16"/>
      <w:szCs w:val="22"/>
      <w:lang w:val="en-US"/>
    </w:rPr>
  </w:style>
  <w:style w:type="character" w:styleId="Refdenotaderodap">
    <w:name w:val="footnote reference"/>
    <w:basedOn w:val="Fontepargpadro"/>
    <w:rPr>
      <w:vertAlign w:val="superscript"/>
    </w:rPr>
  </w:style>
  <w:style w:type="paragraph" w:customStyle="1" w:styleId="BNDES">
    <w:name w:val="BNDES"/>
    <w:basedOn w:val="Normal"/>
    <w:link w:val="BNDESChar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Pr>
      <w:rFonts w:ascii="Arial" w:eastAsia="Times New Roman" w:hAnsi="Arial"/>
      <w:sz w:val="24"/>
      <w:lang w:eastAsia="ar-SA"/>
    </w:rPr>
  </w:style>
  <w:style w:type="paragraph" w:customStyle="1" w:styleId="Paraa">
    <w:name w:val="Para (a)"/>
    <w:basedOn w:val="Normal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cList">
    <w:name w:val="Cc List"/>
    <w:basedOn w:val="Normal"/>
    <w:pPr>
      <w:keepLines/>
      <w:autoSpaceDE w:val="0"/>
      <w:autoSpaceDN w:val="0"/>
      <w:adjustRightInd w:val="0"/>
      <w:spacing w:line="220" w:lineRule="atLeast"/>
      <w:ind w:left="360" w:hanging="360"/>
      <w:jc w:val="both"/>
    </w:pPr>
    <w:rPr>
      <w:rFonts w:ascii="Arial" w:hAnsi="Arial"/>
      <w:sz w:val="20"/>
      <w:szCs w:val="20"/>
      <w:lang w:val="en-US" w:eastAsia="en-US"/>
    </w:rPr>
  </w:style>
  <w:style w:type="paragraph" w:styleId="TextosemFormatao">
    <w:name w:val="Plain Text"/>
    <w:basedOn w:val="Normal"/>
    <w:link w:val="TextosemFormatao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nsolas" w:eastAsia="Calibri" w:hAnsi="Consolas"/>
      <w:sz w:val="21"/>
      <w:szCs w:val="21"/>
    </w:rPr>
  </w:style>
  <w:style w:type="paragraph" w:customStyle="1" w:styleId="BodyTextContinued">
    <w:name w:val="Body Text Continued"/>
    <w:basedOn w:val="Normal"/>
    <w:next w:val="Normal"/>
    <w:pPr>
      <w:spacing w:after="240"/>
      <w:jc w:val="both"/>
    </w:pPr>
    <w:rPr>
      <w:szCs w:val="20"/>
      <w:lang w:val="en-US" w:eastAsia="en-US"/>
    </w:rPr>
  </w:style>
  <w:style w:type="character" w:customStyle="1" w:styleId="Char11">
    <w:name w:val="Char11"/>
    <w:basedOn w:val="Fontepargpadro"/>
    <w:rPr>
      <w:noProof w:val="0"/>
      <w:sz w:val="24"/>
      <w:szCs w:val="24"/>
      <w:lang w:val="pt-BR" w:eastAsia="pt-BR" w:bidi="ar-SA"/>
    </w:rPr>
  </w:style>
  <w:style w:type="character" w:customStyle="1" w:styleId="Char2">
    <w:name w:val="Char2"/>
    <w:basedOn w:val="Fontepargpadro"/>
    <w:rPr>
      <w:noProof w:val="0"/>
      <w:sz w:val="24"/>
      <w:szCs w:val="24"/>
      <w:lang w:val="pt-BR" w:eastAsia="pt-BR" w:bidi="ar-SA"/>
    </w:r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rPr>
      <w:rFonts w:eastAsia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1">
    <w:name w:val="Style1"/>
    <w:uiPriority w:val="99"/>
    <w:pPr>
      <w:numPr>
        <w:numId w:val="7"/>
      </w:numPr>
    </w:pPr>
  </w:style>
  <w:style w:type="character" w:customStyle="1" w:styleId="RodapChar">
    <w:name w:val="Rodapé Char"/>
    <w:basedOn w:val="Fontepargpadro"/>
    <w:link w:val="Rodap"/>
    <w:uiPriority w:val="99"/>
    <w:rPr>
      <w:rFonts w:ascii="Verdana" w:hAnsi="Verdana"/>
      <w:sz w:val="14"/>
      <w:szCs w:val="22"/>
      <w:lang w:val="en-US"/>
    </w:rPr>
  </w:style>
  <w:style w:type="character" w:styleId="HiperlinkVisitado">
    <w:name w:val="FollowedHyperlink"/>
    <w:basedOn w:val="Fontepargpadro"/>
    <w:uiPriority w:val="99"/>
    <w:unhideWhenUsed/>
    <w:rPr>
      <w:color w:val="800080"/>
      <w:u w:val="single"/>
    </w:rPr>
  </w:style>
  <w:style w:type="paragraph" w:customStyle="1" w:styleId="Level1">
    <w:name w:val="Level 1"/>
    <w:basedOn w:val="Normal"/>
    <w:pPr>
      <w:numPr>
        <w:numId w:val="9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2">
    <w:name w:val="Level 2"/>
    <w:basedOn w:val="Normal"/>
    <w:link w:val="Level2Char"/>
    <w:pPr>
      <w:numPr>
        <w:ilvl w:val="1"/>
        <w:numId w:val="9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3">
    <w:name w:val="Level 3"/>
    <w:basedOn w:val="Normal"/>
    <w:link w:val="Level3Char"/>
    <w:pPr>
      <w:numPr>
        <w:ilvl w:val="2"/>
        <w:numId w:val="9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4">
    <w:name w:val="Level 4"/>
    <w:basedOn w:val="Normal"/>
    <w:pPr>
      <w:numPr>
        <w:ilvl w:val="3"/>
        <w:numId w:val="9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9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9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9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9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9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basedOn w:val="Fontepargpadro"/>
    <w:link w:val="Level2"/>
    <w:rPr>
      <w:rFonts w:ascii="Arial" w:eastAsia="Times New Roman" w:hAnsi="Arial"/>
      <w:kern w:val="20"/>
      <w:szCs w:val="24"/>
      <w:lang w:val="en-GB"/>
    </w:rPr>
  </w:style>
  <w:style w:type="paragraph" w:customStyle="1" w:styleId="Table1">
    <w:name w:val="Table 1"/>
    <w:basedOn w:val="Normal"/>
    <w:uiPriority w:val="99"/>
    <w:pPr>
      <w:numPr>
        <w:numId w:val="10"/>
      </w:numPr>
      <w:spacing w:before="60" w:after="60" w:line="290" w:lineRule="auto"/>
      <w:outlineLvl w:val="0"/>
    </w:pPr>
    <w:rPr>
      <w:rFonts w:ascii="Arial" w:hAnsi="Arial"/>
      <w:kern w:val="20"/>
      <w:sz w:val="20"/>
      <w:lang w:val="en-GB" w:eastAsia="en-US"/>
    </w:rPr>
  </w:style>
  <w:style w:type="paragraph" w:customStyle="1" w:styleId="Table2">
    <w:name w:val="Table 2"/>
    <w:basedOn w:val="Normal"/>
    <w:uiPriority w:val="99"/>
    <w:pPr>
      <w:numPr>
        <w:ilvl w:val="1"/>
        <w:numId w:val="10"/>
      </w:numPr>
      <w:spacing w:before="60" w:after="60" w:line="290" w:lineRule="auto"/>
      <w:outlineLvl w:val="1"/>
    </w:pPr>
    <w:rPr>
      <w:rFonts w:ascii="Arial" w:hAnsi="Arial"/>
      <w:kern w:val="20"/>
      <w:sz w:val="20"/>
      <w:lang w:val="en-GB" w:eastAsia="en-US"/>
    </w:rPr>
  </w:style>
  <w:style w:type="paragraph" w:customStyle="1" w:styleId="Table3">
    <w:name w:val="Table 3"/>
    <w:basedOn w:val="Normal"/>
    <w:uiPriority w:val="99"/>
    <w:pPr>
      <w:numPr>
        <w:ilvl w:val="2"/>
        <w:numId w:val="10"/>
      </w:numPr>
      <w:spacing w:before="60" w:after="60" w:line="290" w:lineRule="auto"/>
      <w:outlineLvl w:val="2"/>
    </w:pPr>
    <w:rPr>
      <w:rFonts w:ascii="Arial" w:hAnsi="Arial"/>
      <w:kern w:val="20"/>
      <w:sz w:val="20"/>
      <w:lang w:val="en-GB" w:eastAsia="en-US"/>
    </w:rPr>
  </w:style>
  <w:style w:type="paragraph" w:customStyle="1" w:styleId="Table4">
    <w:name w:val="Table 4"/>
    <w:basedOn w:val="Normal"/>
    <w:uiPriority w:val="99"/>
    <w:pPr>
      <w:numPr>
        <w:ilvl w:val="3"/>
        <w:numId w:val="10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Arial" w:hAnsi="Arial"/>
      <w:kern w:val="20"/>
      <w:sz w:val="20"/>
      <w:lang w:val="en-GB" w:eastAsia="en-US"/>
    </w:rPr>
  </w:style>
  <w:style w:type="paragraph" w:customStyle="1" w:styleId="Table5">
    <w:name w:val="Table 5"/>
    <w:basedOn w:val="Normal"/>
    <w:uiPriority w:val="99"/>
    <w:pPr>
      <w:numPr>
        <w:ilvl w:val="4"/>
        <w:numId w:val="10"/>
      </w:numPr>
      <w:spacing w:before="60" w:after="60" w:line="290" w:lineRule="auto"/>
      <w:outlineLvl w:val="4"/>
    </w:pPr>
    <w:rPr>
      <w:rFonts w:ascii="Arial" w:hAnsi="Arial"/>
      <w:kern w:val="20"/>
      <w:sz w:val="20"/>
      <w:lang w:val="en-GB" w:eastAsia="en-US"/>
    </w:rPr>
  </w:style>
  <w:style w:type="paragraph" w:customStyle="1" w:styleId="Table6">
    <w:name w:val="Table 6"/>
    <w:basedOn w:val="Normal"/>
    <w:uiPriority w:val="99"/>
    <w:pPr>
      <w:numPr>
        <w:ilvl w:val="5"/>
        <w:numId w:val="10"/>
      </w:numPr>
      <w:tabs>
        <w:tab w:val="clear" w:pos="720"/>
        <w:tab w:val="left" w:pos="567"/>
      </w:tabs>
      <w:spacing w:before="60" w:after="60" w:line="290" w:lineRule="auto"/>
      <w:outlineLvl w:val="5"/>
    </w:pPr>
    <w:rPr>
      <w:rFonts w:ascii="Arial" w:hAnsi="Arial"/>
      <w:kern w:val="20"/>
      <w:sz w:val="20"/>
      <w:lang w:val="en-GB" w:eastAsia="en-US"/>
    </w:rPr>
  </w:style>
  <w:style w:type="paragraph" w:customStyle="1" w:styleId="zFSand">
    <w:name w:val="zFSand"/>
    <w:basedOn w:val="Normal"/>
    <w:next w:val="Normal"/>
    <w:pPr>
      <w:spacing w:line="290" w:lineRule="auto"/>
      <w:jc w:val="center"/>
    </w:pPr>
    <w:rPr>
      <w:rFonts w:ascii="Arial" w:eastAsia="SimSun" w:hAnsi="Arial"/>
      <w:kern w:val="20"/>
      <w:sz w:val="20"/>
      <w:szCs w:val="20"/>
      <w:lang w:val="en-GB" w:eastAsia="en-US"/>
    </w:rPr>
  </w:style>
  <w:style w:type="paragraph" w:customStyle="1" w:styleId="dashbullet6">
    <w:name w:val="dash bullet 6"/>
    <w:basedOn w:val="Normal"/>
    <w:uiPriority w:val="99"/>
    <w:pPr>
      <w:numPr>
        <w:numId w:val="11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PargrafodaLista1">
    <w:name w:val="Parágrafo da Lista1"/>
    <w:basedOn w:val="Normal"/>
    <w:pPr>
      <w:autoSpaceDE w:val="0"/>
      <w:autoSpaceDN w:val="0"/>
      <w:adjustRightInd w:val="0"/>
      <w:ind w:left="708"/>
    </w:pPr>
  </w:style>
  <w:style w:type="character" w:customStyle="1" w:styleId="Level3Char">
    <w:name w:val="Level 3 Char"/>
    <w:basedOn w:val="Fontepargpadro"/>
    <w:link w:val="Level3"/>
    <w:rPr>
      <w:rFonts w:ascii="Arial" w:eastAsia="Times New Roman" w:hAnsi="Arial"/>
      <w:kern w:val="20"/>
      <w:szCs w:val="24"/>
      <w:lang w:val="en-GB"/>
    </w:rPr>
  </w:style>
  <w:style w:type="paragraph" w:customStyle="1" w:styleId="CorpodetextobtBT">
    <w:name w:val="Corpo de texto.bt.BT"/>
    <w:basedOn w:val="Normal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styleId="Reviso">
    <w:name w:val="Revision"/>
    <w:hidden/>
    <w:uiPriority w:val="99"/>
    <w:semiHidden/>
    <w:rPr>
      <w:rFonts w:eastAsia="Times New Roman"/>
      <w:sz w:val="24"/>
      <w:szCs w:val="24"/>
      <w:lang w:eastAsia="pt-BR"/>
    </w:rPr>
  </w:style>
  <w:style w:type="paragraph" w:customStyle="1" w:styleId="TextocomEspaamento">
    <w:name w:val="Texto com Espaçamento"/>
    <w:basedOn w:val="Normal"/>
    <w:link w:val="TextocomEspaamentoChar"/>
    <w:uiPriority w:val="99"/>
    <w:qFormat/>
    <w:pPr>
      <w:spacing w:before="100" w:after="100" w:line="220" w:lineRule="exact"/>
    </w:pPr>
    <w:rPr>
      <w:rFonts w:ascii="Arial" w:eastAsia="Arial" w:hAnsi="Arial"/>
      <w:color w:val="59595B"/>
      <w:sz w:val="18"/>
      <w:szCs w:val="20"/>
      <w:lang w:eastAsia="en-US"/>
    </w:rPr>
  </w:style>
  <w:style w:type="character" w:customStyle="1" w:styleId="TextocomEspaamentoChar">
    <w:name w:val="Texto com Espaçamento Char"/>
    <w:link w:val="TextocomEspaamento"/>
    <w:uiPriority w:val="99"/>
    <w:rPr>
      <w:rFonts w:ascii="Arial" w:eastAsia="Arial" w:hAnsi="Arial"/>
      <w:color w:val="59595B"/>
      <w:sz w:val="18"/>
    </w:rPr>
  </w:style>
  <w:style w:type="paragraph" w:customStyle="1" w:styleId="Head">
    <w:name w:val="Head"/>
    <w:basedOn w:val="Normal"/>
    <w:next w:val="Normal"/>
    <w:pPr>
      <w:keepNext/>
      <w:spacing w:before="280" w:after="140" w:line="290" w:lineRule="auto"/>
      <w:jc w:val="both"/>
      <w:outlineLvl w:val="0"/>
    </w:pPr>
    <w:rPr>
      <w:rFonts w:ascii="Arial" w:hAnsi="Arial"/>
      <w:b/>
      <w:kern w:val="23"/>
      <w:sz w:val="23"/>
      <w:lang w:eastAsia="en-GB"/>
    </w:rPr>
  </w:style>
  <w:style w:type="character" w:customStyle="1" w:styleId="PargrafodaListaChar">
    <w:name w:val="Parágrafo da Lista Char"/>
    <w:link w:val="PargrafodaLista"/>
    <w:uiPriority w:val="34"/>
    <w:locked/>
    <w:rPr>
      <w:rFonts w:ascii="Calibri" w:eastAsia="Calibri" w:hAnsi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 J U R _ S P ! 3 1 1 4 5 9 0 6 . 1 < / d o c u m e n t i d >  
     < s e n d e r i d > H S N < / s e n d e r i d >  
     < s e n d e r e m a i l > T A M B R O S A N O @ P N . C O M . B R < / s e n d e r e m a i l >  
     < l a s t m o d i f i e d > 2 0 1 8 - 0 9 - 2 6 T 1 1 : 5 6 : 0 0 . 0 0 0 0 0 0 0 - 0 3 : 0 0 < / l a s t m o d i f i e d >  
 < / p r o p e r t i e s > 
</file>

<file path=customXml/itemProps1.xml><?xml version="1.0" encoding="utf-8"?>
<ds:datastoreItem xmlns:ds="http://schemas.openxmlformats.org/officeDocument/2006/customXml" ds:itemID="{4DAD3F7C-BEB2-4E78-A9C3-DBAAD73B417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1385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Pinheiro Neto Advogados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Pinheiro Neto Advogados</dc:creator>
  <cp:keywords/>
  <dc:description/>
  <cp:lastModifiedBy>Matheus Gomes Faria</cp:lastModifiedBy>
  <cp:revision>3</cp:revision>
  <dcterms:created xsi:type="dcterms:W3CDTF">2019-08-05T19:50:00Z</dcterms:created>
  <dcterms:modified xsi:type="dcterms:W3CDTF">2019-08-05T20:07:00Z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31145906v1 - 10842002.432488</vt:lpwstr>
  </property>
</Properties>
</file>