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DCD0" w14:textId="354F562C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6A068E">
        <w:rPr>
          <w:rFonts w:ascii="Times New Roman" w:hAnsi="Times New Roman"/>
          <w:i w:val="0"/>
          <w:szCs w:val="24"/>
        </w:rPr>
        <w:t>12</w:t>
      </w:r>
      <w:r w:rsidR="001121EC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993900">
        <w:rPr>
          <w:rFonts w:ascii="Times New Roman" w:hAnsi="Times New Roman"/>
          <w:i w:val="0"/>
          <w:szCs w:val="24"/>
        </w:rPr>
        <w:t>1</w:t>
      </w:r>
      <w:r w:rsidR="00A562BC">
        <w:rPr>
          <w:rFonts w:ascii="Times New Roman" w:hAnsi="Times New Roman"/>
          <w:i w:val="0"/>
          <w:szCs w:val="24"/>
        </w:rPr>
        <w:t>5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993900">
        <w:rPr>
          <w:rFonts w:ascii="Times New Roman" w:hAnsi="Times New Roman"/>
          <w:i w:val="0"/>
          <w:szCs w:val="24"/>
        </w:rPr>
        <w:t>q</w:t>
      </w:r>
      <w:r w:rsidR="00A562BC">
        <w:rPr>
          <w:rFonts w:ascii="Times New Roman" w:hAnsi="Times New Roman"/>
          <w:i w:val="0"/>
          <w:szCs w:val="24"/>
        </w:rPr>
        <w:t>uinze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23729B5C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="004B7D6E">
        <w:rPr>
          <w:rFonts w:ascii="Times New Roman" w:hAnsi="Times New Roman"/>
          <w:i w:val="0"/>
          <w:szCs w:val="24"/>
        </w:rPr>
        <w:t xml:space="preserve"> em 22 de agosto de 2019 (“</w:t>
      </w:r>
      <w:r w:rsidR="004B7D6E" w:rsidRPr="0060308D">
        <w:rPr>
          <w:rFonts w:ascii="Times New Roman" w:hAnsi="Times New Roman"/>
          <w:i w:val="0"/>
          <w:szCs w:val="24"/>
          <w:u w:val="single"/>
        </w:rPr>
        <w:t>Primeiro Aditamento</w:t>
      </w:r>
      <w:r w:rsidR="004B7D6E">
        <w:rPr>
          <w:rFonts w:ascii="Times New Roman" w:hAnsi="Times New Roman"/>
          <w:i w:val="0"/>
          <w:szCs w:val="24"/>
        </w:rPr>
        <w:t>”) e em 09 de julho de 2020 (“</w:t>
      </w:r>
      <w:r w:rsidR="004B7D6E" w:rsidRPr="0060308D">
        <w:rPr>
          <w:rFonts w:ascii="Times New Roman" w:hAnsi="Times New Roman"/>
          <w:i w:val="0"/>
          <w:szCs w:val="24"/>
          <w:u w:val="single"/>
        </w:rPr>
        <w:t>Segundo Aditamento</w:t>
      </w:r>
      <w:r w:rsidR="004B7D6E">
        <w:rPr>
          <w:rFonts w:ascii="Times New Roman" w:hAnsi="Times New Roman"/>
          <w:i w:val="0"/>
          <w:szCs w:val="24"/>
        </w:rPr>
        <w:t>”)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2CF37EC4" w:rsidR="00ED3E86" w:rsidRPr="004E648A" w:rsidRDefault="0010306D" w:rsidP="006A068E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6A068E" w:rsidRPr="006A068E">
        <w:rPr>
          <w:rFonts w:ascii="Times New Roman" w:hAnsi="Times New Roman"/>
          <w:i w:val="0"/>
          <w:szCs w:val="24"/>
        </w:rPr>
        <w:t>Camila Aparecida Belmonte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>a: Claudinéia Barbosa dos Santos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53E8266D" w14:textId="635E41E8" w:rsidR="00326922" w:rsidRDefault="008F5F85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devida </w:t>
      </w:r>
      <w:r w:rsidR="0010508F">
        <w:rPr>
          <w:rFonts w:ascii="Times New Roman" w:hAnsi="Times New Roman"/>
          <w:snapToGrid/>
          <w:szCs w:val="24"/>
        </w:rPr>
        <w:t>em 15 de junho de 2021</w:t>
      </w:r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</w:t>
      </w:r>
      <w:r w:rsidR="00183E9D">
        <w:rPr>
          <w:rFonts w:ascii="Times New Roman" w:hAnsi="Times New Roman"/>
          <w:snapToGrid/>
          <w:szCs w:val="24"/>
        </w:rPr>
        <w:t xml:space="preserve"> do </w:t>
      </w:r>
      <w:r w:rsidR="007E327B">
        <w:rPr>
          <w:rFonts w:ascii="Times New Roman" w:hAnsi="Times New Roman"/>
          <w:snapToGrid/>
          <w:szCs w:val="24"/>
        </w:rPr>
        <w:t xml:space="preserve">Valor Nominal Unitário </w:t>
      </w:r>
      <w:r w:rsidR="00183E9D">
        <w:rPr>
          <w:rFonts w:ascii="Times New Roman" w:hAnsi="Times New Roman"/>
          <w:snapToGrid/>
          <w:szCs w:val="24"/>
        </w:rPr>
        <w:t>das Debêntures</w:t>
      </w:r>
      <w:r w:rsidR="00817267">
        <w:rPr>
          <w:rFonts w:ascii="Times New Roman" w:hAnsi="Times New Roman"/>
          <w:snapToGrid/>
          <w:szCs w:val="24"/>
        </w:rPr>
        <w:t>, com a consequente alteração da Escritura da 2º Emissão para refletir referida deliberação</w:t>
      </w:r>
      <w:r w:rsidR="00A35AAA">
        <w:rPr>
          <w:rFonts w:ascii="Times New Roman" w:hAnsi="Times New Roman"/>
          <w:snapToGrid/>
          <w:szCs w:val="24"/>
        </w:rPr>
        <w:t xml:space="preserve">; </w:t>
      </w:r>
    </w:p>
    <w:p w14:paraId="34498053" w14:textId="77777777" w:rsidR="00817267" w:rsidRDefault="00817267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AD624AA" w14:textId="11DE8F9D" w:rsidR="00817267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r w:rsidRPr="0060308D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>) para o não atendimento da</w:t>
      </w:r>
      <w:r w:rsidR="00527425">
        <w:rPr>
          <w:rFonts w:ascii="Times New Roman" w:hAnsi="Times New Roman"/>
          <w:snapToGrid/>
          <w:szCs w:val="24"/>
        </w:rPr>
        <w:t>s</w:t>
      </w:r>
      <w:r>
        <w:rPr>
          <w:rFonts w:ascii="Times New Roman" w:hAnsi="Times New Roman"/>
          <w:snapToGrid/>
          <w:szCs w:val="24"/>
        </w:rPr>
        <w:t xml:space="preserve"> obrigaç</w:t>
      </w:r>
      <w:r w:rsidR="00527425">
        <w:rPr>
          <w:rFonts w:ascii="Times New Roman" w:hAnsi="Times New Roman"/>
          <w:snapToGrid/>
          <w:szCs w:val="24"/>
        </w:rPr>
        <w:t>ões</w:t>
      </w:r>
      <w:r>
        <w:rPr>
          <w:rFonts w:ascii="Times New Roman" w:hAnsi="Times New Roman"/>
          <w:snapToGrid/>
          <w:szCs w:val="24"/>
        </w:rPr>
        <w:t xml:space="preserve"> prevista</w:t>
      </w:r>
      <w:r w:rsidR="00527425">
        <w:rPr>
          <w:rFonts w:ascii="Times New Roman" w:hAnsi="Times New Roman"/>
          <w:snapToGrid/>
          <w:szCs w:val="24"/>
        </w:rPr>
        <w:t>s</w:t>
      </w:r>
      <w:r>
        <w:rPr>
          <w:rFonts w:ascii="Times New Roman" w:hAnsi="Times New Roman"/>
          <w:snapToGrid/>
          <w:szCs w:val="24"/>
        </w:rPr>
        <w:t xml:space="preserve"> na</w:t>
      </w:r>
      <w:r w:rsidR="00527425">
        <w:rPr>
          <w:rFonts w:ascii="Times New Roman" w:hAnsi="Times New Roman"/>
          <w:snapToGrid/>
          <w:szCs w:val="24"/>
        </w:rPr>
        <w:t>s</w:t>
      </w:r>
      <w:r>
        <w:rPr>
          <w:rFonts w:ascii="Times New Roman" w:hAnsi="Times New Roman"/>
          <w:snapToGrid/>
          <w:szCs w:val="24"/>
        </w:rPr>
        <w:t xml:space="preserve"> al</w:t>
      </w:r>
      <w:r w:rsidR="004B66A2">
        <w:rPr>
          <w:rFonts w:ascii="Times New Roman" w:hAnsi="Times New Roman"/>
          <w:snapToGrid/>
          <w:szCs w:val="24"/>
        </w:rPr>
        <w:t>ínea</w:t>
      </w:r>
      <w:r w:rsidR="00527425">
        <w:rPr>
          <w:rFonts w:ascii="Times New Roman" w:hAnsi="Times New Roman"/>
          <w:snapToGrid/>
          <w:szCs w:val="24"/>
        </w:rPr>
        <w:t>s</w:t>
      </w:r>
      <w:r w:rsidR="004B66A2">
        <w:rPr>
          <w:rFonts w:ascii="Times New Roman" w:hAnsi="Times New Roman"/>
          <w:snapToGrid/>
          <w:szCs w:val="24"/>
        </w:rPr>
        <w:t xml:space="preserve">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4B66A2" w:rsidRPr="0060308D">
        <w:rPr>
          <w:rFonts w:ascii="Times New Roman" w:hAnsi="Times New Roman"/>
          <w:i/>
          <w:snapToGrid/>
          <w:szCs w:val="24"/>
        </w:rPr>
        <w:t>q</w:t>
      </w:r>
      <w:r w:rsidRPr="0060308D">
        <w:rPr>
          <w:rFonts w:ascii="Times New Roman" w:hAnsi="Times New Roman"/>
          <w:i/>
          <w:snapToGrid/>
          <w:szCs w:val="24"/>
        </w:rPr>
        <w:t>”</w:t>
      </w:r>
      <w:r w:rsidR="00527425">
        <w:rPr>
          <w:rFonts w:ascii="Times New Roman" w:hAnsi="Times New Roman"/>
          <w:snapToGrid/>
          <w:szCs w:val="24"/>
        </w:rPr>
        <w:t xml:space="preserve"> e </w:t>
      </w:r>
      <w:r w:rsidR="00527425" w:rsidRPr="0060308D">
        <w:rPr>
          <w:rFonts w:ascii="Times New Roman" w:hAnsi="Times New Roman"/>
          <w:i/>
          <w:snapToGrid/>
          <w:szCs w:val="24"/>
        </w:rPr>
        <w:t>“r”</w:t>
      </w:r>
      <w:r w:rsidRPr="0060308D">
        <w:rPr>
          <w:rFonts w:ascii="Times New Roman" w:hAnsi="Times New Roman"/>
          <w:i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5.1.2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</w:t>
      </w:r>
      <w:r w:rsidR="004B66A2">
        <w:rPr>
          <w:rFonts w:ascii="Times New Roman" w:hAnsi="Times New Roman"/>
          <w:snapToGrid/>
          <w:szCs w:val="24"/>
        </w:rPr>
        <w:t xml:space="preserve"> exclusivamente para o exercício social que encerrará em 31 de dezembro de 2020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4B66A2">
        <w:rPr>
          <w:rFonts w:ascii="Times New Roman" w:hAnsi="Times New Roman"/>
          <w:snapToGrid/>
          <w:szCs w:val="24"/>
        </w:rPr>
        <w:t>.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4D546083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3356B">
        <w:rPr>
          <w:rFonts w:ascii="Times New Roman" w:hAnsi="Times New Roman"/>
          <w:snapToGrid/>
          <w:szCs w:val="24"/>
        </w:rPr>
        <w:t xml:space="preserve">terceiro 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>Terceiro Aditamento</w:t>
      </w:r>
      <w:r w:rsidR="00D3356B">
        <w:rPr>
          <w:rFonts w:ascii="Times New Roman" w:hAnsi="Times New Roman"/>
          <w:snapToGrid/>
          <w:szCs w:val="24"/>
        </w:rPr>
        <w:t>”)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</w:t>
      </w:r>
      <w:r w:rsidRPr="00686453">
        <w:rPr>
          <w:rFonts w:ascii="Times New Roman" w:hAnsi="Times New Roman"/>
          <w:i w:val="0"/>
          <w:szCs w:val="24"/>
        </w:rPr>
        <w:lastRenderedPageBreak/>
        <w:t xml:space="preserve">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78ED5F15" w14:textId="2C12ED12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 xml:space="preserve">Alterar </w:t>
      </w:r>
      <w:r w:rsidR="00C9211C">
        <w:rPr>
          <w:rFonts w:ascii="Times New Roman" w:hAnsi="Times New Roman"/>
          <w:snapToGrid/>
          <w:szCs w:val="24"/>
        </w:rPr>
        <w:t xml:space="preserve">o cronograma de pagamentos da amortização do </w:t>
      </w:r>
      <w:r w:rsidR="007E327B">
        <w:rPr>
          <w:rFonts w:ascii="Times New Roman" w:hAnsi="Times New Roman"/>
          <w:snapToGrid/>
          <w:szCs w:val="24"/>
        </w:rPr>
        <w:t xml:space="preserve">Valor Nominal Unitário </w:t>
      </w:r>
      <w:r w:rsidR="00C9211C">
        <w:rPr>
          <w:rFonts w:ascii="Times New Roman" w:hAnsi="Times New Roman"/>
          <w:snapToGrid/>
          <w:szCs w:val="24"/>
        </w:rPr>
        <w:t xml:space="preserve">das Debêntures, </w:t>
      </w:r>
      <w:r w:rsidR="00C76B22">
        <w:rPr>
          <w:rFonts w:ascii="Times New Roman" w:hAnsi="Times New Roman"/>
          <w:snapToGrid/>
          <w:szCs w:val="24"/>
        </w:rPr>
        <w:t xml:space="preserve">de modo que a parcela devida em 15 de novembro de 2020 seja integralmente paga em 15 de junho de 2021, que somada à parcela já devida </w:t>
      </w:r>
      <w:r w:rsidR="0010508F">
        <w:rPr>
          <w:rFonts w:ascii="Times New Roman" w:hAnsi="Times New Roman"/>
          <w:snapToGrid/>
          <w:szCs w:val="24"/>
        </w:rPr>
        <w:t>em 15 de junho de 2021</w:t>
      </w:r>
      <w:r w:rsidR="00C76B22">
        <w:rPr>
          <w:rFonts w:ascii="Times New Roman" w:hAnsi="Times New Roman"/>
          <w:snapToGrid/>
          <w:szCs w:val="24"/>
        </w:rPr>
        <w:t xml:space="preserve"> totalizará 28,50% (vinte e oito inteiros e cinquenta centésimos por cento) </w:t>
      </w:r>
      <w:r w:rsidR="00183E9D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 xml:space="preserve">Valor Nominal Unitário </w:t>
      </w:r>
      <w:r w:rsidR="00183E9D">
        <w:rPr>
          <w:rFonts w:ascii="Times New Roman" w:hAnsi="Times New Roman"/>
          <w:snapToGrid/>
          <w:szCs w:val="24"/>
        </w:rPr>
        <w:t>das Debêntures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r w:rsidR="00A9300D">
        <w:rPr>
          <w:rFonts w:ascii="Times New Roman" w:hAnsi="Times New Roman"/>
          <w:szCs w:val="24"/>
        </w:rPr>
        <w:t>ª</w:t>
      </w:r>
      <w:r w:rsidRPr="0061392B">
        <w:rPr>
          <w:rFonts w:ascii="Times New Roman" w:hAnsi="Times New Roman"/>
          <w:szCs w:val="24"/>
        </w:rPr>
        <w:t xml:space="preserve"> Emissão passará a vigorar com a redação a seguir</w:t>
      </w:r>
      <w:r w:rsidR="00E40199">
        <w:rPr>
          <w:rFonts w:ascii="Times New Roman" w:hAnsi="Times New Roman"/>
          <w:szCs w:val="24"/>
        </w:rPr>
        <w:t xml:space="preserve"> </w:t>
      </w:r>
      <w:r w:rsidR="00E40199">
        <w:rPr>
          <w:rFonts w:ascii="Times New Roman" w:hAnsi="Times New Roman"/>
          <w:snapToGrid/>
          <w:szCs w:val="24"/>
        </w:rPr>
        <w:t>(que será devidamente refletida em aditamento à Escritura da 2º Emissão</w:t>
      </w:r>
      <w:r w:rsidR="0041654A">
        <w:rPr>
          <w:rFonts w:ascii="Times New Roman" w:hAnsi="Times New Roman"/>
          <w:snapToGrid/>
          <w:szCs w:val="24"/>
        </w:rPr>
        <w:t xml:space="preserve"> e ao Contrato de Cessão Fiduciária</w:t>
      </w:r>
      <w:r w:rsidR="00E40199">
        <w:rPr>
          <w:rFonts w:ascii="Times New Roman" w:hAnsi="Times New Roman"/>
          <w:snapToGrid/>
          <w:szCs w:val="24"/>
        </w:rPr>
        <w:t>)</w:t>
      </w:r>
      <w:r w:rsidRPr="0061392B">
        <w:rPr>
          <w:rFonts w:ascii="Times New Roman" w:hAnsi="Times New Roman"/>
          <w:szCs w:val="24"/>
        </w:rPr>
        <w:t>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15DA8522" w:rsidR="00EC330D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84A88">
        <w:rPr>
          <w:rFonts w:ascii="Times New Roman" w:hAnsi="Times New Roman"/>
          <w:i/>
          <w:szCs w:val="24"/>
        </w:rPr>
        <w:t>8</w:t>
      </w:r>
      <w:r w:rsidR="00E75686">
        <w:rPr>
          <w:rFonts w:ascii="Times New Roman" w:hAnsi="Times New Roman"/>
          <w:i/>
          <w:szCs w:val="24"/>
        </w:rPr>
        <w:t xml:space="preserve"> (</w:t>
      </w:r>
      <w:r w:rsidR="00F84A88">
        <w:rPr>
          <w:rFonts w:ascii="Times New Roman" w:hAnsi="Times New Roman"/>
          <w:i/>
          <w:szCs w:val="24"/>
        </w:rPr>
        <w:t>oito</w:t>
      </w:r>
      <w:r w:rsidR="00E75686"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496C3355" w14:textId="77777777" w:rsidR="00EC330D" w:rsidRDefault="00EC330D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6C8F1D84" w:rsidR="008F5F85" w:rsidRPr="0061392B" w:rsidRDefault="00EC330D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br w:type="page"/>
            </w:r>
            <w:r w:rsidR="008F5F85"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lastRenderedPageBreak/>
              <w:t>3ª</w:t>
            </w:r>
          </w:p>
        </w:tc>
        <w:tc>
          <w:tcPr>
            <w:tcW w:w="2810" w:type="dxa"/>
            <w:vAlign w:val="center"/>
          </w:tcPr>
          <w:p w14:paraId="6BE22DFF" w14:textId="6B08EFAE" w:rsidR="008F5F85" w:rsidRPr="0061392B" w:rsidRDefault="00986B50" w:rsidP="007B0B2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 w:rsidR="00C848C1"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BA54CD5" w:rsidR="008F5F85" w:rsidRPr="0061392B" w:rsidRDefault="003E156A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7,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0000%</w:t>
            </w:r>
          </w:p>
        </w:tc>
      </w:tr>
      <w:tr w:rsidR="00FB19E3" w:rsidRPr="00E3286C" w14:paraId="7D176D05" w14:textId="77777777" w:rsidTr="00986B50">
        <w:tc>
          <w:tcPr>
            <w:tcW w:w="2731" w:type="dxa"/>
            <w:vAlign w:val="center"/>
          </w:tcPr>
          <w:p w14:paraId="10269302" w14:textId="21838213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  <w:vAlign w:val="center"/>
          </w:tcPr>
          <w:p w14:paraId="34A37049" w14:textId="7AAD167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28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,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000%</w:t>
            </w:r>
          </w:p>
        </w:tc>
      </w:tr>
      <w:tr w:rsidR="00FB19E3" w:rsidRPr="00E3286C" w14:paraId="30647821" w14:textId="77777777" w:rsidTr="00986B50">
        <w:tc>
          <w:tcPr>
            <w:tcW w:w="2731" w:type="dxa"/>
            <w:vAlign w:val="center"/>
          </w:tcPr>
          <w:p w14:paraId="06BE441E" w14:textId="24B5BE0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C47EA92" w14:textId="1E990AEC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  <w:vAlign w:val="center"/>
          </w:tcPr>
          <w:p w14:paraId="7DFEBB4D" w14:textId="259B7E8E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29BCE07A" w14:textId="77777777" w:rsidTr="00986B50">
        <w:tc>
          <w:tcPr>
            <w:tcW w:w="2731" w:type="dxa"/>
            <w:vAlign w:val="center"/>
          </w:tcPr>
          <w:p w14:paraId="196146E8" w14:textId="5DCF3487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3E9FF9B" w14:textId="0F0258B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FB19E3" w:rsidRPr="00E3286C" w14:paraId="6B8A09E9" w14:textId="77777777" w:rsidTr="00986B50">
        <w:tc>
          <w:tcPr>
            <w:tcW w:w="2731" w:type="dxa"/>
            <w:vAlign w:val="center"/>
          </w:tcPr>
          <w:p w14:paraId="4DFC5E58" w14:textId="4BCBCCF2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5BC4563" w14:textId="483CB6FA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FB19E3" w:rsidRPr="00E3286C" w14:paraId="3C795213" w14:textId="77777777" w:rsidTr="00986B50">
        <w:tc>
          <w:tcPr>
            <w:tcW w:w="2731" w:type="dxa"/>
            <w:vAlign w:val="center"/>
          </w:tcPr>
          <w:p w14:paraId="6734FE78" w14:textId="7497DFA4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13398D" w14:textId="03B99AEA" w:rsidR="00FB19E3" w:rsidRPr="0060308D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  <w:vAlign w:val="center"/>
          </w:tcPr>
          <w:p w14:paraId="3793CF02" w14:textId="20152A5B" w:rsidR="00FB19E3" w:rsidRPr="0061392B" w:rsidRDefault="00FB19E3" w:rsidP="00FB19E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27EA1073" w14:textId="0A6AA4D4" w:rsidR="002F2597" w:rsidRPr="008023A4" w:rsidRDefault="002F2597" w:rsidP="008023A4">
      <w:pPr>
        <w:spacing w:line="300" w:lineRule="exact"/>
        <w:jc w:val="both"/>
        <w:rPr>
          <w:rFonts w:ascii="Times New Roman" w:hAnsi="Times New Roman"/>
          <w:i/>
          <w:szCs w:val="24"/>
        </w:rPr>
      </w:pPr>
    </w:p>
    <w:p w14:paraId="42C4F206" w14:textId="77777777" w:rsidR="00326922" w:rsidRPr="00EB697F" w:rsidRDefault="00326922" w:rsidP="00EB697F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3693DFCE" w14:textId="4026DC36" w:rsidR="003273F6" w:rsidRDefault="003273F6" w:rsidP="0060308D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</w:t>
      </w:r>
      <w:r w:rsidR="007E67E3">
        <w:rPr>
          <w:rFonts w:ascii="Times New Roman" w:hAnsi="Times New Roman"/>
          <w:snapToGrid/>
          <w:szCs w:val="24"/>
        </w:rPr>
        <w:t>utorizar a</w:t>
      </w:r>
      <w:r>
        <w:rPr>
          <w:rFonts w:ascii="Times New Roman" w:hAnsi="Times New Roman"/>
          <w:snapToGrid/>
          <w:szCs w:val="24"/>
        </w:rPr>
        <w:t xml:space="preserve"> concessão de autorização prévia (</w:t>
      </w:r>
      <w:r w:rsidRPr="007E67E3">
        <w:rPr>
          <w:rFonts w:ascii="Times New Roman" w:hAnsi="Times New Roman"/>
          <w:i/>
          <w:snapToGrid/>
          <w:szCs w:val="24"/>
        </w:rPr>
        <w:t>waiver</w:t>
      </w:r>
      <w:r>
        <w:rPr>
          <w:rFonts w:ascii="Times New Roman" w:hAnsi="Times New Roman"/>
          <w:snapToGrid/>
          <w:szCs w:val="24"/>
        </w:rPr>
        <w:t>) para o não atendimento das obrigações previstas nas alíneas “q” e “r”, da cláusula 5.1.2 da Escritura da 2ª Emissão, exclusivamente para o exercício social que encerrará em 31 de dezembro de 2020, sem que seja declarado o vencimento antecipado das Debêntures.</w:t>
      </w:r>
    </w:p>
    <w:p w14:paraId="0F9DDF80" w14:textId="77777777" w:rsidR="003273F6" w:rsidRPr="0060308D" w:rsidRDefault="003273F6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CFD0104" w14:textId="5031219F" w:rsidR="000A0447" w:rsidRPr="00686453" w:rsidRDefault="00A90D0D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D3356B">
        <w:rPr>
          <w:rFonts w:ascii="Times New Roman" w:hAnsi="Times New Roman"/>
          <w:snapToGrid/>
          <w:szCs w:val="24"/>
        </w:rPr>
        <w:t>Terceiro Aditamento.</w:t>
      </w:r>
      <w:r w:rsidR="0010508F">
        <w:rPr>
          <w:rFonts w:ascii="Times New Roman" w:hAnsi="Times New Roman"/>
          <w:snapToGrid/>
          <w:szCs w:val="24"/>
        </w:rPr>
        <w:t xml:space="preserve"> </w:t>
      </w:r>
    </w:p>
    <w:p w14:paraId="60EB5D2C" w14:textId="2EFE848D" w:rsidR="00194E6A" w:rsidRPr="0010508F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268827EC" w14:textId="7D64FC27" w:rsidR="006C3D5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 aprovação descrita no item (i)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AA3B71">
        <w:rPr>
          <w:rFonts w:ascii="Times New Roman" w:hAnsi="Times New Roman"/>
          <w:szCs w:val="24"/>
        </w:rPr>
        <w:t>0,5</w:t>
      </w:r>
      <w:r w:rsidR="00AA3B71" w:rsidRPr="0060308D">
        <w:rPr>
          <w:rFonts w:ascii="Times New Roman" w:hAnsi="Times New Roman"/>
          <w:szCs w:val="24"/>
        </w:rPr>
        <w:t>% (</w:t>
      </w:r>
      <w:r w:rsidR="00AA3B71">
        <w:rPr>
          <w:rFonts w:ascii="Times New Roman" w:hAnsi="Times New Roman"/>
          <w:szCs w:val="24"/>
        </w:rPr>
        <w:t>cinco décimos</w:t>
      </w:r>
      <w:r w:rsidR="00AA3B71" w:rsidRPr="0060308D">
        <w:rPr>
          <w:rFonts w:ascii="Times New Roman" w:hAnsi="Times New Roman"/>
          <w:szCs w:val="24"/>
        </w:rPr>
        <w:t xml:space="preserve"> por cento) </w:t>
      </w:r>
      <w:r w:rsidR="003B51DF" w:rsidRPr="0060308D">
        <w:rPr>
          <w:rFonts w:ascii="Times New Roman" w:hAnsi="Times New Roman"/>
          <w:szCs w:val="24"/>
        </w:rPr>
        <w:t xml:space="preserve">sobre o montante da parcela de amortização do </w:t>
      </w:r>
      <w:r w:rsidR="001901B9" w:rsidRPr="0060308D">
        <w:rPr>
          <w:rFonts w:ascii="Times New Roman" w:hAnsi="Times New Roman"/>
          <w:szCs w:val="24"/>
        </w:rPr>
        <w:t>Valor Nominal Unitário</w:t>
      </w:r>
      <w:r w:rsidR="00AA3B71">
        <w:rPr>
          <w:rFonts w:ascii="Times New Roman" w:hAnsi="Times New Roman"/>
          <w:szCs w:val="24"/>
        </w:rPr>
        <w:t xml:space="preserve"> </w:t>
      </w:r>
      <w:r w:rsidR="00AA3B71" w:rsidRPr="0060308D">
        <w:rPr>
          <w:rFonts w:ascii="Times New Roman" w:hAnsi="Times New Roman"/>
          <w:szCs w:val="24"/>
        </w:rPr>
        <w:t>cujo pagamento foi prorrogado para o dia 15 de junho de 2021</w:t>
      </w:r>
      <w:r w:rsidR="001901B9" w:rsidRPr="0060308D">
        <w:rPr>
          <w:rFonts w:ascii="Times New Roman" w:hAnsi="Times New Roman"/>
          <w:szCs w:val="24"/>
        </w:rPr>
        <w:t xml:space="preserve"> </w:t>
      </w:r>
      <w:r w:rsidR="00AA3B71">
        <w:rPr>
          <w:rFonts w:ascii="Times New Roman" w:hAnsi="Times New Roman"/>
          <w:szCs w:val="24"/>
        </w:rPr>
        <w:t xml:space="preserve">e em decorrência da aprovação descrita no item (ii) acima, </w:t>
      </w:r>
      <w:r w:rsidR="00AA3B71" w:rsidRPr="0060308D">
        <w:rPr>
          <w:rFonts w:ascii="Times New Roman" w:hAnsi="Times New Roman"/>
          <w:szCs w:val="24"/>
        </w:rPr>
        <w:t xml:space="preserve">a Emissora pagará aos Debenturistas prêmio equivalente à 1% (um por cento) sobre o </w:t>
      </w:r>
      <w:r w:rsidR="00AA3B71">
        <w:rPr>
          <w:rFonts w:ascii="Times New Roman" w:hAnsi="Times New Roman"/>
          <w:szCs w:val="24"/>
        </w:rPr>
        <w:t>saldo devedor das Debêntures</w:t>
      </w:r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bookmarkStart w:id="1" w:name="_GoBack"/>
      <w:bookmarkEnd w:id="1"/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>, sendo certo que receberá o</w:t>
      </w:r>
      <w:r w:rsidR="00AA3B71">
        <w:rPr>
          <w:rFonts w:ascii="Times New Roman" w:hAnsi="Times New Roman"/>
          <w:szCs w:val="24"/>
        </w:rPr>
        <w:t>s</w:t>
      </w:r>
      <w:r w:rsidR="00A767B3" w:rsidRPr="0060308D">
        <w:rPr>
          <w:rFonts w:ascii="Times New Roman" w:hAnsi="Times New Roman"/>
          <w:szCs w:val="24"/>
        </w:rPr>
        <w:t xml:space="preserve"> prêmio</w:t>
      </w:r>
      <w:r w:rsidR="00AA3B71">
        <w:rPr>
          <w:rFonts w:ascii="Times New Roman" w:hAnsi="Times New Roman"/>
          <w:szCs w:val="24"/>
        </w:rPr>
        <w:t>s</w:t>
      </w:r>
      <w:r w:rsidR="00A767B3" w:rsidRPr="0060308D">
        <w:rPr>
          <w:rFonts w:ascii="Times New Roman" w:hAnsi="Times New Roman"/>
          <w:szCs w:val="24"/>
        </w:rPr>
        <w:t xml:space="preserve"> o Debenturista que for </w:t>
      </w:r>
      <w:r w:rsidR="00A767B3" w:rsidRPr="0060308D">
        <w:rPr>
          <w:rFonts w:ascii="Times New Roman" w:hAnsi="Times New Roman"/>
          <w:szCs w:val="24"/>
        </w:rPr>
        <w:lastRenderedPageBreak/>
        <w:t xml:space="preserve">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</w:t>
      </w:r>
      <w:r w:rsidR="00AA3B71">
        <w:rPr>
          <w:rFonts w:ascii="Times New Roman" w:hAnsi="Times New Roman"/>
          <w:szCs w:val="24"/>
        </w:rPr>
        <w:t>s</w:t>
      </w:r>
      <w:r w:rsidR="006746BA" w:rsidRPr="0060308D">
        <w:rPr>
          <w:rFonts w:ascii="Times New Roman" w:hAnsi="Times New Roman"/>
          <w:szCs w:val="24"/>
        </w:rPr>
        <w:t xml:space="preserve"> prêmio</w:t>
      </w:r>
      <w:r w:rsidR="00AA3B71">
        <w:rPr>
          <w:rFonts w:ascii="Times New Roman" w:hAnsi="Times New Roman"/>
          <w:szCs w:val="24"/>
        </w:rPr>
        <w:t>s deverão</w:t>
      </w:r>
      <w:r w:rsidR="006746BA" w:rsidRPr="0060308D">
        <w:rPr>
          <w:rFonts w:ascii="Times New Roman" w:hAnsi="Times New Roman"/>
          <w:szCs w:val="24"/>
        </w:rPr>
        <w:t xml:space="preserve"> ser pago</w:t>
      </w:r>
      <w:r w:rsidR="00AA3B71">
        <w:rPr>
          <w:rFonts w:ascii="Times New Roman" w:hAnsi="Times New Roman"/>
          <w:szCs w:val="24"/>
        </w:rPr>
        <w:t>s</w:t>
      </w:r>
      <w:r w:rsidR="006746BA" w:rsidRPr="0060308D">
        <w:rPr>
          <w:rFonts w:ascii="Times New Roman" w:hAnsi="Times New Roman"/>
          <w:szCs w:val="24"/>
        </w:rPr>
        <w:t xml:space="preserve">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r w:rsidR="001121EC">
        <w:rPr>
          <w:rFonts w:ascii="Times New Roman" w:hAnsi="Times New Roman"/>
          <w:szCs w:val="24"/>
        </w:rPr>
        <w:t>12 de novembro de 2020</w:t>
      </w:r>
      <w:r w:rsidR="0041654A" w:rsidRPr="0060308D">
        <w:rPr>
          <w:rFonts w:ascii="Times New Roman" w:hAnsi="Times New Roman"/>
          <w:szCs w:val="24"/>
        </w:rPr>
        <w:t>, de acordo com as instruções a serem enviadas pela Emissora aos 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</w:t>
      </w:r>
      <w:r w:rsidR="00AA3B71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prêmio</w:t>
      </w:r>
      <w:r w:rsidR="00AA3B71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lastRenderedPageBreak/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7B2B57D2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1121EC">
        <w:rPr>
          <w:rFonts w:ascii="Times New Roman" w:hAnsi="Times New Roman"/>
          <w:i w:val="0"/>
          <w:szCs w:val="24"/>
        </w:rPr>
        <w:t>12</w:t>
      </w:r>
      <w:r w:rsidR="001121E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76B22">
        <w:rPr>
          <w:rFonts w:ascii="Times New Roman" w:hAnsi="Times New Roman"/>
          <w:i w:val="0"/>
          <w:szCs w:val="24"/>
        </w:rPr>
        <w:t xml:space="preserve">novembro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2CFD0E42" w14:textId="77777777" w:rsidR="0060308D" w:rsidRDefault="006A068E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6A068E">
              <w:rPr>
                <w:rFonts w:ascii="Times New Roman" w:hAnsi="Times New Roman"/>
                <w:i/>
                <w:szCs w:val="24"/>
              </w:rPr>
              <w:t>Camila Aparecida Belmonte</w:t>
            </w:r>
          </w:p>
          <w:p w14:paraId="6283A651" w14:textId="0318D698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25B82526" w:rsidR="00CC3EC0" w:rsidRPr="00EC330D" w:rsidRDefault="00215567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EC330D">
              <w:rPr>
                <w:rFonts w:ascii="Times New Roman" w:hAnsi="Times New Roman"/>
                <w:i/>
                <w:szCs w:val="24"/>
              </w:rPr>
              <w:t>Claudinéia Barbosa dos Santos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18D3FC03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6976EEE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6738E47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6FB277B4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2609980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6A068E">
        <w:rPr>
          <w:rFonts w:ascii="Times New Roman" w:hAnsi="Times New Roman"/>
          <w:szCs w:val="24"/>
        </w:rPr>
        <w:t>12</w:t>
      </w:r>
      <w:r w:rsidR="006A068E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76B22">
        <w:rPr>
          <w:rFonts w:ascii="Times New Roman" w:hAnsi="Times New Roman"/>
          <w:szCs w:val="24"/>
        </w:rPr>
        <w:t xml:space="preserve">novembro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92DB" w14:textId="77777777" w:rsidR="009E3BEF" w:rsidRDefault="009E3BEF" w:rsidP="007410D7">
      <w:r>
        <w:separator/>
      </w:r>
    </w:p>
  </w:endnote>
  <w:endnote w:type="continuationSeparator" w:id="0">
    <w:p w14:paraId="3A3151CA" w14:textId="77777777" w:rsidR="009E3BEF" w:rsidRDefault="009E3BEF" w:rsidP="007410D7">
      <w:r>
        <w:continuationSeparator/>
      </w:r>
    </w:p>
  </w:endnote>
  <w:endnote w:type="continuationNotice" w:id="1">
    <w:p w14:paraId="65F3DA00" w14:textId="77777777" w:rsidR="009E3BEF" w:rsidRDefault="009E3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25C56" w14:textId="77777777" w:rsidR="009E3BEF" w:rsidRDefault="009E3BEF" w:rsidP="007410D7">
      <w:r>
        <w:separator/>
      </w:r>
    </w:p>
  </w:footnote>
  <w:footnote w:type="continuationSeparator" w:id="0">
    <w:p w14:paraId="41E123BF" w14:textId="77777777" w:rsidR="009E3BEF" w:rsidRDefault="009E3BEF" w:rsidP="007410D7">
      <w:r>
        <w:continuationSeparator/>
      </w:r>
    </w:p>
  </w:footnote>
  <w:footnote w:type="continuationNotice" w:id="1">
    <w:p w14:paraId="2D4AE32B" w14:textId="77777777" w:rsidR="009E3BEF" w:rsidRDefault="009E3B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5918F1B2" w:rsidR="00EB2667" w:rsidRPr="00C76B22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1121EC">
      <w:rPr>
        <w:rFonts w:ascii="Times New Roman" w:hAnsi="Times New Roman"/>
        <w:b/>
        <w:szCs w:val="24"/>
      </w:rPr>
      <w:t>12</w:t>
    </w:r>
    <w:r w:rsidR="001121EC"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C76B22" w:rsidRPr="00C76B22">
      <w:rPr>
        <w:rFonts w:ascii="Times New Roman" w:hAnsi="Times New Roman"/>
        <w:b/>
        <w:smallCaps/>
        <w:szCs w:val="24"/>
      </w:rPr>
      <w:t xml:space="preserve">NOVEMBRO </w:t>
    </w:r>
    <w:r w:rsidRPr="00C76B22">
      <w:rPr>
        <w:rFonts w:ascii="Times New Roman" w:hAnsi="Times New Roman"/>
        <w:b/>
        <w:smallCaps/>
        <w:szCs w:val="24"/>
      </w:rPr>
      <w:t>DE 20</w:t>
    </w:r>
    <w:r w:rsidR="00CC3EC0" w:rsidRPr="00C76B22">
      <w:rPr>
        <w:rFonts w:ascii="Times New Roman" w:hAnsi="Times New Roman"/>
        <w:b/>
        <w:smallCaps/>
        <w:szCs w:val="24"/>
      </w:rPr>
      <w:t>20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152B95B0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3855FD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3855FD">
      <w:rPr>
        <w:rFonts w:ascii="Times New Roman" w:hAnsi="Times New Roman"/>
        <w:b/>
        <w:bCs/>
        <w:noProof/>
      </w:rPr>
      <w:t>11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5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7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21"/>
  </w:num>
  <w:num w:numId="15">
    <w:abstractNumId w:val="13"/>
  </w:num>
  <w:num w:numId="16">
    <w:abstractNumId w:val="9"/>
  </w:num>
  <w:num w:numId="17">
    <w:abstractNumId w:val="4"/>
  </w:num>
  <w:num w:numId="18">
    <w:abstractNumId w:val="16"/>
  </w:num>
  <w:num w:numId="19">
    <w:abstractNumId w:val="5"/>
  </w:num>
  <w:num w:numId="20">
    <w:abstractNumId w:val="12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3EF6"/>
    <w:rsid w:val="00064E6B"/>
    <w:rsid w:val="00065590"/>
    <w:rsid w:val="0006797E"/>
    <w:rsid w:val="000704B4"/>
    <w:rsid w:val="00073CAE"/>
    <w:rsid w:val="00074543"/>
    <w:rsid w:val="0008060D"/>
    <w:rsid w:val="00081F4E"/>
    <w:rsid w:val="00085DF3"/>
    <w:rsid w:val="000925BB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65B61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4A72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ABA"/>
    <w:rsid w:val="003A63DD"/>
    <w:rsid w:val="003B03B0"/>
    <w:rsid w:val="003B09DC"/>
    <w:rsid w:val="003B21BE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21425"/>
    <w:rsid w:val="00422E52"/>
    <w:rsid w:val="00424472"/>
    <w:rsid w:val="00425DDC"/>
    <w:rsid w:val="004271F3"/>
    <w:rsid w:val="0043422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B66A2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6061C"/>
    <w:rsid w:val="00563755"/>
    <w:rsid w:val="005655A1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73C9"/>
    <w:rsid w:val="006325A8"/>
    <w:rsid w:val="00633A34"/>
    <w:rsid w:val="006346C3"/>
    <w:rsid w:val="0063496A"/>
    <w:rsid w:val="0064396E"/>
    <w:rsid w:val="00644DDD"/>
    <w:rsid w:val="00650EE3"/>
    <w:rsid w:val="00656E78"/>
    <w:rsid w:val="00657014"/>
    <w:rsid w:val="0065792B"/>
    <w:rsid w:val="00657DB6"/>
    <w:rsid w:val="00660B92"/>
    <w:rsid w:val="00660EE1"/>
    <w:rsid w:val="00673F6E"/>
    <w:rsid w:val="006746BA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C18A1"/>
    <w:rsid w:val="006C19D4"/>
    <w:rsid w:val="006C3D5B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0B29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3286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6758"/>
    <w:rsid w:val="00A767B3"/>
    <w:rsid w:val="00A87112"/>
    <w:rsid w:val="00A90D0D"/>
    <w:rsid w:val="00A92C9A"/>
    <w:rsid w:val="00A9300D"/>
    <w:rsid w:val="00AA0F47"/>
    <w:rsid w:val="00AA3149"/>
    <w:rsid w:val="00AA3B71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0C4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356B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9E3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C5214-E64E-4EFB-9DAF-2C84DE1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1773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11328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ALINE PAPILe</cp:lastModifiedBy>
  <cp:revision>15</cp:revision>
  <cp:lastPrinted>2020-06-11T14:18:00Z</cp:lastPrinted>
  <dcterms:created xsi:type="dcterms:W3CDTF">2020-11-10T19:45:00Z</dcterms:created>
  <dcterms:modified xsi:type="dcterms:W3CDTF">2020-11-10T20:47:00Z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