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lang w:eastAsia="en-GB"/>
        </w:rPr>
        <w:t>SÃO JOÃO ENERGÉTICA</w:t>
      </w:r>
      <w:r w:rsidRPr="00DA77FC">
        <w:rPr>
          <w:rFonts w:ascii="Tahoma" w:eastAsia="Cambria" w:hAnsi="Tahoma" w:cs="Tahoma"/>
          <w:b/>
          <w:lang w:eastAsia="en-GB"/>
        </w:rPr>
        <w:t xml:space="preserve">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C95AED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NIRE nº </w:t>
      </w:r>
      <w:bookmarkStart w:id="0" w:name="_Hlk58536892"/>
      <w:r w:rsidRPr="00DA77FC" w:rsidR="00C95AED">
        <w:rPr>
          <w:rFonts w:ascii="Tahoma" w:eastAsia="Cambria" w:hAnsi="Tahoma" w:cs="Tahoma"/>
          <w:lang w:eastAsia="en-GB"/>
        </w:rPr>
        <w:t>33.3.0032311-2</w:t>
      </w:r>
      <w:bookmarkEnd w:id="0"/>
    </w:p>
    <w:p w:rsidR="005272B8" w:rsidRPr="00DA77FC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(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PRIMEIRA</w:t>
      </w:r>
      <w:r w:rsidRPr="00DA77FC" w:rsidR="00C60A84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2 (</w:t>
      </w:r>
      <w:r w:rsidRPr="00DA77FC">
        <w:rPr>
          <w:rFonts w:ascii="Tahoma" w:eastAsia="Cambria" w:hAnsi="Tahoma" w:cs="Tahoma"/>
          <w:b/>
          <w:smallCaps/>
          <w:lang w:eastAsia="en-GB"/>
        </w:rPr>
        <w:t>DUAS</w:t>
      </w:r>
      <w:r w:rsidRPr="00DA77FC" w:rsidR="001E0652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SÉRIES,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DA ESPÉCIE QUIROGRAFÁRIA, COM GARANTIA REAL E FIDEJUSSÓRIA ADICIONAL</w:t>
      </w:r>
      <w:r w:rsidR="00464E2C">
        <w:rPr>
          <w:rFonts w:ascii="Tahoma" w:eastAsia="Cambria" w:hAnsi="Tahoma" w:cs="Tahoma"/>
          <w:b/>
          <w:smallCaps/>
          <w:lang w:eastAsia="en-GB"/>
        </w:rPr>
        <w:t>,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Pr="00DA77FC" w:rsidR="00C95AED">
        <w:rPr>
          <w:rFonts w:ascii="Tahoma" w:eastAsia="Cambria" w:hAnsi="Tahoma" w:cs="Tahoma"/>
          <w:b/>
          <w:smallCaps/>
          <w:lang w:eastAsia="en-GB"/>
        </w:rPr>
        <w:t>SÃO JOÃO ENERGÉTICA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S.A., REALIZADA EM </w:t>
      </w:r>
      <w:r w:rsidRPr="00DA77FC" w:rsidR="00C95AED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10</w:t>
      </w:r>
      <w:r w:rsidRPr="00DA77FC" w:rsidR="00C95AED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 xml:space="preserve">DE </w:t>
      </w:r>
      <w:r w:rsidRPr="00DA77FC" w:rsidR="00C95AED">
        <w:rPr>
          <w:rFonts w:ascii="Tahoma" w:eastAsia="Times New Roman" w:hAnsi="Tahoma" w:cs="Tahoma"/>
          <w:b/>
          <w:bCs/>
          <w:lang w:eastAsia="en-GB"/>
        </w:rPr>
        <w:t>[</w:t>
      </w:r>
      <w:r w:rsidR="00DA77FC">
        <w:rPr>
          <w:rFonts w:ascii="Tahoma" w:eastAsia="Times New Roman" w:hAnsi="Tahoma" w:cs="Tahoma"/>
          <w:b/>
          <w:bCs/>
          <w:highlight w:val="yellow"/>
          <w:lang w:eastAsia="en-GB"/>
        </w:rPr>
        <w:t>AGOSTO</w:t>
      </w:r>
      <w:r w:rsidRPr="00DA77FC" w:rsidR="00C95AED">
        <w:rPr>
          <w:rFonts w:ascii="Tahoma" w:eastAsia="Times New Roman" w:hAnsi="Tahoma" w:cs="Tahoma"/>
          <w:b/>
          <w:bCs/>
          <w:lang w:eastAsia="en-GB"/>
        </w:rPr>
        <w:t xml:space="preserve">] </w:t>
      </w:r>
      <w:r w:rsidRPr="00DA77FC">
        <w:rPr>
          <w:rFonts w:ascii="Tahoma" w:eastAsia="Times New Roman" w:hAnsi="Tahoma" w:cs="Tahoma"/>
          <w:b/>
          <w:bCs/>
          <w:lang w:eastAsia="en-GB"/>
        </w:rPr>
        <w:t>DE 2021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Pr="00DA77FC" w:rsidR="00926710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A77FC">
        <w:rPr>
          <w:rFonts w:ascii="Tahoma" w:eastAsia="Times New Roman" w:hAnsi="Tahoma" w:cs="Tahoma"/>
          <w:lang w:eastAsia="en-GB"/>
        </w:rPr>
        <w:t>[10]</w:t>
      </w:r>
      <w:r w:rsidRPr="00DA77FC" w:rsidR="00C95AED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Pr="00DA77FC" w:rsidR="005A5EA2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Pr="00DA77FC" w:rsidR="00C95AED">
        <w:rPr>
          <w:rFonts w:ascii="Tahoma" w:eastAsia="Times New Roman" w:hAnsi="Tahoma" w:cs="Tahoma"/>
          <w:lang w:eastAsia="en-GB"/>
        </w:rPr>
        <w:t>[</w:t>
      </w:r>
      <w:r w:rsidRPr="00DA77FC" w:rsidR="00DA77FC">
        <w:rPr>
          <w:rFonts w:ascii="Tahoma" w:eastAsia="Times New Roman" w:hAnsi="Tahoma" w:cs="Tahoma"/>
          <w:lang w:eastAsia="en-GB"/>
        </w:rPr>
        <w:t>agosto</w:t>
      </w:r>
      <w:r w:rsidRPr="00DA77FC" w:rsidR="00C95AED">
        <w:rPr>
          <w:rFonts w:ascii="Tahoma" w:eastAsia="Times New Roman" w:hAnsi="Tahoma" w:cs="Tahoma"/>
          <w:lang w:eastAsia="en-GB"/>
        </w:rPr>
        <w:t xml:space="preserve">]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Pr="00DA77FC" w:rsidR="00C95AED">
        <w:rPr>
          <w:rFonts w:ascii="Tahoma" w:eastAsia="Times New Roman" w:hAnsi="Tahoma" w:cs="Tahoma"/>
          <w:lang w:eastAsia="en-GB"/>
        </w:rPr>
        <w:t>[</w:t>
      </w:r>
      <w:r w:rsidRPr="00DA77FC" w:rsidR="00544218">
        <w:rPr>
          <w:rFonts w:ascii="Tahoma" w:eastAsia="Times New Roman" w:hAnsi="Tahoma" w:cs="Tahoma"/>
          <w:lang w:eastAsia="en-GB"/>
        </w:rPr>
        <w:t>10</w:t>
      </w:r>
      <w:r w:rsidRPr="00DA77FC" w:rsidR="00C95AED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Pr="00DA77FC" w:rsidR="00C95AED">
        <w:rPr>
          <w:rFonts w:ascii="Tahoma" w:eastAsia="Times New Roman" w:hAnsi="Tahoma" w:cs="Tahoma"/>
          <w:lang w:eastAsia="en-GB"/>
        </w:rPr>
        <w:t>São João Energética</w:t>
      </w:r>
      <w:r w:rsidRPr="00DA77FC">
        <w:rPr>
          <w:rFonts w:ascii="Tahoma" w:eastAsia="Times New Roman" w:hAnsi="Tahoma" w:cs="Tahoma"/>
          <w:lang w:eastAsia="en-GB"/>
        </w:rPr>
        <w:t xml:space="preserve"> S.A.,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Cidade </w:t>
      </w:r>
      <w:r w:rsidRPr="00DA77FC" w:rsidR="00C95AED">
        <w:rPr>
          <w:rFonts w:ascii="Tahoma" w:eastAsia="Times New Roman" w:hAnsi="Tahoma" w:cs="Tahoma"/>
          <w:lang w:eastAsia="en-GB"/>
        </w:rPr>
        <w:t xml:space="preserve">do Rio de Janeiro, Estado do Rio de Janeiro, na Avenida Almirante Júlio de Sá </w:t>
      </w:r>
      <w:r w:rsidRPr="00DA77FC" w:rsidR="00C95AED">
        <w:rPr>
          <w:rFonts w:ascii="Tahoma" w:eastAsia="Times New Roman" w:hAnsi="Tahoma" w:cs="Tahoma"/>
          <w:lang w:eastAsia="en-GB"/>
        </w:rPr>
        <w:t>Bierrenbach</w:t>
      </w:r>
      <w:r w:rsidRPr="00DA77FC" w:rsidR="00C95AED">
        <w:rPr>
          <w:rFonts w:ascii="Tahoma" w:eastAsia="Times New Roman" w:hAnsi="Tahoma" w:cs="Tahoma"/>
          <w:lang w:eastAsia="en-GB"/>
        </w:rPr>
        <w:t xml:space="preserve"> nº 200, Edifício Pacific Tower, bloco 02, 2º e 4º andares, salas 201</w:t>
      </w:r>
      <w:r w:rsidRPr="00DA77FC" w:rsidR="00602061">
        <w:rPr>
          <w:rFonts w:ascii="Tahoma" w:eastAsia="Times New Roman" w:hAnsi="Tahoma" w:cs="Tahoma"/>
          <w:lang w:eastAsia="en-GB"/>
        </w:rPr>
        <w:t xml:space="preserve"> </w:t>
      </w:r>
      <w:r w:rsidRPr="00DA77FC" w:rsidR="00C95AED">
        <w:rPr>
          <w:rFonts w:ascii="Tahoma" w:eastAsia="Times New Roman" w:hAnsi="Tahoma" w:cs="Tahoma"/>
          <w:lang w:eastAsia="en-GB"/>
        </w:rPr>
        <w:t>a 204 e 401 a 404, Jacarepaguá, CEP 22775-028.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Pr="00DA77FC" w:rsidR="005011C1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Pr="00DA77FC" w:rsidR="001E0652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Pr="00DA77FC" w:rsidR="00DC57B8">
        <w:rPr>
          <w:rFonts w:ascii="Tahoma" w:eastAsia="Times New Roman" w:hAnsi="Tahoma" w:cs="Tahoma"/>
          <w:lang w:eastAsia="en-GB"/>
        </w:rPr>
        <w:t xml:space="preserve">1ª </w:t>
      </w:r>
      <w:r w:rsidRPr="00DA77FC" w:rsidR="00C60A84">
        <w:rPr>
          <w:rFonts w:ascii="Tahoma" w:eastAsia="Times New Roman" w:hAnsi="Tahoma" w:cs="Tahoma"/>
          <w:lang w:eastAsia="en-GB"/>
        </w:rPr>
        <w:t>(</w:t>
      </w:r>
      <w:r w:rsidRPr="00DA77FC" w:rsidR="00DC57B8">
        <w:rPr>
          <w:rFonts w:ascii="Tahoma" w:eastAsia="Times New Roman" w:hAnsi="Tahoma" w:cs="Tahoma"/>
          <w:lang w:eastAsia="en-GB"/>
        </w:rPr>
        <w:t>Primeira</w:t>
      </w:r>
      <w:r w:rsidRPr="00DA77FC" w:rsidR="00C60A84">
        <w:rPr>
          <w:rFonts w:ascii="Tahoma" w:eastAsia="Times New Roman" w:hAnsi="Tahoma" w:cs="Tahoma"/>
          <w:lang w:eastAsia="en-GB"/>
        </w:rPr>
        <w:t>)</w:t>
      </w:r>
      <w:r w:rsidRPr="00DA77FC">
        <w:rPr>
          <w:rFonts w:ascii="Tahoma" w:eastAsia="Times New Roman" w:hAnsi="Tahoma" w:cs="Tahoma"/>
          <w:lang w:eastAsia="en-GB"/>
        </w:rPr>
        <w:t xml:space="preserve"> Emissão de Debêntures Simples, Não Conversíveis em Ações, </w:t>
      </w:r>
      <w:r w:rsidRPr="00DA77FC" w:rsidR="00A251C3">
        <w:rPr>
          <w:rFonts w:ascii="Tahoma" w:eastAsia="Times New Roman" w:hAnsi="Tahoma" w:cs="Tahoma"/>
          <w:lang w:eastAsia="en-GB"/>
        </w:rPr>
        <w:t>em 2 (duas) Séries,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 w:rsidR="00DC57B8">
        <w:rPr>
          <w:rFonts w:ascii="Tahoma" w:eastAsia="Times New Roman" w:hAnsi="Tahoma" w:cs="Tahoma"/>
          <w:lang w:eastAsia="en-GB"/>
        </w:rPr>
        <w:t xml:space="preserve">da Espécie Quirografária, com Garantia Real e Fidejussória Adicional, </w:t>
      </w:r>
      <w:r w:rsidRPr="00DA77FC">
        <w:rPr>
          <w:rFonts w:ascii="Tahoma" w:eastAsia="Times New Roman" w:hAnsi="Tahoma" w:cs="Tahoma"/>
          <w:lang w:eastAsia="en-GB"/>
        </w:rPr>
        <w:t>para Distribuição Pública, com Esforços Restritos</w:t>
      </w:r>
      <w:r w:rsidRPr="00DA77FC" w:rsidR="00A251C3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Pr="00DA77FC" w:rsidR="001E0652">
        <w:rPr>
          <w:rFonts w:ascii="Tahoma" w:eastAsia="Times New Roman" w:hAnsi="Tahoma" w:cs="Tahoma"/>
          <w:lang w:eastAsia="en-GB"/>
        </w:rPr>
        <w:t>“</w:t>
      </w:r>
      <w:r w:rsidRPr="00DA77FC" w:rsidR="001E0652">
        <w:rPr>
          <w:rFonts w:ascii="Tahoma" w:eastAsia="Times New Roman" w:hAnsi="Tahoma" w:cs="Tahoma"/>
          <w:b/>
          <w:lang w:eastAsia="en-GB"/>
        </w:rPr>
        <w:t>Debenturista</w:t>
      </w:r>
      <w:r w:rsidRPr="00DA77FC" w:rsidR="00C60A84">
        <w:rPr>
          <w:rFonts w:ascii="Tahoma" w:eastAsia="Times New Roman" w:hAnsi="Tahoma" w:cs="Tahoma"/>
          <w:b/>
          <w:lang w:eastAsia="en-GB"/>
        </w:rPr>
        <w:t>s</w:t>
      </w:r>
      <w:r w:rsidRPr="00DA77FC" w:rsidR="001E0652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Pr="00DA77FC" w:rsidR="001E0652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 w:rsidR="00DC57B8">
        <w:rPr>
          <w:rFonts w:ascii="Tahoma" w:eastAsia="Times New Roman" w:hAnsi="Tahoma" w:cs="Tahoma"/>
          <w:b/>
          <w:bCs/>
          <w:lang w:eastAsia="en-GB"/>
        </w:rPr>
        <w:t xml:space="preserve">Primeira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>”) e do artigo 71, parágrafo 2º, e artigo 124, 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Pr="00DA77FC" w:rsidR="00DC57B8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Pr="00DA77FC" w:rsidR="00DC57B8">
        <w:rPr>
          <w:rFonts w:ascii="Tahoma" w:eastAsia="Times New Roman" w:hAnsi="Tahoma" w:cs="Tahoma"/>
          <w:iCs/>
          <w:lang w:eastAsia="en-GB"/>
        </w:rPr>
        <w:t>de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Emissão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Pública 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em Duas Séries, </w:t>
      </w:r>
      <w:r w:rsidRPr="00DA77FC" w:rsidR="00A251C3">
        <w:rPr>
          <w:rFonts w:ascii="Tahoma" w:eastAsia="Times New Roman" w:hAnsi="Tahoma" w:cs="Tahoma"/>
          <w:iCs/>
          <w:lang w:eastAsia="en-GB"/>
        </w:rPr>
        <w:t>da Espécie Quirografária</w:t>
      </w:r>
      <w:r w:rsidRPr="00DA77FC" w:rsidR="00DC57B8">
        <w:rPr>
          <w:rFonts w:ascii="Tahoma" w:eastAsia="Times New Roman" w:hAnsi="Tahoma" w:cs="Tahoma"/>
          <w:iCs/>
          <w:lang w:eastAsia="en-GB"/>
        </w:rPr>
        <w:t>,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com Garantia Real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 e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Fidejussória Adicional, da </w:t>
      </w:r>
      <w:r w:rsidRPr="00DA77FC" w:rsidR="00DC57B8">
        <w:rPr>
          <w:rFonts w:ascii="Tahoma" w:eastAsia="Times New Roman" w:hAnsi="Tahoma" w:cs="Tahoma"/>
          <w:iCs/>
          <w:lang w:eastAsia="en-GB"/>
        </w:rPr>
        <w:t>Primeira Emissão da São João Energética</w:t>
      </w:r>
      <w:r w:rsidRPr="00DA77FC" w:rsidR="00A251C3">
        <w:rPr>
          <w:rFonts w:ascii="Tahoma" w:eastAsia="Times New Roman" w:hAnsi="Tahoma" w:cs="Tahoma"/>
          <w:iCs/>
          <w:lang w:eastAsia="en-GB"/>
        </w:rPr>
        <w:t xml:space="preserve"> S.A.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11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dezembro </w:t>
      </w:r>
      <w:r w:rsidRPr="00DA77FC" w:rsidR="001E0652">
        <w:rPr>
          <w:rFonts w:ascii="Tahoma" w:eastAsia="Times New Roman" w:hAnsi="Tahoma" w:cs="Tahoma"/>
          <w:iCs/>
          <w:lang w:eastAsia="en-GB"/>
        </w:rPr>
        <w:t xml:space="preserve">de </w:t>
      </w:r>
      <w:r w:rsidRPr="00DA77FC" w:rsidR="00DC57B8">
        <w:rPr>
          <w:rFonts w:ascii="Tahoma" w:eastAsia="Times New Roman" w:hAnsi="Tahoma" w:cs="Tahoma"/>
          <w:iCs/>
          <w:lang w:eastAsia="en-GB"/>
        </w:rPr>
        <w:t xml:space="preserve">2019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:rsidR="00602061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</w:t>
      </w:r>
      <w:r w:rsidRPr="00DA77FC">
        <w:rPr>
          <w:rFonts w:ascii="Tahoma" w:eastAsia="Times New Roman" w:hAnsi="Tahoma" w:cs="Tahoma"/>
          <w:lang w:eastAsia="en-GB"/>
        </w:rPr>
        <w:t>ii</w:t>
      </w:r>
      <w:r w:rsidRPr="00DA77FC">
        <w:rPr>
          <w:rFonts w:ascii="Tahoma" w:eastAsia="Times New Roman" w:hAnsi="Tahoma" w:cs="Tahoma"/>
          <w:lang w:eastAsia="en-GB"/>
        </w:rPr>
        <w:t>) os representantes do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C60A84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, </w:t>
      </w:r>
      <w:r w:rsidRPr="00DA77FC" w:rsidR="00DC57B8">
        <w:rPr>
          <w:rFonts w:ascii="Tahoma" w:eastAsia="Times New Roman" w:hAnsi="Tahoma" w:cs="Tahoma"/>
          <w:lang w:eastAsia="en-GB"/>
        </w:rPr>
        <w:t>[</w:t>
      </w:r>
      <w:r w:rsidRPr="00DA77FC">
        <w:rPr>
          <w:rFonts w:ascii="Tahoma" w:eastAsia="Times New Roman" w:hAnsi="Tahoma" w:cs="Tahoma"/>
          <w:lang w:eastAsia="en-GB"/>
        </w:rPr>
        <w:t>conforme se verificou da assinatura da Lista de Presença de Debenturistas</w:t>
      </w:r>
      <w:r w:rsidRPr="00DA77FC" w:rsidR="00DC57B8">
        <w:rPr>
          <w:rFonts w:ascii="Tahoma" w:eastAsia="Times New Roman" w:hAnsi="Tahoma" w:cs="Tahoma"/>
          <w:lang w:eastAsia="en-GB"/>
        </w:rPr>
        <w:t>]</w:t>
      </w:r>
      <w:r w:rsidRPr="00DA77FC">
        <w:rPr>
          <w:rFonts w:ascii="Tahoma" w:eastAsia="Times New Roman" w:hAnsi="Tahoma" w:cs="Tahoma"/>
          <w:lang w:eastAsia="en-GB"/>
        </w:rPr>
        <w:t>; e (</w:t>
      </w:r>
      <w:r w:rsidRPr="00DA77FC">
        <w:rPr>
          <w:rFonts w:ascii="Tahoma" w:eastAsia="Times New Roman" w:hAnsi="Tahoma" w:cs="Tahoma"/>
          <w:lang w:eastAsia="en-GB"/>
        </w:rPr>
        <w:t>iii</w:t>
      </w:r>
      <w:r w:rsidRPr="00DA77FC">
        <w:rPr>
          <w:rFonts w:ascii="Tahoma" w:eastAsia="Times New Roman" w:hAnsi="Tahoma" w:cs="Tahoma"/>
          <w:lang w:eastAsia="en-GB"/>
        </w:rPr>
        <w:t xml:space="preserve">) </w:t>
      </w:r>
      <w:r w:rsidRPr="00DA77FC" w:rsidR="00C60A84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representante </w:t>
      </w:r>
      <w:bookmarkStart w:id="1" w:name="_Hlk522009771"/>
      <w:r w:rsidRPr="00DA77FC" w:rsidR="00DC57B8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1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>”), conforme assinaturas constantes ao final desta ata.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Pr="00DA77FC" w:rsidR="005A1D1A">
        <w:rPr>
          <w:rFonts w:ascii="Tahoma" w:hAnsi="Tahoma" w:cs="Tahoma"/>
          <w:lang w:eastAsia="en-GB"/>
        </w:rPr>
        <w:t xml:space="preserve">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>
        <w:rPr>
          <w:rFonts w:ascii="Tahoma" w:hAnsi="Tahoma" w:cs="Tahoma"/>
          <w:lang w:eastAsia="en-GB"/>
        </w:rPr>
        <w:t xml:space="preserve">; </w:t>
      </w:r>
      <w:r w:rsidRPr="00DA77FC">
        <w:rPr>
          <w:rFonts w:ascii="Tahoma" w:hAnsi="Tahoma" w:cs="Tahoma"/>
          <w:u w:val="single"/>
          <w:lang w:eastAsia="en-GB"/>
        </w:rPr>
        <w:t>Secretário</w:t>
      </w:r>
      <w:r w:rsidRPr="00DA77FC">
        <w:rPr>
          <w:rFonts w:ascii="Tahoma" w:hAnsi="Tahoma" w:cs="Tahoma"/>
          <w:lang w:eastAsia="en-GB"/>
        </w:rPr>
        <w:t xml:space="preserve">: </w:t>
      </w:r>
      <w:r w:rsidRPr="00DA77FC" w:rsidR="00DC57B8">
        <w:rPr>
          <w:rFonts w:ascii="Tahoma" w:hAnsi="Tahoma" w:cs="Tahoma"/>
          <w:lang w:eastAsia="pt-BR"/>
        </w:rPr>
        <w:t>[</w:t>
      </w:r>
      <w:r w:rsidRPr="00DA77FC" w:rsidR="00DC57B8">
        <w:rPr>
          <w:rFonts w:ascii="Tahoma" w:hAnsi="Tahoma" w:cs="Tahoma"/>
          <w:highlight w:val="yellow"/>
          <w:lang w:eastAsia="pt-BR"/>
        </w:rPr>
        <w:t>=</w:t>
      </w:r>
      <w:r w:rsidRPr="00DA77FC" w:rsidR="00DC57B8">
        <w:rPr>
          <w:rFonts w:ascii="Tahoma" w:hAnsi="Tahoma" w:cs="Tahoma"/>
          <w:lang w:eastAsia="pt-BR"/>
        </w:rPr>
        <w:t>]</w:t>
      </w:r>
      <w:r w:rsidRPr="00DA77FC" w:rsidR="0019102E">
        <w:rPr>
          <w:rFonts w:ascii="Tahoma" w:hAnsi="Tahoma" w:cs="Tahoma"/>
          <w:lang w:eastAsia="en-GB"/>
        </w:rPr>
        <w:t>.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b/>
          <w:bCs/>
          <w:i/>
          <w:iCs/>
          <w:lang w:eastAsia="en-GB"/>
        </w:rPr>
        <w:t xml:space="preserve"> </w:t>
      </w:r>
    </w:p>
    <w:p w:rsidR="00B362DB" w:rsidRPr="00DA77FC" w:rsidP="00DA77FC">
      <w:pPr>
        <w:pStyle w:val="ListParagraph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convocação, </w:t>
      </w:r>
      <w:r w:rsidR="009E4AFB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 xml:space="preserve">bem como o instrumento de mandato dos representantes do Debenturista presente, declarando </w:t>
      </w:r>
      <w:r w:rsidR="008E2BC1">
        <w:rPr>
          <w:rFonts w:ascii="Tahoma" w:eastAsia="Times New Roman" w:hAnsi="Tahoma" w:cs="Tahoma"/>
          <w:lang w:eastAsia="pt-BR"/>
        </w:rPr>
        <w:t>[</w:t>
      </w:r>
      <w:r w:rsidRPr="00DA77FC">
        <w:rPr>
          <w:rFonts w:ascii="Tahoma" w:eastAsia="Times New Roman" w:hAnsi="Tahoma" w:cs="Tahoma"/>
          <w:lang w:eastAsia="pt-BR"/>
        </w:rPr>
        <w:t>o Sr.</w:t>
      </w:r>
      <w:r w:rsidR="008E2BC1">
        <w:rPr>
          <w:rFonts w:ascii="Tahoma" w:eastAsia="Times New Roman" w:hAnsi="Tahoma" w:cs="Tahoma"/>
          <w:lang w:eastAsia="pt-BR"/>
        </w:rPr>
        <w:t>/a Sra.]</w:t>
      </w:r>
      <w:r w:rsidRPr="00DA77FC">
        <w:rPr>
          <w:rFonts w:ascii="Tahoma" w:eastAsia="Times New Roman" w:hAnsi="Tahoma" w:cs="Tahoma"/>
          <w:lang w:eastAsia="pt-BR"/>
        </w:rPr>
        <w:t xml:space="preserve"> Presidente instalada a presente Assembleia</w:t>
      </w:r>
      <w:r w:rsidR="009E4AFB">
        <w:rPr>
          <w:rFonts w:ascii="Tahoma" w:eastAsia="Times New Roman" w:hAnsi="Tahoma" w:cs="Tahoma"/>
          <w:lang w:eastAsia="pt-BR"/>
        </w:rPr>
        <w:t>]</w:t>
      </w:r>
      <w:r w:rsidRPr="00DA77FC">
        <w:rPr>
          <w:rFonts w:ascii="Tahoma" w:eastAsia="Times New Roman" w:hAnsi="Tahoma" w:cs="Tahoma"/>
          <w:lang w:eastAsia="pt-BR"/>
        </w:rPr>
        <w:t>. Em seguida, foi realizada a leitura da Ordem do Dia.</w:t>
      </w:r>
    </w:p>
    <w:p w:rsidR="005272B8" w:rsidRPr="00DA77FC" w:rsidP="00DA77FC">
      <w:pPr>
        <w:pStyle w:val="ListParagraph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Pr="00DA77FC" w:rsidR="00B22F65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 w:rsidRPr="00755736" w:rsidR="00755736">
        <w:rPr>
          <w:rFonts w:ascii="Tahoma" w:eastAsia="Times New Roman" w:hAnsi="Tahoma" w:cs="Tahoma"/>
          <w:lang w:eastAsia="pt-BR"/>
        </w:rPr>
        <w:t>estender a outorga da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Debeturistas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9E368D">
        <w:rPr>
          <w:rFonts w:ascii="Tahoma" w:eastAsia="Times New Roman" w:hAnsi="Tahoma" w:cs="Tahoma"/>
          <w:lang w:eastAsia="pt-BR"/>
        </w:rPr>
        <w:t>para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Pr="00755736" w:rsidR="00755736">
        <w:rPr>
          <w:rFonts w:ascii="Tahoma" w:eastAsia="Times New Roman" w:hAnsi="Tahoma" w:cs="Tahoma"/>
          <w:lang w:eastAsia="pt-BR"/>
        </w:rPr>
        <w:t xml:space="preserve"> titulares das </w:t>
      </w:r>
      <w:r w:rsidRPr="00DA77FC" w:rsidR="00755736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Pr="00DA77FC" w:rsidR="00755736">
        <w:rPr>
          <w:rFonts w:ascii="Tahoma" w:eastAsia="Times New Roman" w:hAnsi="Tahoma" w:cs="Tahoma"/>
          <w:lang w:eastAsia="pt-BR"/>
        </w:rPr>
        <w:t>da espécie quirografária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com garantia real e fidejussória adicional</w:t>
      </w:r>
      <w:r w:rsidR="00755736">
        <w:rPr>
          <w:rFonts w:ascii="Tahoma" w:eastAsia="Times New Roman" w:hAnsi="Tahoma" w:cs="Tahoma"/>
          <w:lang w:eastAsia="pt-BR"/>
        </w:rPr>
        <w:t>,</w:t>
      </w:r>
      <w:r w:rsidRPr="00DA77FC" w:rsidR="00755736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Pr="00DA77FC" w:rsidR="00755736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Pr="00E41304" w:rsidR="00755736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Pr="00E41304" w:rsidR="00755736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Pr="00755736" w:rsid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 w:rsidR="003B5232">
        <w:rPr>
          <w:rFonts w:ascii="Tahoma" w:eastAsia="Times New Roman" w:hAnsi="Tahoma" w:cs="Tahoma"/>
          <w:lang w:eastAsia="pt-BR"/>
        </w:rPr>
        <w:t>a Cessão Fiduci</w:t>
      </w:r>
      <w:r w:rsidR="003B5232">
        <w:rPr>
          <w:rFonts w:ascii="Tahoma" w:eastAsia="Times New Roman" w:hAnsi="Tahoma" w:cs="Tahoma"/>
          <w:lang w:eastAsia="pt-BR"/>
        </w:rPr>
        <w:t>á</w:t>
      </w:r>
      <w:r w:rsidRPr="00755736" w:rsidR="003B5232">
        <w:rPr>
          <w:rFonts w:ascii="Tahoma" w:eastAsia="Times New Roman" w:hAnsi="Tahoma" w:cs="Tahoma"/>
          <w:lang w:eastAsia="pt-BR"/>
        </w:rPr>
        <w:t>ria</w:t>
      </w:r>
      <w:r w:rsidR="003B5232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 w:rsidR="003B5232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Pr="00755736" w:rsidR="003B5232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 w:rsidR="003B5232">
        <w:rPr>
          <w:rFonts w:ascii="Tahoma" w:eastAsia="Times New Roman" w:hAnsi="Tahoma" w:cs="Tahoma"/>
          <w:lang w:eastAsia="pt-BR"/>
        </w:rPr>
        <w:t xml:space="preserve"> e os titulares das </w:t>
      </w:r>
      <w:r w:rsidR="003B5232">
        <w:rPr>
          <w:rFonts w:ascii="Tahoma" w:eastAsia="Times New Roman" w:hAnsi="Tahoma" w:cs="Tahoma"/>
          <w:lang w:eastAsia="pt-BR"/>
        </w:rPr>
        <w:t>D</w:t>
      </w:r>
      <w:r w:rsidRPr="00755736" w:rsidR="003B5232">
        <w:rPr>
          <w:rFonts w:ascii="Tahoma" w:eastAsia="Times New Roman" w:hAnsi="Tahoma" w:cs="Tahoma"/>
          <w:lang w:eastAsia="pt-BR"/>
        </w:rPr>
        <w:t>eb</w:t>
      </w:r>
      <w:r w:rsidR="003B5232">
        <w:rPr>
          <w:rFonts w:ascii="Tahoma" w:eastAsia="Times New Roman" w:hAnsi="Tahoma" w:cs="Tahoma"/>
          <w:lang w:eastAsia="pt-BR"/>
        </w:rPr>
        <w:t>ê</w:t>
      </w:r>
      <w:r w:rsidRPr="00755736" w:rsidR="003B5232">
        <w:rPr>
          <w:rFonts w:ascii="Tahoma" w:eastAsia="Times New Roman" w:hAnsi="Tahoma" w:cs="Tahoma"/>
          <w:lang w:eastAsia="pt-BR"/>
        </w:rPr>
        <w:t>ntures da 2</w:t>
      </w:r>
      <w:r w:rsidR="003B5232">
        <w:rPr>
          <w:rFonts w:ascii="Tahoma" w:eastAsia="Times New Roman" w:hAnsi="Tahoma" w:cs="Tahoma"/>
          <w:lang w:eastAsia="pt-BR"/>
        </w:rPr>
        <w:t>ª</w:t>
      </w:r>
      <w:r w:rsidRPr="00755736" w:rsidR="003B5232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E</w:t>
      </w:r>
      <w:r w:rsidRPr="00755736" w:rsidR="003B5232">
        <w:rPr>
          <w:rFonts w:ascii="Tahoma" w:eastAsia="Times New Roman" w:hAnsi="Tahoma" w:cs="Tahoma"/>
          <w:lang w:eastAsia="pt-BR"/>
        </w:rPr>
        <w:t>missão</w:t>
      </w:r>
      <w:r w:rsidRPr="00755736" w:rsid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Pr="00E41304" w:rsidR="00755736">
        <w:rPr>
          <w:rFonts w:ascii="Tahoma" w:eastAsia="Times New Roman" w:hAnsi="Tahoma" w:cs="Tahoma"/>
          <w:b/>
          <w:lang w:eastAsia="pt-BR"/>
        </w:rPr>
        <w:t>(b)</w:t>
      </w:r>
      <w:r w:rsidRPr="00755736" w:rsidR="00755736">
        <w:rPr>
          <w:rFonts w:ascii="Tahoma" w:eastAsia="Times New Roman" w:hAnsi="Tahoma" w:cs="Tahoma"/>
          <w:lang w:eastAsia="pt-BR"/>
        </w:rPr>
        <w:t xml:space="preserve"> </w:t>
      </w:r>
      <w:r w:rsidRPr="00DA77FC" w:rsidR="00B22F65">
        <w:rPr>
          <w:rFonts w:ascii="Tahoma" w:eastAsia="Times New Roman" w:hAnsi="Tahoma" w:cs="Tahoma"/>
          <w:lang w:eastAsia="pt-BR"/>
        </w:rPr>
        <w:t>autorização para que a Companhia celebre aditamento ao Contrato de Cessão Fiduciária (</w:t>
      </w:r>
      <w:r w:rsidRPr="00DA77FC" w:rsidR="00BF3B4D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Pr="00E41304" w:rsidR="009E368D">
        <w:rPr>
          <w:rFonts w:ascii="Tahoma" w:eastAsia="Times New Roman" w:hAnsi="Tahoma" w:cs="Tahoma"/>
          <w:bCs/>
          <w:lang w:eastAsia="pt-BR"/>
        </w:rPr>
        <w:t>2ª</w:t>
      </w:r>
      <w:r w:rsidRPr="00E41304" w:rsidR="00497322">
        <w:rPr>
          <w:rFonts w:ascii="Tahoma" w:eastAsia="Times New Roman" w:hAnsi="Tahoma" w:cs="Tahoma"/>
          <w:bCs/>
          <w:lang w:eastAsia="pt-BR"/>
        </w:rPr>
        <w:t xml:space="preserve"> Emissão</w:t>
      </w:r>
      <w:r w:rsidRPr="00DA77FC" w:rsidR="00497322">
        <w:rPr>
          <w:rFonts w:ascii="Tahoma" w:eastAsia="Times New Roman" w:hAnsi="Tahoma" w:cs="Tahoma"/>
          <w:lang w:eastAsia="pt-BR"/>
        </w:rPr>
        <w:t xml:space="preserve"> na </w:t>
      </w:r>
      <w:r w:rsidRPr="00DA77FC" w:rsidR="00BF3B4D">
        <w:rPr>
          <w:rFonts w:ascii="Tahoma" w:eastAsia="Times New Roman" w:hAnsi="Tahoma" w:cs="Tahoma"/>
          <w:lang w:eastAsia="pt-BR"/>
        </w:rPr>
        <w:t>definição de Obrigações Garantidas descritas 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Pr="00DA77FC" w:rsidR="00497322">
        <w:rPr>
          <w:rFonts w:ascii="Tahoma" w:eastAsia="Times New Roman" w:hAnsi="Tahoma" w:cs="Tahoma"/>
          <w:lang w:eastAsia="pt-BR"/>
        </w:rPr>
        <w:t>;</w:t>
      </w:r>
      <w:r w:rsidRPr="00DA77FC" w:rsidR="00BF3B4D">
        <w:rPr>
          <w:rFonts w:ascii="Tahoma" w:eastAsia="Times New Roman" w:hAnsi="Tahoma" w:cs="Tahoma"/>
          <w:lang w:eastAsia="pt-BR"/>
        </w:rPr>
        <w:t xml:space="preserve"> </w:t>
      </w:r>
      <w:r w:rsidRPr="00DA77FC" w:rsidR="00923592">
        <w:rPr>
          <w:rFonts w:ascii="Tahoma" w:hAnsi="Tahoma" w:cs="Tahoma"/>
        </w:rPr>
        <w:t xml:space="preserve">e 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Pr="00DA77FC" w:rsidR="00923592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Pr="00DA77FC" w:rsidR="00923592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autorização para que 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Pr="00DA77FC" w:rsidR="003E158B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>: Examinadas e debatidas as matérias constantes da Ordem do Dia</w:t>
      </w:r>
      <w:r w:rsidRPr="00DA77FC" w:rsidR="003E158B">
        <w:rPr>
          <w:rFonts w:ascii="Tahoma" w:eastAsia="Times New Roman" w:hAnsi="Tahoma" w:cs="Tahoma"/>
          <w:lang w:eastAsia="en-GB"/>
        </w:rPr>
        <w:t xml:space="preserve">, </w:t>
      </w:r>
      <w:r w:rsidRPr="00DA77FC" w:rsidR="00A20835">
        <w:rPr>
          <w:rFonts w:ascii="Tahoma" w:eastAsia="Times New Roman" w:hAnsi="Tahoma" w:cs="Tahoma"/>
          <w:lang w:eastAsia="en-GB"/>
        </w:rPr>
        <w:t>os Debenturistas</w:t>
      </w:r>
      <w:r w:rsidRPr="00DA77FC" w:rsidR="00497322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Pr="00DA77FC" w:rsidR="00A20835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:rsidR="00EA2E1D" w:rsidRPr="00E41304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 xml:space="preserve">Autorizar a Companhia a </w:t>
      </w:r>
      <w:r w:rsidRPr="00755736">
        <w:rPr>
          <w:rFonts w:ascii="Tahoma" w:eastAsia="Times New Roman" w:hAnsi="Tahoma" w:cs="Tahoma"/>
          <w:lang w:eastAsia="pt-BR"/>
        </w:rPr>
        <w:t>estender a outorga da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, originalmente,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>
        <w:rPr>
          <w:rFonts w:ascii="Tahoma" w:eastAsia="Times New Roman" w:hAnsi="Tahoma" w:cs="Tahoma"/>
          <w:lang w:eastAsia="pt-BR"/>
        </w:rPr>
        <w:t>para 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Pr="00DA77FC" w:rsidR="003B5232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:rsidR="00A20835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Pr="00DA77FC" w:rsidR="008A5F0E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Pr="00DA77FC" w:rsidR="00EA2E1D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</w:t>
      </w:r>
      <w:r w:rsidR="003B5232">
        <w:rPr>
          <w:rFonts w:ascii="Tahoma" w:eastAsia="Times New Roman" w:hAnsi="Tahoma" w:cs="Tahoma"/>
          <w:lang w:eastAsia="pt-BR"/>
        </w:rPr>
        <w:t xml:space="preserve">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Pr="00DA77FC" w:rsidR="008A5F0E">
        <w:rPr>
          <w:rFonts w:ascii="Tahoma" w:eastAsia="Times New Roman" w:hAnsi="Tahoma" w:cs="Tahoma"/>
          <w:lang w:eastAsia="pt-BR"/>
        </w:rPr>
        <w:t xml:space="preserve">. </w:t>
      </w:r>
      <w:r w:rsidRPr="00DA77FC" w:rsidR="005272B8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DA77FC" w:rsidR="00923592">
        <w:rPr>
          <w:rFonts w:ascii="Tahoma" w:hAnsi="Tahoma" w:cs="Tahoma"/>
        </w:rPr>
        <w:t>; e</w:t>
      </w:r>
    </w:p>
    <w:p w:rsidR="005272B8" w:rsidRPr="00DA77FC" w:rsidP="00DA77FC">
      <w:pPr>
        <w:pStyle w:val="ListParagraph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Pr="00DA77FC" w:rsidR="003E158B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Pr="00DA77FC" w:rsidR="00B362DB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Pr="00DA77FC" w:rsidR="008A5F0E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Pr="00DA77FC" w:rsidR="003E158B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 xml:space="preserve">as </w:t>
      </w:r>
      <w:r w:rsidRPr="00DA77FC">
        <w:rPr>
          <w:rFonts w:ascii="Tahoma" w:hAnsi="Tahoma" w:cs="Tahoma"/>
        </w:rPr>
        <w:t>deliberações aprovadas na presente Assembleia. Fica consignado que não houve voto contrário ou abstenção a este item.</w:t>
      </w:r>
    </w:p>
    <w:p w:rsidR="005272B8" w:rsidRPr="00DA77FC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>As deliberações acima estão restritas apenas à Ordem do Dia e não serão interpretadas como renúncia de qualquer outro direito do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Pr="00DA77FC" w:rsidR="00B362DB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:rsidR="005272B8" w:rsidRPr="00DA77FC" w:rsidP="00DA77FC">
      <w:pPr>
        <w:pStyle w:val="ListParagraph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havendo a tratar e tendo em vista que nenhum dos presentes quis fazer uso da palavra, foram encerrados os trabalhos com a lavratura da presente ata, que após lida e aprovada pelos presentes, foi por todos assinada, sendo autorizada sua publicação com a omissão das assinaturas do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Pr="00DA77FC" w:rsidR="00B362DB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nos termos do artigo 130, parágrafo 2º da Lei das Sociedades por Ações. A presente ata será lavrada em forma de sumário, nos termos do artigo 71, § 2º, conforme o artigo 130, § 1º, ambos da Lei das Sociedades por Ações.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:rsidR="005272B8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Rio de Janeiro</w:t>
      </w:r>
      <w:r w:rsidRPr="00DA77FC">
        <w:rPr>
          <w:rFonts w:ascii="Tahoma" w:eastAsia="Times New Roman" w:hAnsi="Tahoma" w:cs="Tahoma"/>
          <w:lang w:eastAsia="pt-BR"/>
        </w:rPr>
        <w:t xml:space="preserve">, </w:t>
      </w:r>
      <w:r w:rsidRPr="00DA77FC">
        <w:rPr>
          <w:rFonts w:ascii="Tahoma" w:eastAsia="Times New Roman" w:hAnsi="Tahoma" w:cs="Tahoma"/>
          <w:lang w:eastAsia="ar-SA"/>
        </w:rPr>
        <w:t>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 xml:space="preserve">] </w:t>
      </w:r>
      <w:r w:rsidRPr="00DA77FC">
        <w:rPr>
          <w:rFonts w:ascii="Tahoma" w:eastAsia="Times New Roman" w:hAnsi="Tahoma" w:cs="Tahoma"/>
          <w:lang w:eastAsia="ar-SA"/>
        </w:rPr>
        <w:t xml:space="preserve">de </w:t>
      </w:r>
      <w:r w:rsidRPr="00DA77FC">
        <w:rPr>
          <w:rFonts w:ascii="Tahoma" w:eastAsia="Times New Roman" w:hAnsi="Tahoma" w:cs="Tahoma"/>
          <w:lang w:eastAsia="ar-SA"/>
        </w:rPr>
        <w:t>[</w:t>
      </w:r>
      <w:r w:rsidRPr="00DA77FC">
        <w:rPr>
          <w:rFonts w:ascii="Tahoma" w:eastAsia="Times New Roman" w:hAnsi="Tahoma" w:cs="Tahoma"/>
          <w:highlight w:val="yellow"/>
          <w:lang w:eastAsia="ar-SA"/>
        </w:rPr>
        <w:t>=</w:t>
      </w:r>
      <w:r w:rsidRPr="00DA77FC">
        <w:rPr>
          <w:rFonts w:ascii="Tahoma" w:eastAsia="Times New Roman" w:hAnsi="Tahoma" w:cs="Tahoma"/>
          <w:lang w:eastAsia="ar-SA"/>
        </w:rPr>
        <w:t>]</w:t>
      </w:r>
      <w:r w:rsidRPr="00DA77FC">
        <w:rPr>
          <w:rFonts w:ascii="Tahoma" w:eastAsia="Times New Roman" w:hAnsi="Tahoma" w:cs="Tahoma"/>
          <w:lang w:eastAsia="ar-SA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727A3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5A1D1A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</w:tr>
    </w:tbl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:rsidR="0019102E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:rsidR="0019102E" w:rsidRPr="00DA77FC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</w:t>
      </w:r>
      <w:r w:rsidRPr="00DA77FC">
        <w:rPr>
          <w:rFonts w:ascii="Tahoma" w:eastAsia="Times New Roman" w:hAnsi="Tahoma" w:cs="Tahoma"/>
          <w:i/>
          <w:lang w:eastAsia="pt-BR"/>
        </w:rPr>
        <w:t xml:space="preserve"> S.A.)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p w:rsidR="0019102E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9"/>
      </w:tblGrid>
      <w:tr w:rsidTr="0057422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bookmarkStart w:id="2" w:name="_GoBack"/>
            <w:r w:rsidRPr="00DA77FC">
              <w:rPr>
                <w:rFonts w:ascii="Tahoma" w:eastAsia="Times New Roman" w:hAnsi="Tahoma" w:cs="Tahoma"/>
                <w:lang w:eastAsia="pt-BR"/>
              </w:rPr>
              <w:t>[</w:t>
            </w:r>
            <w:bookmarkEnd w:id="2"/>
            <w:r w:rsidRPr="00DA77FC">
              <w:rPr>
                <w:rFonts w:ascii="Tahoma" w:eastAsia="Times New Roman" w:hAnsi="Tahoma" w:cs="Tahoma"/>
                <w:highlight w:val="yellow"/>
                <w:lang w:eastAsia="pt-BR"/>
              </w:rPr>
              <w:t>=</w:t>
            </w:r>
            <w:r w:rsidRPr="00DA77FC">
              <w:rPr>
                <w:rFonts w:ascii="Tahoma" w:eastAsia="Times New Roman" w:hAnsi="Tahoma" w:cs="Tahoma"/>
                <w:lang w:eastAsia="pt-BR"/>
              </w:rPr>
              <w:t>]</w:t>
            </w:r>
            <w:r w:rsidRPr="00DA77FC">
              <w:rPr>
                <w:rFonts w:ascii="Tahoma" w:eastAsia="Times New Roman" w:hAnsi="Tahoma" w:cs="Tahoma"/>
                <w:b/>
                <w:lang w:eastAsia="pt-BR"/>
              </w:rPr>
              <w:t xml:space="preserve"> </w:t>
            </w:r>
          </w:p>
          <w:p w:rsidR="0019102E" w:rsidRPr="00DA77FC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spacing w:val="2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  <w:r w:rsidRPr="00DA77FC">
        <w:rPr>
          <w:rFonts w:ascii="Tahoma" w:eastAsia="Times New Roman" w:hAnsi="Tahoma" w:cs="Tahoma"/>
          <w:i/>
          <w:lang w:eastAsia="pt-BR"/>
        </w:rPr>
        <w:t>(</w:t>
      </w:r>
      <w:bookmarkStart w:id="3" w:name="_Hlk61877270"/>
      <w:r w:rsidRPr="00DA77FC">
        <w:rPr>
          <w:rFonts w:ascii="Tahoma" w:eastAsia="Times New Roman" w:hAnsi="Tahoma" w:cs="Tahoma"/>
          <w:i/>
          <w:lang w:eastAsia="pt-BR"/>
        </w:rPr>
        <w:t xml:space="preserve">Página de assinaturas da Ata da Assembleia Geral de Debenturistas da </w:t>
      </w:r>
      <w:r w:rsidRPr="00DA77FC" w:rsidR="00497322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  <w:bookmarkEnd w:id="3"/>
    </w:p>
    <w:p w:rsidR="005272B8" w:rsidRPr="00DA77FC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[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/s]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[</w:t>
      </w:r>
      <w:r w:rsidRPr="00DA77FC">
        <w:rPr>
          <w:rFonts w:ascii="Tahoma" w:eastAsia="Times New Roman" w:hAnsi="Tahoma" w:cs="Tahoma"/>
          <w:b/>
          <w:highlight w:val="yellow"/>
          <w:lang w:val="pt-PT" w:eastAsia="pt-BR"/>
        </w:rPr>
        <w:t>=</w:t>
      </w:r>
      <w:r w:rsidRPr="00DA77FC">
        <w:rPr>
          <w:rFonts w:ascii="Tahoma" w:eastAsia="Times New Roman" w:hAnsi="Tahoma" w:cs="Tahoma"/>
          <w:b/>
          <w:lang w:val="pt-PT" w:eastAsia="pt-BR"/>
        </w:rPr>
        <w:t>]</w:t>
      </w:r>
    </w:p>
    <w:p w:rsidR="005272B8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 xml:space="preserve">CNPJ/ME: </w:t>
      </w:r>
      <w:r w:rsidRPr="00DA77FC" w:rsidR="00497322">
        <w:rPr>
          <w:rFonts w:ascii="Tahoma" w:eastAsia="Times New Roman" w:hAnsi="Tahoma" w:cs="Tahoma"/>
          <w:bCs/>
          <w:lang w:val="pt-PT" w:eastAsia="pt-BR"/>
        </w:rPr>
        <w:t>[</w:t>
      </w:r>
      <w:r w:rsidRPr="00DA77FC" w:rsidR="00497322">
        <w:rPr>
          <w:rFonts w:ascii="Tahoma" w:eastAsia="Times New Roman" w:hAnsi="Tahoma" w:cs="Tahoma"/>
          <w:bCs/>
          <w:highlight w:val="yellow"/>
          <w:lang w:val="pt-PT" w:eastAsia="pt-BR"/>
        </w:rPr>
        <w:t>=</w:t>
      </w:r>
      <w:r w:rsidRPr="00DA77FC" w:rsidR="00497322">
        <w:rPr>
          <w:rFonts w:ascii="Tahoma" w:eastAsia="Times New Roman" w:hAnsi="Tahoma" w:cs="Tahoma"/>
          <w:bCs/>
          <w:lang w:val="pt-PT" w:eastAsia="pt-BR"/>
        </w:rPr>
        <w:t>]</w:t>
      </w: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 w:rsidRPr="00DA77FC">
              <w:rPr>
                <w:rFonts w:ascii="Tahoma" w:hAnsi="Tahoma" w:cs="Tahoma"/>
              </w:rPr>
              <w:t xml:space="preserve"> </w:t>
            </w:r>
          </w:p>
        </w:tc>
      </w:tr>
    </w:tbl>
    <w:p w:rsidR="008A5F0E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:rsidR="008A5F0E" w:rsidRPr="00DA77FC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Times New Roman" w:hAnsi="Tahoma" w:cs="Tahoma"/>
          <w:b/>
          <w:lang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t>SÃO JOÃO ENERGÉTICA</w:t>
      </w:r>
      <w:r w:rsidRPr="00DA77FC">
        <w:rPr>
          <w:rFonts w:ascii="Tahoma" w:eastAsia="Times New Roman" w:hAnsi="Tahoma" w:cs="Tahoma"/>
          <w:b/>
          <w:lang w:val="pt-PT" w:eastAsia="pt-BR"/>
        </w:rPr>
        <w:t xml:space="preserve"> S.A.</w:t>
      </w:r>
    </w:p>
    <w:p w:rsidR="005272B8" w:rsidRPr="00DA77FC" w:rsidP="00DA77FC">
      <w:pPr>
        <w:spacing w:after="240" w:line="320" w:lineRule="exact"/>
        <w:contextualSpacing/>
        <w:jc w:val="center"/>
        <w:rPr>
          <w:rFonts w:ascii="Tahoma" w:eastAsia="Cambria" w:hAnsi="Tahoma" w:cs="Tahoma"/>
          <w:lang w:eastAsia="en-GB"/>
        </w:rPr>
      </w:pPr>
      <w:r w:rsidRPr="00DA77FC">
        <w:rPr>
          <w:rFonts w:ascii="Tahoma" w:eastAsia="Cambria" w:hAnsi="Tahoma" w:cs="Tahoma"/>
          <w:lang w:eastAsia="en-GB"/>
        </w:rPr>
        <w:t xml:space="preserve">CNPJ/ME nº </w:t>
      </w:r>
      <w:r w:rsidRPr="00DA77FC" w:rsidR="00602061">
        <w:rPr>
          <w:rFonts w:ascii="Tahoma" w:eastAsia="Cambria" w:hAnsi="Tahoma" w:cs="Tahoma"/>
          <w:lang w:eastAsia="en-GB"/>
        </w:rPr>
        <w:t>09.591.486/0001-54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9169" w:type="dxa"/>
        <w:tblInd w:w="108" w:type="dxa"/>
        <w:tblLayout w:type="fixed"/>
        <w:tblLook w:val="04A0"/>
      </w:tblPr>
      <w:tblGrid>
        <w:gridCol w:w="4503"/>
        <w:gridCol w:w="236"/>
        <w:gridCol w:w="4430"/>
      </w:tblGrid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9169" w:type="dxa"/>
            <w:gridSpan w:val="3"/>
          </w:tcPr>
          <w:p w:rsidR="005272B8" w:rsidRPr="00DA77FC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Tr="00727A34">
        <w:tblPrEx>
          <w:tblW w:w="9169" w:type="dxa"/>
          <w:tblInd w:w="108" w:type="dxa"/>
          <w:tblLayout w:type="fixed"/>
          <w:tblLook w:val="04A0"/>
        </w:tblPrEx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</w:p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</w:p>
        </w:tc>
      </w:tr>
    </w:tbl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(Página de assinaturas da Ata da Assembleia Geral de Debenturistas da </w:t>
      </w:r>
      <w:r w:rsidRPr="00DA77FC" w:rsidR="00602061">
        <w:rPr>
          <w:rFonts w:ascii="Tahoma" w:eastAsia="Times New Roman" w:hAnsi="Tahoma" w:cs="Tahoma"/>
          <w:i/>
          <w:lang w:eastAsia="pt-BR"/>
        </w:rPr>
        <w:t>1ª (Primeira) Emissão de Debêntures Simples, Não Conversíveis em Ações, em 2 (duas) Séries, da Espécie Quirografária, com Garantia Real e Fidejussória Adicional, para Distribuição Pública, com Esforços Restritos, da São João Energética S.A.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:rsidR="005272B8" w:rsidRPr="00DA77FC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:rsidR="005272B8" w:rsidRPr="00DA77FC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:rsidR="00602061" w:rsidRPr="00DA77FC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:rsidR="005272B8" w:rsidRPr="00DA77FC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/>
      </w:tblPr>
      <w:tblGrid>
        <w:gridCol w:w="4503"/>
        <w:gridCol w:w="236"/>
      </w:tblGrid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 w:rsidR="009F6879">
              <w:rPr>
                <w:rFonts w:ascii="Tahoma" w:eastAsia="Times New Roman" w:hAnsi="Tahoma" w:cs="Tahoma"/>
                <w:lang w:eastAsia="pt-BR"/>
              </w:rPr>
              <w:t xml:space="preserve">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</w:p>
          <w:p w:rsidR="005272B8" w:rsidRPr="00DA77FC" w:rsidP="00DA77FC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</w:p>
        </w:tc>
        <w:tc>
          <w:tcPr>
            <w:tcW w:w="236" w:type="dxa"/>
          </w:tcPr>
          <w:p w:rsidR="005272B8" w:rsidRPr="00DA77FC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Tr="00727A34">
        <w:tblPrEx>
          <w:tblW w:w="4739" w:type="dxa"/>
          <w:jc w:val="center"/>
          <w:tblLayout w:type="fixed"/>
          <w:tblLook w:val="04A0"/>
        </w:tblPrEx>
        <w:trPr>
          <w:jc w:val="center"/>
        </w:trPr>
        <w:tc>
          <w:tcPr>
            <w:tcW w:w="4503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:rsidR="005272B8" w:rsidRPr="00DA77FC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:rsidR="005272B8" w:rsidRPr="00DA77FC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:rsidR="007A49C1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p w:rsidR="007C485D" w:rsidRPr="00DA77FC" w:rsidP="00941AD8">
      <w:pPr>
        <w:spacing w:after="0" w:line="320" w:lineRule="exact"/>
        <w:rPr>
          <w:rFonts w:ascii="Tahoma" w:hAnsi="Tahoma" w:cs="Tahoma"/>
        </w:rPr>
      </w:pPr>
    </w:p>
    <w:sectPr w:rsidSect="00FA4177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>
    <w:pPr>
      <w:pStyle w:val="Footer"/>
      <w:ind w:right="360"/>
    </w:pPr>
  </w:p>
  <w:p w:rsidR="00A076FB"/>
  <w:p w:rsidR="00A076FB"/>
  <w:p w:rsidR="00A076FB"/>
  <w:p w:rsidR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012F86" w:rsidRPr="003C0561" w:rsidP="00B955E4">
        <w:pPr>
          <w:pStyle w:val="Footer"/>
          <w:rPr>
            <w:rFonts w:ascii="Verdana" w:hAnsi="Verdana"/>
            <w:color w:val="FFFFFF"/>
            <w:sz w:val="14"/>
          </w:rPr>
        </w:pPr>
        <w:r w:rsidR="00A97E02">
          <w:rPr>
            <w:rFonts w:ascii="Verdana" w:hAnsi="Verdana"/>
            <w:color w:val="FFFFFF"/>
            <w:sz w:val="14"/>
          </w:rPr>
          <w:t xml:space="preserve">#54249908v8&lt;TEXT&gt; - </w:t>
        </w:r>
        <w:r w:rsidR="00A97E02">
          <w:rPr>
            <w:rFonts w:ascii="Verdana" w:hAnsi="Verdana"/>
            <w:color w:val="FFFFFF"/>
            <w:sz w:val="14"/>
          </w:rPr>
          <w:t>Ânima</w:t>
        </w:r>
        <w:r w:rsidR="00A97E02">
          <w:rPr>
            <w:rFonts w:ascii="Verdana" w:hAnsi="Verdana"/>
            <w:color w:val="FFFFFF"/>
            <w:sz w:val="14"/>
          </w:rPr>
          <w:t xml:space="preserve"> - AGD 3ª Emissão - Cessão Fiduciária (04.06.21)</w:t>
        </w:r>
      </w:p>
      <w:p w:rsidR="00A076FB" w:rsidRPr="00FA4177" w:rsidP="00FA417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1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A076F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P="000F0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6FB" w:rsidP="000F0670">
    <w:pPr>
      <w:pStyle w:val="Header"/>
      <w:ind w:right="360"/>
    </w:pPr>
  </w:p>
  <w:p w:rsidR="00A076FB"/>
  <w:p w:rsidR="00A076FB"/>
  <w:p w:rsidR="00A076FB"/>
  <w:p w:rsidR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6FB" w:rsidRPr="00FA4177" w:rsidP="005852F7">
    <w:pPr>
      <w:pStyle w:val="Header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11C1" w:rsidRPr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D266C"/>
    <w:multiLevelType w:val="hybridMultilevel"/>
    <w:tmpl w:val="642EA6F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FE2"/>
    <w:multiLevelType w:val="hybridMultilevel"/>
    <w:tmpl w:val="A4922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B8"/>
    <w:rsid w:val="00012F86"/>
    <w:rsid w:val="00034F8E"/>
    <w:rsid w:val="000706A9"/>
    <w:rsid w:val="000D4FE4"/>
    <w:rsid w:val="000F0670"/>
    <w:rsid w:val="001208E2"/>
    <w:rsid w:val="0019102E"/>
    <w:rsid w:val="001E0652"/>
    <w:rsid w:val="00251E13"/>
    <w:rsid w:val="002660B6"/>
    <w:rsid w:val="00267319"/>
    <w:rsid w:val="0031530D"/>
    <w:rsid w:val="0033520B"/>
    <w:rsid w:val="0035624A"/>
    <w:rsid w:val="003B5232"/>
    <w:rsid w:val="003C0561"/>
    <w:rsid w:val="003D7EB4"/>
    <w:rsid w:val="003E158B"/>
    <w:rsid w:val="003E75F1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6368D"/>
    <w:rsid w:val="006B269A"/>
    <w:rsid w:val="006B694C"/>
    <w:rsid w:val="00727128"/>
    <w:rsid w:val="00755736"/>
    <w:rsid w:val="007A49C1"/>
    <w:rsid w:val="007C485D"/>
    <w:rsid w:val="007D6150"/>
    <w:rsid w:val="007D6C10"/>
    <w:rsid w:val="008033F3"/>
    <w:rsid w:val="00861E04"/>
    <w:rsid w:val="008A5F0E"/>
    <w:rsid w:val="008C1A21"/>
    <w:rsid w:val="008C40E6"/>
    <w:rsid w:val="008E2BC1"/>
    <w:rsid w:val="00923592"/>
    <w:rsid w:val="00926710"/>
    <w:rsid w:val="00941AD8"/>
    <w:rsid w:val="00947C26"/>
    <w:rsid w:val="00963773"/>
    <w:rsid w:val="009E368D"/>
    <w:rsid w:val="009E4AFB"/>
    <w:rsid w:val="009F6879"/>
    <w:rsid w:val="00A076FB"/>
    <w:rsid w:val="00A174E7"/>
    <w:rsid w:val="00A20835"/>
    <w:rsid w:val="00A251C3"/>
    <w:rsid w:val="00A75EB4"/>
    <w:rsid w:val="00A97E02"/>
    <w:rsid w:val="00AB1A39"/>
    <w:rsid w:val="00AF38A8"/>
    <w:rsid w:val="00B22F65"/>
    <w:rsid w:val="00B362DB"/>
    <w:rsid w:val="00B403D3"/>
    <w:rsid w:val="00B74731"/>
    <w:rsid w:val="00B945E3"/>
    <w:rsid w:val="00B955E4"/>
    <w:rsid w:val="00BB76C2"/>
    <w:rsid w:val="00BD29C7"/>
    <w:rsid w:val="00BF3B4D"/>
    <w:rsid w:val="00C42B0A"/>
    <w:rsid w:val="00C60A84"/>
    <w:rsid w:val="00C6332E"/>
    <w:rsid w:val="00C76EB3"/>
    <w:rsid w:val="00C95AED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41304"/>
    <w:rsid w:val="00E521EE"/>
    <w:rsid w:val="00EA2E1D"/>
    <w:rsid w:val="00EA6AD0"/>
    <w:rsid w:val="00F138AB"/>
    <w:rsid w:val="00F76C00"/>
    <w:rsid w:val="00F83498"/>
    <w:rsid w:val="00FA4177"/>
    <w:rsid w:val="00FC3683"/>
    <w:rsid w:val="00FE3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272B8"/>
  </w:style>
  <w:style w:type="paragraph" w:styleId="Footer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272B8"/>
  </w:style>
  <w:style w:type="character" w:styleId="PageNumber">
    <w:name w:val="page number"/>
    <w:basedOn w:val="DefaultParagraphFont"/>
    <w:rsid w:val="005272B8"/>
  </w:style>
  <w:style w:type="paragraph" w:styleId="ListParagraph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BalloonText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A3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B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B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93D500A-E995-4336-A66F-98F54DD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7358</Characters>
  <Application>Microsoft Office Word</Application>
  <DocSecurity>0</DocSecurity>
  <Lines>175</Lines>
  <Paragraphs>52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