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B8" w:rsidRDefault="00890AB8">
      <w:pPr>
        <w:spacing w:line="320" w:lineRule="exact"/>
        <w:jc w:val="center"/>
        <w:rPr>
          <w:smallCaps/>
          <w:sz w:val="24"/>
          <w:szCs w:val="24"/>
        </w:rPr>
      </w:pPr>
    </w:p>
    <w:p w:rsidR="00890AB8" w:rsidRDefault="00154E65">
      <w:pPr>
        <w:pStyle w:val="Subttulo"/>
        <w:spacing w:line="320" w:lineRule="exact"/>
        <w:outlineLvl w:val="0"/>
        <w:rPr>
          <w:szCs w:val="24"/>
        </w:rPr>
      </w:pPr>
      <w:r>
        <w:rPr>
          <w:szCs w:val="24"/>
        </w:rPr>
        <w:t>TELES PIRES PARTICIPAÇÕES S.A</w:t>
      </w:r>
    </w:p>
    <w:p w:rsidR="00890AB8" w:rsidRDefault="00154E65">
      <w:pPr>
        <w:pStyle w:val="Subttulo"/>
        <w:spacing w:line="320" w:lineRule="exact"/>
        <w:outlineLvl w:val="0"/>
        <w:rPr>
          <w:szCs w:val="24"/>
        </w:rPr>
      </w:pPr>
      <w:r>
        <w:rPr>
          <w:smallCaps/>
          <w:szCs w:val="24"/>
        </w:rPr>
        <w:t xml:space="preserve">CNPJ </w:t>
      </w:r>
      <w:r>
        <w:rPr>
          <w:szCs w:val="24"/>
        </w:rPr>
        <w:t>nº 13.212.219/0001-04</w:t>
      </w:r>
    </w:p>
    <w:p w:rsidR="00890AB8" w:rsidRDefault="00154E65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NIRE 33.3.00.29683-2</w:t>
      </w:r>
    </w:p>
    <w:p w:rsidR="00890AB8" w:rsidRDefault="00890AB8">
      <w:pPr>
        <w:spacing w:line="320" w:lineRule="exact"/>
        <w:jc w:val="center"/>
        <w:rPr>
          <w:b/>
          <w:smallCaps/>
          <w:sz w:val="24"/>
          <w:szCs w:val="24"/>
        </w:rPr>
      </w:pPr>
    </w:p>
    <w:p w:rsidR="00890AB8" w:rsidRDefault="00154E65">
      <w:pPr>
        <w:pStyle w:val="Subttulo"/>
        <w:spacing w:line="320" w:lineRule="exact"/>
        <w:outlineLvl w:val="0"/>
        <w:rPr>
          <w:szCs w:val="24"/>
        </w:rPr>
      </w:pPr>
      <w:r>
        <w:rPr>
          <w:smallCaps/>
          <w:szCs w:val="24"/>
        </w:rPr>
        <w:t>ASSEMBLEIA GERAL DOS TITULARES DE DEBÊNTURES DA 1</w:t>
      </w:r>
      <w:r>
        <w:rPr>
          <w:szCs w:val="24"/>
        </w:rPr>
        <w:t>ª</w:t>
      </w:r>
      <w:r>
        <w:rPr>
          <w:smallCaps/>
          <w:szCs w:val="24"/>
        </w:rPr>
        <w:t xml:space="preserve"> EMISSÃO DA TELES PIRES PARTICIPAÇÕES S.A</w:t>
      </w:r>
    </w:p>
    <w:p w:rsidR="00890AB8" w:rsidRDefault="00154E65">
      <w:pPr>
        <w:spacing w:line="320" w:lineRule="exact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REALIZADA EM </w:t>
      </w:r>
      <w:r w:rsidR="00BF66DB">
        <w:rPr>
          <w:smallCaps/>
          <w:sz w:val="24"/>
          <w:szCs w:val="24"/>
        </w:rPr>
        <w:t>30</w:t>
      </w:r>
      <w:r>
        <w:rPr>
          <w:smallCaps/>
          <w:sz w:val="24"/>
          <w:szCs w:val="24"/>
        </w:rPr>
        <w:t xml:space="preserve"> DE </w:t>
      </w:r>
      <w:r w:rsidR="00BF66DB">
        <w:rPr>
          <w:smallCaps/>
          <w:sz w:val="24"/>
          <w:szCs w:val="24"/>
        </w:rPr>
        <w:t>OUTUBRO</w:t>
      </w:r>
      <w:r w:rsidR="008C0E7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DE 201</w:t>
      </w:r>
      <w:r w:rsidR="00BF66DB">
        <w:rPr>
          <w:smallCaps/>
          <w:sz w:val="24"/>
          <w:szCs w:val="24"/>
        </w:rPr>
        <w:t>7</w:t>
      </w:r>
    </w:p>
    <w:p w:rsidR="00890AB8" w:rsidRDefault="00890AB8">
      <w:pPr>
        <w:spacing w:line="320" w:lineRule="exact"/>
        <w:rPr>
          <w:sz w:val="24"/>
          <w:szCs w:val="24"/>
        </w:rPr>
      </w:pPr>
    </w:p>
    <w:p w:rsidR="00890AB8" w:rsidRDefault="00154E65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DATA, HORA E LOCAL</w:t>
      </w:r>
      <w:r>
        <w:rPr>
          <w:b/>
          <w:sz w:val="22"/>
          <w:szCs w:val="22"/>
          <w:shd w:val="clear" w:color="auto" w:fill="FFFFFF" w:themeFill="background1"/>
        </w:rPr>
        <w:t>:</w:t>
      </w:r>
      <w:r>
        <w:rPr>
          <w:sz w:val="22"/>
          <w:szCs w:val="22"/>
          <w:shd w:val="clear" w:color="auto" w:fill="FFFFFF" w:themeFill="background1"/>
        </w:rPr>
        <w:t xml:space="preserve"> Realizada em </w:t>
      </w:r>
      <w:r w:rsidR="00BF66DB">
        <w:rPr>
          <w:sz w:val="22"/>
          <w:szCs w:val="22"/>
          <w:shd w:val="clear" w:color="auto" w:fill="FFFFFF" w:themeFill="background1"/>
        </w:rPr>
        <w:t>30</w:t>
      </w:r>
      <w:r>
        <w:rPr>
          <w:sz w:val="22"/>
          <w:szCs w:val="22"/>
          <w:shd w:val="clear" w:color="auto" w:fill="FFFFFF" w:themeFill="background1"/>
        </w:rPr>
        <w:t xml:space="preserve"> de </w:t>
      </w:r>
      <w:r w:rsidR="00BF66DB">
        <w:rPr>
          <w:sz w:val="22"/>
          <w:szCs w:val="22"/>
          <w:shd w:val="clear" w:color="auto" w:fill="FFFFFF" w:themeFill="background1"/>
        </w:rPr>
        <w:t>Outubro de 2017</w:t>
      </w:r>
      <w:r>
        <w:rPr>
          <w:sz w:val="22"/>
          <w:szCs w:val="22"/>
          <w:shd w:val="clear" w:color="auto" w:fill="FFFFFF" w:themeFill="background1"/>
        </w:rPr>
        <w:t xml:space="preserve">, às </w:t>
      </w:r>
      <w:r w:rsidR="008C0E76">
        <w:rPr>
          <w:sz w:val="22"/>
          <w:szCs w:val="22"/>
          <w:shd w:val="clear" w:color="auto" w:fill="FFFFFF" w:themeFill="background1"/>
        </w:rPr>
        <w:t>17</w:t>
      </w:r>
      <w:r>
        <w:rPr>
          <w:sz w:val="22"/>
          <w:szCs w:val="22"/>
          <w:shd w:val="clear" w:color="auto" w:fill="FFFFFF" w:themeFill="background1"/>
        </w:rPr>
        <w:t xml:space="preserve"> horas, na</w:t>
      </w:r>
      <w:r>
        <w:rPr>
          <w:sz w:val="22"/>
          <w:szCs w:val="22"/>
        </w:rPr>
        <w:t xml:space="preserve"> sede social da Teles Pires Participações S.A. (“</w:t>
      </w:r>
      <w:r>
        <w:rPr>
          <w:sz w:val="22"/>
          <w:szCs w:val="22"/>
          <w:u w:val="single"/>
        </w:rPr>
        <w:t>Companhia</w:t>
      </w:r>
      <w:r>
        <w:rPr>
          <w:sz w:val="22"/>
          <w:szCs w:val="22"/>
        </w:rPr>
        <w:t>”) localizada na Cidade do Rio de Janeiro, Estado do Rio de Janeiro, na Praia do Flamengo, nº 78, 2º andar (parte).</w:t>
      </w:r>
    </w:p>
    <w:p w:rsidR="00890AB8" w:rsidRDefault="00890AB8">
      <w:pPr>
        <w:widowControl/>
        <w:spacing w:line="320" w:lineRule="exact"/>
        <w:rPr>
          <w:sz w:val="22"/>
          <w:szCs w:val="22"/>
        </w:rPr>
      </w:pPr>
    </w:p>
    <w:p w:rsidR="00890AB8" w:rsidRDefault="00154E65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CONVOCAÇÃO: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Dispensada a convocação nos termos do § 4º do artigo 124 da Lei n° 6.404, de 15 de dezembro de 1976, conforme alterada, por estar presente o debenturista detentor de 100% (cem por cento) das debêntures em circulação da primeira emissão privada de debêntures simples, não conversíveis em ações, da espécie quirografária, com garantias adicionais real e fidejussória, em série única, da Companhia</w:t>
      </w:r>
      <w:r>
        <w:rPr>
          <w:bCs/>
          <w:sz w:val="22"/>
          <w:szCs w:val="22"/>
        </w:rPr>
        <w:t xml:space="preserve"> (respectivamente, “</w:t>
      </w:r>
      <w:r>
        <w:rPr>
          <w:bCs/>
          <w:sz w:val="22"/>
          <w:szCs w:val="22"/>
          <w:u w:val="single"/>
        </w:rPr>
        <w:t>Debenturista</w:t>
      </w:r>
      <w:r>
        <w:rPr>
          <w:bCs/>
          <w:sz w:val="22"/>
          <w:szCs w:val="22"/>
        </w:rPr>
        <w:t>” e “</w:t>
      </w:r>
      <w:r>
        <w:rPr>
          <w:bCs/>
          <w:sz w:val="22"/>
          <w:szCs w:val="22"/>
          <w:u w:val="single"/>
        </w:rPr>
        <w:t>Debêntures</w:t>
      </w:r>
      <w:r>
        <w:rPr>
          <w:bCs/>
          <w:sz w:val="22"/>
          <w:szCs w:val="22"/>
        </w:rPr>
        <w:t>”)</w:t>
      </w:r>
    </w:p>
    <w:p w:rsidR="00890AB8" w:rsidRDefault="00890AB8">
      <w:pPr>
        <w:widowControl/>
        <w:spacing w:line="320" w:lineRule="exact"/>
        <w:rPr>
          <w:sz w:val="22"/>
          <w:szCs w:val="22"/>
        </w:rPr>
      </w:pPr>
    </w:p>
    <w:p w:rsidR="00BF66DB" w:rsidRDefault="00BF66DB" w:rsidP="00BF66DB">
      <w:pPr>
        <w:widowControl/>
        <w:numPr>
          <w:ilvl w:val="0"/>
          <w:numId w:val="4"/>
        </w:numPr>
        <w:spacing w:line="320" w:lineRule="exact"/>
        <w:rPr>
          <w:bCs/>
          <w:sz w:val="22"/>
          <w:szCs w:val="22"/>
        </w:rPr>
      </w:pPr>
      <w:r>
        <w:rPr>
          <w:b/>
          <w:sz w:val="22"/>
          <w:szCs w:val="22"/>
        </w:rPr>
        <w:t>PRESENÇA: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Debenturista representando 100% (cem por cento) das debêntures em circulação (“Debenturista”), emitidas nos termos do Instrumento Particular de Escritura da Primeira </w:t>
      </w:r>
      <w:r>
        <w:rPr>
          <w:sz w:val="22"/>
          <w:szCs w:val="22"/>
        </w:rPr>
        <w:t xml:space="preserve">Emissão Privada de Debêntures Simples, Não-Conversíveis em Ações, da Espécie Quirografária, com Garantias </w:t>
      </w:r>
      <w:proofErr w:type="gramStart"/>
      <w:r>
        <w:rPr>
          <w:sz w:val="22"/>
          <w:szCs w:val="22"/>
        </w:rPr>
        <w:t>Adicionais Real</w:t>
      </w:r>
      <w:proofErr w:type="gramEnd"/>
      <w:r>
        <w:rPr>
          <w:sz w:val="22"/>
          <w:szCs w:val="22"/>
        </w:rPr>
        <w:t xml:space="preserve"> e Fidejussória, em Série Única, da Teles Pires Participações S.A</w:t>
      </w:r>
      <w:r>
        <w:rPr>
          <w:bCs/>
          <w:sz w:val="22"/>
          <w:szCs w:val="22"/>
        </w:rPr>
        <w:t>, (“</w:t>
      </w:r>
      <w:r>
        <w:rPr>
          <w:bCs/>
          <w:sz w:val="22"/>
          <w:szCs w:val="22"/>
          <w:u w:val="single"/>
        </w:rPr>
        <w:t>Debêntures</w:t>
      </w:r>
      <w:r>
        <w:rPr>
          <w:bCs/>
          <w:sz w:val="22"/>
          <w:szCs w:val="22"/>
        </w:rPr>
        <w:t>”, “</w:t>
      </w:r>
      <w:r>
        <w:rPr>
          <w:bCs/>
          <w:sz w:val="22"/>
          <w:szCs w:val="22"/>
          <w:u w:val="single"/>
        </w:rPr>
        <w:t>Emissora</w:t>
      </w:r>
      <w:r>
        <w:rPr>
          <w:bCs/>
          <w:sz w:val="22"/>
          <w:szCs w:val="22"/>
        </w:rPr>
        <w:t>”, “</w:t>
      </w:r>
      <w:r>
        <w:rPr>
          <w:bCs/>
          <w:sz w:val="22"/>
          <w:szCs w:val="22"/>
          <w:u w:val="single"/>
        </w:rPr>
        <w:t>Emissão</w:t>
      </w:r>
      <w:r>
        <w:rPr>
          <w:bCs/>
          <w:sz w:val="22"/>
          <w:szCs w:val="22"/>
        </w:rPr>
        <w:t>” e “</w:t>
      </w:r>
      <w:r w:rsidRPr="006E46BC">
        <w:rPr>
          <w:bCs/>
          <w:sz w:val="22"/>
          <w:szCs w:val="22"/>
          <w:u w:val="single"/>
        </w:rPr>
        <w:t>Escritura</w:t>
      </w:r>
      <w:r>
        <w:rPr>
          <w:bCs/>
          <w:sz w:val="22"/>
          <w:szCs w:val="22"/>
        </w:rPr>
        <w:t>”), respectivamente</w:t>
      </w:r>
      <w:r>
        <w:rPr>
          <w:sz w:val="22"/>
          <w:szCs w:val="22"/>
        </w:rPr>
        <w:t>. Presentes representantes da Simplific Pavarini Distribuidora de Títulos e Valores Mobiliários Ltda., na qualidade de agente fiduciário dos Debenturistas (“</w:t>
      </w:r>
      <w:r>
        <w:rPr>
          <w:sz w:val="22"/>
          <w:szCs w:val="22"/>
          <w:u w:val="single"/>
        </w:rPr>
        <w:t>Agente Fiduciário</w:t>
      </w:r>
      <w:r>
        <w:rPr>
          <w:sz w:val="22"/>
          <w:szCs w:val="22"/>
        </w:rPr>
        <w:t>”), da Emissora e da Neoenergia S.A., na qualidade de fiadora (“</w:t>
      </w:r>
      <w:r>
        <w:rPr>
          <w:sz w:val="22"/>
          <w:szCs w:val="22"/>
          <w:u w:val="single"/>
        </w:rPr>
        <w:t>Fiadora</w:t>
      </w:r>
      <w:r>
        <w:rPr>
          <w:sz w:val="22"/>
          <w:szCs w:val="22"/>
        </w:rPr>
        <w:t>”).</w:t>
      </w:r>
    </w:p>
    <w:p w:rsidR="00890AB8" w:rsidRDefault="00890AB8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:rsidR="00890AB8" w:rsidRDefault="00154E65">
      <w:pPr>
        <w:widowControl/>
        <w:numPr>
          <w:ilvl w:val="0"/>
          <w:numId w:val="4"/>
        </w:numPr>
        <w:spacing w:line="320" w:lineRule="exact"/>
        <w:rPr>
          <w:b/>
          <w:color w:val="365F91"/>
          <w:sz w:val="22"/>
          <w:szCs w:val="22"/>
        </w:rPr>
      </w:pPr>
      <w:r>
        <w:rPr>
          <w:b/>
          <w:sz w:val="22"/>
          <w:szCs w:val="22"/>
        </w:rPr>
        <w:t>MESA:</w:t>
      </w:r>
      <w:r>
        <w:rPr>
          <w:sz w:val="22"/>
          <w:szCs w:val="22"/>
        </w:rPr>
        <w:t xml:space="preserve"> Presidida pelo </w:t>
      </w:r>
      <w:r w:rsidR="00BF66DB">
        <w:rPr>
          <w:sz w:val="22"/>
          <w:szCs w:val="22"/>
        </w:rPr>
        <w:t>[</w:t>
      </w:r>
      <w:r w:rsidRPr="00B1687D">
        <w:rPr>
          <w:sz w:val="22"/>
          <w:szCs w:val="22"/>
          <w:highlight w:val="yellow"/>
        </w:rPr>
        <w:t>Sr. Alessandro de Oliveira Nascimento</w:t>
      </w:r>
      <w:r w:rsidR="00BF66DB">
        <w:rPr>
          <w:sz w:val="22"/>
          <w:szCs w:val="22"/>
        </w:rPr>
        <w:t>]</w:t>
      </w:r>
      <w:r>
        <w:rPr>
          <w:sz w:val="22"/>
          <w:szCs w:val="22"/>
        </w:rPr>
        <w:t xml:space="preserve">, e secretariada pela </w:t>
      </w:r>
      <w:r w:rsidR="00BF66DB">
        <w:rPr>
          <w:sz w:val="22"/>
          <w:szCs w:val="22"/>
        </w:rPr>
        <w:t>[</w:t>
      </w:r>
      <w:r w:rsidRPr="00B1687D">
        <w:rPr>
          <w:sz w:val="22"/>
          <w:szCs w:val="22"/>
          <w:highlight w:val="yellow"/>
        </w:rPr>
        <w:t>Sra. Isabel Girão Paixão</w:t>
      </w:r>
      <w:r w:rsidR="00BF66DB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890AB8" w:rsidRDefault="00890AB8">
      <w:pPr>
        <w:widowControl/>
        <w:spacing w:line="320" w:lineRule="exact"/>
        <w:rPr>
          <w:sz w:val="22"/>
          <w:szCs w:val="22"/>
        </w:rPr>
      </w:pPr>
    </w:p>
    <w:p w:rsidR="00890AB8" w:rsidRDefault="00154E65" w:rsidP="00BF66DB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ORDEM DO DIA:</w:t>
      </w:r>
      <w:r>
        <w:rPr>
          <w:sz w:val="22"/>
          <w:szCs w:val="22"/>
        </w:rPr>
        <w:t xml:space="preserve"> Deliberar sobre a proposta de </w:t>
      </w:r>
      <w:proofErr w:type="spellStart"/>
      <w:r w:rsidR="00B1687D" w:rsidRPr="00B1687D">
        <w:rPr>
          <w:i/>
          <w:sz w:val="22"/>
          <w:szCs w:val="22"/>
        </w:rPr>
        <w:t>waiver</w:t>
      </w:r>
      <w:proofErr w:type="spellEnd"/>
      <w:r w:rsidR="00B1687D">
        <w:rPr>
          <w:sz w:val="22"/>
          <w:szCs w:val="22"/>
        </w:rPr>
        <w:t xml:space="preserve"> para que não sejam observados os limites dos </w:t>
      </w:r>
      <w:r w:rsidR="00BF66DB">
        <w:rPr>
          <w:sz w:val="22"/>
          <w:szCs w:val="22"/>
        </w:rPr>
        <w:t xml:space="preserve">Índices Financeiros previstos </w:t>
      </w:r>
      <w:r w:rsidR="00BF66DB" w:rsidRPr="00BF66DB">
        <w:rPr>
          <w:sz w:val="22"/>
          <w:szCs w:val="22"/>
        </w:rPr>
        <w:t>nas alíneas “i” e “j” da Cláusula 7.2.1</w:t>
      </w:r>
      <w:r w:rsidR="00BF66DB">
        <w:rPr>
          <w:sz w:val="22"/>
          <w:szCs w:val="22"/>
        </w:rPr>
        <w:t xml:space="preserve"> por parte da Fiadora Neoenergia S.A, pelo período de 12 meses, iniciando a partir da apuração do trimestre findo em setembro de 2017</w:t>
      </w:r>
      <w:r>
        <w:rPr>
          <w:sz w:val="22"/>
          <w:szCs w:val="22"/>
        </w:rPr>
        <w:t>.</w:t>
      </w:r>
    </w:p>
    <w:p w:rsidR="00890AB8" w:rsidRDefault="00890AB8">
      <w:pPr>
        <w:rPr>
          <w:sz w:val="22"/>
          <w:szCs w:val="22"/>
        </w:rPr>
      </w:pPr>
    </w:p>
    <w:p w:rsidR="00890AB8" w:rsidRDefault="00890AB8">
      <w:pPr>
        <w:rPr>
          <w:sz w:val="22"/>
          <w:szCs w:val="22"/>
        </w:rPr>
      </w:pPr>
    </w:p>
    <w:p w:rsidR="00890AB8" w:rsidRDefault="00154E65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ABERTURA:</w:t>
      </w:r>
      <w:r>
        <w:rPr>
          <w:sz w:val="22"/>
          <w:szCs w:val="22"/>
        </w:rPr>
        <w:t xml:space="preserve"> O representante do Agente Fiduciário propôs aos presentes a eleição do Presidente e do Secretário da assembleia para, dentre outras providências, lavrar a presente ata. Após a devida eleição, foram abertos os trabalhos, tendo sido verificados os pressupostos de quorum e convocação, bem como os instrumentos de mandato dos representantes dos Debenturistas presentes, declarando o Sr. Presidente instalada a presente assembleia. Em seguida, foi realizada a leitura da Ordem do Dia. </w:t>
      </w:r>
    </w:p>
    <w:p w:rsidR="00890AB8" w:rsidRDefault="00890AB8">
      <w:pPr>
        <w:spacing w:line="320" w:lineRule="exact"/>
        <w:rPr>
          <w:sz w:val="22"/>
          <w:szCs w:val="22"/>
        </w:rPr>
      </w:pPr>
    </w:p>
    <w:p w:rsidR="00890AB8" w:rsidRPr="00B1687D" w:rsidRDefault="00154E65" w:rsidP="00B1687D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B1687D">
        <w:rPr>
          <w:b/>
          <w:sz w:val="22"/>
          <w:szCs w:val="22"/>
        </w:rPr>
        <w:t xml:space="preserve">DELIBERAÇÕES: </w:t>
      </w:r>
      <w:r w:rsidRPr="00B1687D">
        <w:rPr>
          <w:sz w:val="22"/>
          <w:szCs w:val="22"/>
        </w:rPr>
        <w:t>Aber</w:t>
      </w:r>
      <w:r w:rsidR="003F4F2B">
        <w:rPr>
          <w:sz w:val="22"/>
          <w:szCs w:val="22"/>
        </w:rPr>
        <w:t>ta a assembleia, o Debenturista</w:t>
      </w:r>
      <w:r w:rsidRPr="00B1687D">
        <w:rPr>
          <w:sz w:val="22"/>
          <w:szCs w:val="22"/>
        </w:rPr>
        <w:t xml:space="preserve"> aprovou, sem ressalvas</w:t>
      </w:r>
      <w:r w:rsidR="003F4F2B">
        <w:rPr>
          <w:sz w:val="22"/>
          <w:szCs w:val="22"/>
        </w:rPr>
        <w:t>,</w:t>
      </w:r>
      <w:r w:rsidRPr="00B1687D">
        <w:rPr>
          <w:sz w:val="22"/>
          <w:szCs w:val="22"/>
        </w:rPr>
        <w:t xml:space="preserve"> </w:t>
      </w:r>
      <w:r w:rsidR="00B1687D" w:rsidRPr="00B1687D">
        <w:rPr>
          <w:sz w:val="22"/>
          <w:szCs w:val="22"/>
        </w:rPr>
        <w:t xml:space="preserve">que a Fiadora Neoenergia S.A. seja isentada da obrigação de atendimento dos </w:t>
      </w:r>
      <w:r w:rsidR="00BF66DB" w:rsidRPr="00B1687D">
        <w:rPr>
          <w:sz w:val="22"/>
          <w:szCs w:val="22"/>
        </w:rPr>
        <w:t>Índices Financeiros previstos nas alíneas “i” e “j” da Cláusula 7.2.1</w:t>
      </w:r>
      <w:r w:rsidR="003F4F2B">
        <w:rPr>
          <w:sz w:val="22"/>
          <w:szCs w:val="22"/>
        </w:rPr>
        <w:t xml:space="preserve"> da escritura</w:t>
      </w:r>
      <w:r w:rsidR="00BF66DB" w:rsidRPr="00B1687D">
        <w:rPr>
          <w:sz w:val="22"/>
          <w:szCs w:val="22"/>
        </w:rPr>
        <w:t>, pelo período de 12 me</w:t>
      </w:r>
      <w:r w:rsidR="003F4F2B">
        <w:rPr>
          <w:sz w:val="22"/>
          <w:szCs w:val="22"/>
        </w:rPr>
        <w:t>ses, inicia</w:t>
      </w:r>
      <w:r w:rsidR="00BF66DB" w:rsidRPr="00B1687D">
        <w:rPr>
          <w:sz w:val="22"/>
          <w:szCs w:val="22"/>
        </w:rPr>
        <w:t>do a partir da apuração do trimestre findo em setembr</w:t>
      </w:r>
      <w:r w:rsidR="00B1687D" w:rsidRPr="00B1687D">
        <w:rPr>
          <w:sz w:val="22"/>
          <w:szCs w:val="22"/>
        </w:rPr>
        <w:t>o de 2017</w:t>
      </w:r>
      <w:r w:rsidR="003F4F2B">
        <w:rPr>
          <w:sz w:val="22"/>
          <w:szCs w:val="22"/>
        </w:rPr>
        <w:t xml:space="preserve">, ficando estabelecido ainda que não </w:t>
      </w:r>
      <w:proofErr w:type="gramStart"/>
      <w:r w:rsidR="003F4F2B">
        <w:rPr>
          <w:sz w:val="22"/>
          <w:szCs w:val="22"/>
        </w:rPr>
        <w:t>haverá</w:t>
      </w:r>
      <w:proofErr w:type="gramEnd"/>
      <w:r w:rsidR="003F4F2B">
        <w:rPr>
          <w:sz w:val="22"/>
          <w:szCs w:val="22"/>
        </w:rPr>
        <w:t xml:space="preserve"> vencimento antecipado, ou qualquer outra penalidade prevista na escritura, em função da apuração pela Fiadora dos Índices Financeiros supramencionados. E</w:t>
      </w:r>
      <w:r w:rsidR="00C14BBB" w:rsidRPr="00B1687D">
        <w:rPr>
          <w:sz w:val="22"/>
          <w:szCs w:val="22"/>
        </w:rPr>
        <w:t xml:space="preserve">m comum acordo com a Emissora, </w:t>
      </w:r>
      <w:r w:rsidR="003F4F2B">
        <w:rPr>
          <w:sz w:val="22"/>
          <w:szCs w:val="22"/>
        </w:rPr>
        <w:t xml:space="preserve">haverá o recebimento pelo Debenturista </w:t>
      </w:r>
      <w:r w:rsidR="00C14BBB" w:rsidRPr="00B1687D">
        <w:rPr>
          <w:sz w:val="22"/>
          <w:szCs w:val="22"/>
        </w:rPr>
        <w:t xml:space="preserve">do valor total correspondente a </w:t>
      </w:r>
      <w:r w:rsidR="00B1687D">
        <w:rPr>
          <w:sz w:val="22"/>
          <w:szCs w:val="22"/>
        </w:rPr>
        <w:t>0,5</w:t>
      </w:r>
      <w:r w:rsidR="00C34A78" w:rsidRPr="00B1687D">
        <w:rPr>
          <w:sz w:val="22"/>
          <w:szCs w:val="22"/>
        </w:rPr>
        <w:t>0</w:t>
      </w:r>
      <w:r w:rsidR="00C14BBB" w:rsidRPr="00B1687D">
        <w:rPr>
          <w:sz w:val="22"/>
          <w:szCs w:val="22"/>
        </w:rPr>
        <w:t>% (</w:t>
      </w:r>
      <w:r w:rsidR="00B1687D">
        <w:rPr>
          <w:sz w:val="22"/>
          <w:szCs w:val="22"/>
        </w:rPr>
        <w:t>cinquenta</w:t>
      </w:r>
      <w:r w:rsidR="00C34A78" w:rsidRPr="00B1687D">
        <w:rPr>
          <w:sz w:val="22"/>
          <w:szCs w:val="22"/>
        </w:rPr>
        <w:t xml:space="preserve"> pontos</w:t>
      </w:r>
      <w:r w:rsidR="00C14BBB" w:rsidRPr="00B1687D">
        <w:rPr>
          <w:sz w:val="22"/>
          <w:szCs w:val="22"/>
        </w:rPr>
        <w:t xml:space="preserve"> percentuais) do saldo devedor </w:t>
      </w:r>
      <w:r w:rsidR="00835B24">
        <w:rPr>
          <w:sz w:val="22"/>
          <w:szCs w:val="22"/>
        </w:rPr>
        <w:t>em 27</w:t>
      </w:r>
      <w:r w:rsidR="0028073D">
        <w:rPr>
          <w:sz w:val="22"/>
          <w:szCs w:val="22"/>
        </w:rPr>
        <w:t xml:space="preserve"> de outubro de </w:t>
      </w:r>
      <w:r w:rsidR="00835B24">
        <w:rPr>
          <w:sz w:val="22"/>
          <w:szCs w:val="22"/>
        </w:rPr>
        <w:t xml:space="preserve">2017 </w:t>
      </w:r>
      <w:r w:rsidR="00C14BBB" w:rsidRPr="00B1687D">
        <w:rPr>
          <w:sz w:val="22"/>
          <w:szCs w:val="22"/>
        </w:rPr>
        <w:t>das debêntures da Escritura de Emissão, que será pago pela Emissora até</w:t>
      </w:r>
      <w:r w:rsidR="00C34A78" w:rsidRPr="00B1687D">
        <w:rPr>
          <w:sz w:val="22"/>
          <w:szCs w:val="22"/>
        </w:rPr>
        <w:t xml:space="preserve"> </w:t>
      </w:r>
      <w:r w:rsidR="00B1687D">
        <w:rPr>
          <w:sz w:val="22"/>
          <w:szCs w:val="22"/>
        </w:rPr>
        <w:t>30</w:t>
      </w:r>
      <w:r w:rsidR="00C34A78" w:rsidRPr="00B1687D">
        <w:rPr>
          <w:sz w:val="22"/>
          <w:szCs w:val="22"/>
        </w:rPr>
        <w:t xml:space="preserve"> de </w:t>
      </w:r>
      <w:r w:rsidR="00B1687D">
        <w:rPr>
          <w:sz w:val="22"/>
          <w:szCs w:val="22"/>
        </w:rPr>
        <w:t>novembro</w:t>
      </w:r>
      <w:r w:rsidR="00C34A78" w:rsidRPr="00B1687D">
        <w:rPr>
          <w:sz w:val="22"/>
          <w:szCs w:val="22"/>
        </w:rPr>
        <w:t xml:space="preserve"> de 201</w:t>
      </w:r>
      <w:r w:rsidR="00B1687D">
        <w:rPr>
          <w:sz w:val="22"/>
          <w:szCs w:val="22"/>
        </w:rPr>
        <w:t>7</w:t>
      </w:r>
      <w:r w:rsidR="00C34A78" w:rsidRPr="00B1687D">
        <w:rPr>
          <w:sz w:val="22"/>
          <w:szCs w:val="22"/>
        </w:rPr>
        <w:t>, sendo que a Emissora compromete-se, de forma irretratável e irrevogável, a transferir tais recursos ao Debenturista</w:t>
      </w:r>
      <w:r w:rsidR="00835B24">
        <w:rPr>
          <w:sz w:val="22"/>
          <w:szCs w:val="22"/>
        </w:rPr>
        <w:t xml:space="preserve"> no ambiente da CETIP [Caixa FI-FGTS definir - confirmar]</w:t>
      </w:r>
      <w:r w:rsidR="00C34A78" w:rsidRPr="00B1687D">
        <w:rPr>
          <w:sz w:val="22"/>
          <w:szCs w:val="22"/>
        </w:rPr>
        <w:t xml:space="preserve">, renunciando expressamente, seja a que título </w:t>
      </w:r>
      <w:proofErr w:type="gramStart"/>
      <w:r w:rsidR="00C34A78" w:rsidRPr="00B1687D">
        <w:rPr>
          <w:sz w:val="22"/>
          <w:szCs w:val="22"/>
        </w:rPr>
        <w:t>for,</w:t>
      </w:r>
      <w:proofErr w:type="gramEnd"/>
      <w:r w:rsidR="00C34A78" w:rsidRPr="00B1687D">
        <w:rPr>
          <w:sz w:val="22"/>
          <w:szCs w:val="22"/>
        </w:rPr>
        <w:t xml:space="preserve"> a qualquer pretensão de demandar, contestar ou procrastinar o seu pagamento.</w:t>
      </w:r>
      <w:r w:rsidR="00835B24">
        <w:rPr>
          <w:sz w:val="22"/>
          <w:szCs w:val="22"/>
        </w:rPr>
        <w:t xml:space="preserve"> </w:t>
      </w:r>
    </w:p>
    <w:p w:rsidR="00890AB8" w:rsidRDefault="00890AB8">
      <w:pPr>
        <w:pStyle w:val="PargrafodaLista"/>
        <w:rPr>
          <w:sz w:val="22"/>
          <w:szCs w:val="22"/>
        </w:rPr>
      </w:pPr>
    </w:p>
    <w:p w:rsidR="00890AB8" w:rsidRDefault="00890AB8">
      <w:pPr>
        <w:rPr>
          <w:sz w:val="22"/>
          <w:szCs w:val="22"/>
        </w:rPr>
      </w:pPr>
    </w:p>
    <w:p w:rsidR="00890AB8" w:rsidRDefault="00154E65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>
        <w:rPr>
          <w:b/>
          <w:sz w:val="22"/>
          <w:szCs w:val="22"/>
        </w:rPr>
        <w:t>ENCERRAMENTO:</w:t>
      </w:r>
      <w:r>
        <w:rPr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Termos com iniciais maiúsculas utilizados neste documento que não estiverem expressamente aqui definidos têm o significado que lhes foi atribuído nos documentos da operação. Autorizada a lavratura da presente ata de Assembleia Geral de Debenturistas na forma de sumário e a sua publicação com omissão das assinaturas dos Debenturistas, nos termos do artigo 130, Parágrafos 1º e 2º da Lei nº 6.404/76, respectivamente.</w:t>
      </w:r>
    </w:p>
    <w:p w:rsidR="00890AB8" w:rsidRDefault="00890AB8">
      <w:pPr>
        <w:spacing w:line="320" w:lineRule="exact"/>
        <w:rPr>
          <w:sz w:val="22"/>
          <w:szCs w:val="22"/>
          <w:highlight w:val="yellow"/>
        </w:rPr>
      </w:pPr>
    </w:p>
    <w:p w:rsidR="00890AB8" w:rsidRDefault="00154E65">
      <w:pPr>
        <w:spacing w:line="32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Rio de Janeiro, </w:t>
      </w:r>
      <w:r w:rsidR="00B1687D">
        <w:rPr>
          <w:sz w:val="22"/>
          <w:szCs w:val="22"/>
        </w:rPr>
        <w:t>30 de Outubro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201</w:t>
      </w:r>
      <w:r w:rsidR="00B1687D">
        <w:rPr>
          <w:sz w:val="22"/>
          <w:szCs w:val="22"/>
        </w:rPr>
        <w:t>7</w:t>
      </w:r>
      <w:proofErr w:type="gramEnd"/>
    </w:p>
    <w:p w:rsidR="00890AB8" w:rsidRDefault="00890AB8">
      <w:pPr>
        <w:spacing w:line="320" w:lineRule="exact"/>
        <w:rPr>
          <w:sz w:val="22"/>
          <w:szCs w:val="22"/>
        </w:rPr>
      </w:pPr>
    </w:p>
    <w:p w:rsidR="00890AB8" w:rsidRDefault="00890AB8">
      <w:pPr>
        <w:spacing w:line="320" w:lineRule="exact"/>
        <w:rPr>
          <w:sz w:val="22"/>
          <w:szCs w:val="22"/>
        </w:rPr>
      </w:pPr>
    </w:p>
    <w:p w:rsidR="00890AB8" w:rsidRDefault="00890AB8">
      <w:pPr>
        <w:spacing w:line="320" w:lineRule="exac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90AB8">
        <w:tc>
          <w:tcPr>
            <w:tcW w:w="4463" w:type="dxa"/>
          </w:tcPr>
          <w:p w:rsidR="00890AB8" w:rsidRDefault="00154E65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464" w:type="dxa"/>
          </w:tcPr>
          <w:p w:rsidR="00890AB8" w:rsidRDefault="00154E65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</w:tr>
      <w:tr w:rsidR="00890AB8">
        <w:tc>
          <w:tcPr>
            <w:tcW w:w="4463" w:type="dxa"/>
          </w:tcPr>
          <w:p w:rsidR="00890AB8" w:rsidRDefault="00154E65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</w:t>
            </w:r>
          </w:p>
          <w:p w:rsidR="00890AB8" w:rsidRDefault="00B1687D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B1687D">
              <w:rPr>
                <w:sz w:val="22"/>
                <w:szCs w:val="22"/>
                <w:highlight w:val="yellow"/>
              </w:rPr>
              <w:t>[</w:t>
            </w:r>
            <w:r w:rsidR="00154E65" w:rsidRPr="00B1687D">
              <w:rPr>
                <w:sz w:val="22"/>
                <w:szCs w:val="22"/>
                <w:highlight w:val="yellow"/>
              </w:rPr>
              <w:t>Alessandro de Oliveira Nascimento</w:t>
            </w:r>
            <w:r w:rsidRPr="00B1687D">
              <w:rPr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4464" w:type="dxa"/>
          </w:tcPr>
          <w:p w:rsidR="00890AB8" w:rsidRDefault="00154E65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Secretário</w:t>
            </w:r>
          </w:p>
          <w:p w:rsidR="00890AB8" w:rsidRDefault="00B1687D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B1687D">
              <w:rPr>
                <w:sz w:val="22"/>
                <w:szCs w:val="22"/>
                <w:highlight w:val="yellow"/>
              </w:rPr>
              <w:t>[</w:t>
            </w:r>
            <w:r w:rsidR="00154E65" w:rsidRPr="00B1687D">
              <w:rPr>
                <w:sz w:val="22"/>
                <w:szCs w:val="22"/>
                <w:highlight w:val="yellow"/>
              </w:rPr>
              <w:t>Isabel Girão Paixão</w:t>
            </w:r>
            <w:r w:rsidRPr="00B1687D">
              <w:rPr>
                <w:sz w:val="22"/>
                <w:szCs w:val="22"/>
                <w:highlight w:val="yellow"/>
              </w:rPr>
              <w:t>]</w:t>
            </w:r>
          </w:p>
        </w:tc>
      </w:tr>
    </w:tbl>
    <w:p w:rsidR="00890AB8" w:rsidRDefault="00890AB8">
      <w:pPr>
        <w:spacing w:line="320" w:lineRule="exact"/>
        <w:ind w:right="44"/>
        <w:rPr>
          <w:sz w:val="22"/>
          <w:szCs w:val="22"/>
        </w:rPr>
      </w:pPr>
    </w:p>
    <w:p w:rsidR="00890AB8" w:rsidRDefault="00890AB8">
      <w:pPr>
        <w:spacing w:line="320" w:lineRule="exact"/>
        <w:ind w:right="44"/>
        <w:rPr>
          <w:sz w:val="22"/>
          <w:szCs w:val="22"/>
        </w:rPr>
      </w:pPr>
    </w:p>
    <w:p w:rsidR="00890AB8" w:rsidRDefault="00890AB8">
      <w:pPr>
        <w:spacing w:line="320" w:lineRule="exact"/>
        <w:ind w:right="44"/>
        <w:rPr>
          <w:sz w:val="22"/>
          <w:szCs w:val="22"/>
        </w:rPr>
      </w:pPr>
    </w:p>
    <w:p w:rsidR="00890AB8" w:rsidRDefault="00154E65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TELES PIRES PARTICIPAÇÕES S.A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90AB8" w:rsidRDefault="00154E65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Emissora</w:t>
      </w: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154E65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NEOENERGIA S.A</w:t>
      </w:r>
    </w:p>
    <w:p w:rsidR="00890AB8" w:rsidRDefault="00154E65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Fiadora</w:t>
      </w: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890AB8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90AB8" w:rsidRDefault="00154E65">
      <w:pPr>
        <w:widowControl/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SIMPLIFIC PAVARINI DISTRIBUIDORA DE TÍTULOS E VALORES MOBILIÁRIOS LTDA.</w:t>
      </w:r>
    </w:p>
    <w:p w:rsidR="00890AB8" w:rsidRDefault="00154E65">
      <w:pPr>
        <w:widowControl/>
        <w:spacing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Agente Fiduciário</w:t>
      </w:r>
    </w:p>
    <w:p w:rsidR="00890AB8" w:rsidRDefault="00890AB8">
      <w:pPr>
        <w:spacing w:line="320" w:lineRule="exact"/>
        <w:rPr>
          <w:b/>
          <w:bCs/>
          <w:sz w:val="22"/>
          <w:szCs w:val="22"/>
        </w:rPr>
      </w:pPr>
    </w:p>
    <w:p w:rsidR="00890AB8" w:rsidRDefault="00890AB8">
      <w:pPr>
        <w:spacing w:line="320" w:lineRule="exact"/>
        <w:rPr>
          <w:b/>
          <w:bCs/>
          <w:sz w:val="22"/>
          <w:szCs w:val="22"/>
        </w:rPr>
      </w:pPr>
    </w:p>
    <w:p w:rsidR="00890AB8" w:rsidRDefault="00890AB8">
      <w:pPr>
        <w:spacing w:line="320" w:lineRule="exact"/>
        <w:rPr>
          <w:b/>
          <w:bCs/>
          <w:sz w:val="22"/>
          <w:szCs w:val="22"/>
        </w:rPr>
      </w:pPr>
    </w:p>
    <w:p w:rsidR="00890AB8" w:rsidRDefault="00890AB8">
      <w:pPr>
        <w:spacing w:line="320" w:lineRule="exact"/>
        <w:rPr>
          <w:b/>
          <w:bCs/>
          <w:sz w:val="22"/>
          <w:szCs w:val="22"/>
        </w:rPr>
      </w:pPr>
    </w:p>
    <w:p w:rsidR="00890AB8" w:rsidRDefault="00154E65">
      <w:pPr>
        <w:widowControl/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FUNDO DE INVESTIMENTO DO FUNDO DE GARANTIA DO TEMPO DE SERVIÇO - FI - FGTS</w:t>
      </w:r>
    </w:p>
    <w:p w:rsidR="00890AB8" w:rsidRDefault="00154E65">
      <w:pPr>
        <w:widowControl/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Debenturista</w:t>
      </w:r>
    </w:p>
    <w:sectPr w:rsidR="00890AB8">
      <w:footerReference w:type="defaul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80" w:rsidRDefault="006E6C80">
      <w:r>
        <w:separator/>
      </w:r>
    </w:p>
  </w:endnote>
  <w:endnote w:type="continuationSeparator" w:id="0">
    <w:p w:rsidR="006E6C80" w:rsidRDefault="006E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B8" w:rsidRDefault="00890AB8">
    <w:pPr>
      <w:pStyle w:val="Rodap"/>
      <w:ind w:right="360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B8" w:rsidRDefault="00890AB8">
    <w:pPr>
      <w:pStyle w:val="Rodap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80" w:rsidRDefault="006E6C80">
      <w:r>
        <w:separator/>
      </w:r>
    </w:p>
  </w:footnote>
  <w:footnote w:type="continuationSeparator" w:id="0">
    <w:p w:rsidR="006E6C80" w:rsidRDefault="006E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3012F95"/>
    <w:multiLevelType w:val="hybridMultilevel"/>
    <w:tmpl w:val="0E82033A"/>
    <w:lvl w:ilvl="0" w:tplc="F6D4DD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60F7825"/>
    <w:multiLevelType w:val="hybridMultilevel"/>
    <w:tmpl w:val="CA98DD22"/>
    <w:lvl w:ilvl="0" w:tplc="05FA96B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3D2800"/>
    <w:multiLevelType w:val="hybridMultilevel"/>
    <w:tmpl w:val="FF865932"/>
    <w:lvl w:ilvl="0" w:tplc="564C3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4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3"/>
  </w:num>
  <w:num w:numId="2">
    <w:abstractNumId w:val="29"/>
  </w:num>
  <w:num w:numId="3">
    <w:abstractNumId w:val="14"/>
  </w:num>
  <w:num w:numId="4">
    <w:abstractNumId w:val="39"/>
  </w:num>
  <w:num w:numId="5">
    <w:abstractNumId w:val="34"/>
  </w:num>
  <w:num w:numId="6">
    <w:abstractNumId w:val="25"/>
  </w:num>
  <w:num w:numId="7">
    <w:abstractNumId w:val="1"/>
  </w:num>
  <w:num w:numId="8">
    <w:abstractNumId w:val="38"/>
  </w:num>
  <w:num w:numId="9">
    <w:abstractNumId w:val="3"/>
  </w:num>
  <w:num w:numId="10">
    <w:abstractNumId w:val="31"/>
  </w:num>
  <w:num w:numId="11">
    <w:abstractNumId w:val="6"/>
  </w:num>
  <w:num w:numId="12">
    <w:abstractNumId w:val="35"/>
  </w:num>
  <w:num w:numId="13">
    <w:abstractNumId w:val="11"/>
  </w:num>
  <w:num w:numId="14">
    <w:abstractNumId w:val="43"/>
  </w:num>
  <w:num w:numId="15">
    <w:abstractNumId w:val="37"/>
  </w:num>
  <w:num w:numId="16">
    <w:abstractNumId w:val="36"/>
  </w:num>
  <w:num w:numId="17">
    <w:abstractNumId w:val="17"/>
  </w:num>
  <w:num w:numId="18">
    <w:abstractNumId w:val="7"/>
  </w:num>
  <w:num w:numId="19">
    <w:abstractNumId w:val="44"/>
  </w:num>
  <w:num w:numId="20">
    <w:abstractNumId w:val="12"/>
  </w:num>
  <w:num w:numId="21">
    <w:abstractNumId w:val="23"/>
  </w:num>
  <w:num w:numId="22">
    <w:abstractNumId w:val="42"/>
  </w:num>
  <w:num w:numId="23">
    <w:abstractNumId w:val="24"/>
  </w:num>
  <w:num w:numId="24">
    <w:abstractNumId w:val="26"/>
  </w:num>
  <w:num w:numId="25">
    <w:abstractNumId w:val="19"/>
  </w:num>
  <w:num w:numId="26">
    <w:abstractNumId w:val="41"/>
  </w:num>
  <w:num w:numId="27">
    <w:abstractNumId w:val="15"/>
  </w:num>
  <w:num w:numId="28">
    <w:abstractNumId w:val="13"/>
  </w:num>
  <w:num w:numId="29">
    <w:abstractNumId w:val="2"/>
  </w:num>
  <w:num w:numId="30">
    <w:abstractNumId w:val="20"/>
  </w:num>
  <w:num w:numId="31">
    <w:abstractNumId w:val="30"/>
  </w:num>
  <w:num w:numId="32">
    <w:abstractNumId w:val="21"/>
  </w:num>
  <w:num w:numId="33">
    <w:abstractNumId w:val="28"/>
  </w:num>
  <w:num w:numId="34">
    <w:abstractNumId w:val="10"/>
  </w:num>
  <w:num w:numId="35">
    <w:abstractNumId w:val="16"/>
  </w:num>
  <w:num w:numId="36">
    <w:abstractNumId w:val="18"/>
  </w:num>
  <w:num w:numId="37">
    <w:abstractNumId w:val="22"/>
  </w:num>
  <w:num w:numId="38">
    <w:abstractNumId w:val="3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4"/>
  </w:num>
  <w:num w:numId="41">
    <w:abstractNumId w:val="27"/>
  </w:num>
  <w:num w:numId="42">
    <w:abstractNumId w:val="5"/>
  </w:num>
  <w:num w:numId="43">
    <w:abstractNumId w:val="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 Luis Casagrande">
    <w15:presenceInfo w15:providerId="AD" w15:userId="S-1-5-21-2994637511-790031978-1797744665-57703"/>
  </w15:person>
  <w15:person w15:author="Carlos Alberto Bacha">
    <w15:presenceInfo w15:providerId="AD" w15:userId="S-1-5-21-2887525483-3408996018-3344672090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B8"/>
    <w:rsid w:val="00154E65"/>
    <w:rsid w:val="0028073D"/>
    <w:rsid w:val="003F4F2B"/>
    <w:rsid w:val="00491BFA"/>
    <w:rsid w:val="0052188A"/>
    <w:rsid w:val="006E6C80"/>
    <w:rsid w:val="007964D4"/>
    <w:rsid w:val="00835B24"/>
    <w:rsid w:val="00890AB8"/>
    <w:rsid w:val="008C0E76"/>
    <w:rsid w:val="00B1687D"/>
    <w:rsid w:val="00BF66DB"/>
    <w:rsid w:val="00C14BBB"/>
    <w:rsid w:val="00C34A78"/>
    <w:rsid w:val="00CE0351"/>
    <w:rsid w:val="00C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DB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PlaceholderText1">
    <w:name w:val="Placeholder Text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33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DB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PlaceholderText1">
    <w:name w:val="Placeholder Text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33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460A-2168-434B-AC3D-75ED2CC7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738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Isabel Girão Paixão</cp:lastModifiedBy>
  <cp:revision>3</cp:revision>
  <cp:lastPrinted>2016-08-04T13:41:00Z</cp:lastPrinted>
  <dcterms:created xsi:type="dcterms:W3CDTF">2017-10-27T21:51:00Z</dcterms:created>
  <dcterms:modified xsi:type="dcterms:W3CDTF">2017-10-27T22:08:00Z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- 362824v1 </vt:lpwstr>
  </property>
</Properties>
</file>