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ab/>
      </w:r>
    </w:p>
    <w:p>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pPr>
        <w:pStyle w:val="Default"/>
        <w:tabs>
          <w:tab w:val="left" w:pos="5419"/>
        </w:tabs>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jc w:val="center"/>
        <w:rPr>
          <w:sz w:val="20"/>
          <w:szCs w:val="20"/>
        </w:rPr>
      </w:pPr>
      <w:r>
        <w:rPr>
          <w:sz w:val="20"/>
          <w:szCs w:val="20"/>
        </w:rPr>
        <w:t>e</w:t>
      </w: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pPr>
        <w:pStyle w:val="CM17"/>
        <w:spacing w:before="140" w:line="290" w:lineRule="auto"/>
        <w:rPr>
          <w:rFonts w:ascii="Arial" w:hAnsi="Arial" w:cs="Arial"/>
          <w:color w:val="000000"/>
          <w:sz w:val="20"/>
          <w:szCs w:val="20"/>
        </w:rPr>
      </w:pPr>
    </w:p>
    <w:p>
      <w:pPr>
        <w:pStyle w:val="CM17"/>
        <w:spacing w:before="140" w:line="290" w:lineRule="auto"/>
        <w:rPr>
          <w:rFonts w:ascii="Arial" w:hAnsi="Arial" w:cs="Arial"/>
          <w:color w:val="000000"/>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CM17"/>
        <w:spacing w:before="140" w:line="290" w:lineRule="auto"/>
        <w:rPr>
          <w:rFonts w:ascii="Arial" w:hAnsi="Arial" w:cs="Arial"/>
          <w:color w:val="000000"/>
          <w:sz w:val="20"/>
          <w:szCs w:val="20"/>
        </w:rPr>
      </w:pPr>
    </w:p>
    <w:p>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 de [</w:t>
      </w:r>
      <w:r>
        <w:rPr>
          <w:rFonts w:ascii="Arial" w:hAnsi="Arial" w:cs="Arial"/>
          <w:color w:val="000000"/>
          <w:sz w:val="20"/>
          <w:szCs w:val="20"/>
        </w:rPr>
        <w:sym w:font="Symbol" w:char="F0B7"/>
      </w:r>
      <w:r>
        <w:rPr>
          <w:rFonts w:ascii="Arial" w:hAnsi="Arial" w:cs="Arial"/>
          <w:color w:val="000000"/>
          <w:sz w:val="20"/>
          <w:szCs w:val="20"/>
        </w:rPr>
        <w:t>] de 2021</w:t>
      </w:r>
    </w:p>
    <w:p>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pPr>
        <w:pBdr>
          <w:bottom w:val="double" w:sz="6" w:space="1" w:color="auto"/>
        </w:pBdr>
        <w:spacing w:before="140" w:line="290" w:lineRule="auto"/>
        <w:rPr>
          <w:rFonts w:ascii="Arial" w:hAnsi="Arial" w:cs="Arial"/>
          <w:smallCaps/>
          <w:sz w:val="20"/>
          <w:szCs w:val="20"/>
        </w:rPr>
      </w:pPr>
    </w:p>
    <w:p>
      <w:pPr>
        <w:pStyle w:val="CM13"/>
        <w:spacing w:before="140" w:line="290" w:lineRule="auto"/>
        <w:jc w:val="both"/>
        <w:rPr>
          <w:rFonts w:ascii="Arial" w:hAnsi="Arial" w:cs="Arial"/>
          <w:b/>
          <w:bCs/>
          <w:color w:val="000000"/>
          <w:sz w:val="20"/>
          <w:szCs w:val="20"/>
        </w:rPr>
      </w:pPr>
    </w:p>
    <w:p>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pPr>
        <w:spacing w:before="140" w:line="290" w:lineRule="auto"/>
        <w:rPr>
          <w:rFonts w:ascii="Arial" w:hAnsi="Arial" w:cs="Arial"/>
          <w:sz w:val="20"/>
          <w:szCs w:val="20"/>
        </w:rPr>
      </w:pPr>
      <w:bookmarkStart w:id="0" w:name="_DV_M1"/>
      <w:bookmarkEnd w:id="0"/>
      <w:r>
        <w:rPr>
          <w:rFonts w:ascii="Arial" w:hAnsi="Arial" w:cs="Arial"/>
          <w:sz w:val="20"/>
          <w:szCs w:val="20"/>
        </w:rPr>
        <w:t>Pelo presente</w:t>
      </w:r>
      <w:r>
        <w:t xml:space="preserve"> </w:t>
      </w:r>
      <w:r>
        <w:rPr>
          <w:rFonts w:ascii="Arial" w:hAnsi="Arial" w:cs="Arial"/>
          <w:sz w:val="20"/>
          <w:szCs w:val="20"/>
        </w:rPr>
        <w:t>instrumento particular, de um lado,</w:t>
      </w:r>
    </w:p>
    <w:p>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legal(is) devidamente autorizado(s) e identificado(s) nas páginas de assinaturas do presente instrumento, na forma do seu estatuto social (“</w:t>
      </w:r>
      <w:r>
        <w:rPr>
          <w:b/>
        </w:rPr>
        <w:t>Emissora</w:t>
      </w:r>
      <w:r>
        <w:t>”);</w:t>
      </w:r>
    </w:p>
    <w:p>
      <w:pPr>
        <w:spacing w:before="140" w:after="140" w:line="290" w:lineRule="auto"/>
        <w:rPr>
          <w:rFonts w:ascii="Arial" w:hAnsi="Arial" w:cs="Arial"/>
          <w:sz w:val="20"/>
          <w:szCs w:val="20"/>
        </w:rPr>
      </w:pPr>
      <w:r>
        <w:rPr>
          <w:rFonts w:ascii="Arial" w:hAnsi="Arial" w:cs="Arial"/>
          <w:sz w:val="20"/>
          <w:szCs w:val="20"/>
        </w:rPr>
        <w:t>e, de outro lado,</w:t>
      </w:r>
    </w:p>
    <w:p>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Pr>
          <w:b/>
        </w:rPr>
        <w:t>Agente Fiduciário</w:t>
      </w:r>
      <w:r>
        <w:t>”), na qualidade de representante dos titulares das Debêntures (conforme abaixo definidas) (“</w:t>
      </w:r>
      <w:r>
        <w:rPr>
          <w:b/>
          <w:bCs w:val="0"/>
        </w:rPr>
        <w:t>Debenturistas</w:t>
      </w:r>
      <w:r>
        <w:t>”);</w:t>
      </w:r>
    </w:p>
    <w:p>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pPr>
        <w:pStyle w:val="Level1"/>
      </w:pPr>
      <w:bookmarkStart w:id="1" w:name="_DV_M8"/>
      <w:bookmarkEnd w:id="1"/>
      <w:r>
        <w:t>AUTORIZAÇÃO</w:t>
      </w:r>
    </w:p>
    <w:p>
      <w:pPr>
        <w:pStyle w:val="Level2"/>
        <w:rPr>
          <w:rFonts w:cs="Arial"/>
          <w:szCs w:val="20"/>
          <w:lang w:val="pt-BR"/>
        </w:rPr>
      </w:pPr>
      <w:bookmarkStart w:id="2" w:name="_DV_M9"/>
      <w:bookmarkEnd w:id="2"/>
      <w:r>
        <w:rPr>
          <w:lang w:val="pt-BR"/>
        </w:rPr>
        <w:t>A presente Escritura de Emissão é celebrada com base nas deliberações tomadas pelo Conselho de Administração da Emissora, em reunião realizada em [</w:t>
      </w:r>
      <w:r>
        <w:rPr>
          <w:lang w:val="pt-BR"/>
        </w:rPr>
        <w:sym w:font="Symbol" w:char="F0B7"/>
      </w:r>
      <w:r>
        <w:rPr>
          <w:lang w:val="pt-BR"/>
        </w:rPr>
        <w:t>] de [</w:t>
      </w:r>
      <w:r>
        <w:rPr>
          <w:lang w:val="pt-BR"/>
        </w:rPr>
        <w:sym w:font="Symbol" w:char="F0B7"/>
      </w:r>
      <w:r>
        <w:rPr>
          <w:lang w:val="pt-BR"/>
        </w:rPr>
        <w:t>]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 xml:space="preserve">”) </w:t>
      </w:r>
      <w:bookmarkStart w:id="3" w:name="_Hlk66130868"/>
      <w:r>
        <w:rPr>
          <w:rFonts w:cs="Arial"/>
          <w:szCs w:val="20"/>
          <w:lang w:val="pt-BR"/>
        </w:rPr>
        <w:t xml:space="preserve">da Instrução CVM nº 471, de 08 de agosto de 2008 </w:t>
      </w:r>
      <w:r>
        <w:rPr>
          <w:rFonts w:cs="Arial"/>
          <w:szCs w:val="20"/>
          <w:lang w:val="pt-BR"/>
        </w:rPr>
        <w:lastRenderedPageBreak/>
        <w:t>(“</w:t>
      </w:r>
      <w:r>
        <w:rPr>
          <w:rFonts w:cs="Arial"/>
          <w:b/>
          <w:bCs/>
          <w:szCs w:val="20"/>
          <w:lang w:val="pt-BR"/>
        </w:rPr>
        <w:t>Instrução CVM 471</w:t>
      </w:r>
      <w:r>
        <w:rPr>
          <w:rFonts w:cs="Arial"/>
          <w:szCs w:val="20"/>
          <w:lang w:val="pt-BR"/>
        </w:rPr>
        <w:t xml:space="preserve">”) e do </w:t>
      </w:r>
      <w:r>
        <w:rPr>
          <w:iCs/>
          <w:lang w:val="pt-BR"/>
        </w:rPr>
        <w:t>“</w:t>
      </w:r>
      <w:r>
        <w:rPr>
          <w:i/>
          <w:iCs/>
          <w:lang w:val="pt-BR"/>
        </w:rPr>
        <w:t>Código ANBIMA de Regulação e Melhores Práticas 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3"/>
      <w:r>
        <w:rPr>
          <w:iCs/>
          <w:lang w:val="pt-BR"/>
        </w:rPr>
        <w:t>)</w:t>
      </w:r>
      <w:r>
        <w:rPr>
          <w:rFonts w:cs="Arial"/>
          <w:szCs w:val="20"/>
          <w:lang w:val="pt-BR"/>
        </w:rPr>
        <w:t>,  e das demais disposições legais e regulamentares aplicáveis (“</w:t>
      </w:r>
      <w:r>
        <w:rPr>
          <w:rFonts w:cs="Arial"/>
          <w:b/>
          <w:szCs w:val="20"/>
          <w:lang w:val="pt-BR"/>
        </w:rPr>
        <w:t>Oferta</w:t>
      </w:r>
      <w:r>
        <w:rPr>
          <w:rFonts w:cs="Arial"/>
          <w:szCs w:val="20"/>
          <w:lang w:val="pt-BR"/>
        </w:rPr>
        <w:t>”).</w:t>
      </w:r>
    </w:p>
    <w:p>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 xml:space="preserve">a quantidade de séries da Oferta e a quantidade de Debêntures a ser alocada na primeira e na segunda série, caso emitidas, conforme definidos no Procedimento de </w:t>
      </w:r>
      <w:r>
        <w:rPr>
          <w:i/>
          <w:iCs/>
          <w:lang w:val="pt-BR"/>
        </w:rPr>
        <w:t>Bookbuilding</w:t>
      </w:r>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4" w:name="_DV_M10"/>
      <w:bookmarkEnd w:id="4"/>
    </w:p>
    <w:p>
      <w:pPr>
        <w:pStyle w:val="Level1"/>
      </w:pPr>
      <w:bookmarkStart w:id="5" w:name="_Ref475089583"/>
      <w:r>
        <w:t>REQUISITOS</w:t>
      </w:r>
      <w:bookmarkEnd w:id="5"/>
    </w:p>
    <w:p>
      <w:pPr>
        <w:pStyle w:val="Level2"/>
        <w:numPr>
          <w:ilvl w:val="0"/>
          <w:numId w:val="0"/>
        </w:numPr>
        <w:spacing w:before="140" w:after="0"/>
        <w:rPr>
          <w:lang w:val="pt-BR"/>
        </w:rPr>
      </w:pPr>
      <w:bookmarkStart w:id="6" w:name="_DV_M11"/>
      <w:bookmarkEnd w:id="6"/>
      <w:r>
        <w:rPr>
          <w:lang w:val="pt-BR"/>
        </w:rPr>
        <w:t>A Emissão e a Oferta serão realizadas com observância dos seguintes requisitos:</w:t>
      </w:r>
    </w:p>
    <w:p>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Pr>
          <w:rFonts w:cs="Arial"/>
          <w:b/>
          <w:lang w:val="pt-BR"/>
        </w:rPr>
        <w:t>Arquivamento e Publicação da RCA de Emissão</w:t>
      </w:r>
    </w:p>
    <w:p>
      <w:pPr>
        <w:pStyle w:val="Level3"/>
        <w:spacing w:before="140"/>
        <w:ind w:left="1360" w:hanging="680"/>
        <w:rPr>
          <w:lang w:val="pt-BR"/>
        </w:rPr>
      </w:pPr>
      <w:bookmarkStart w:id="11" w:name="_DV_M16"/>
      <w:bookmarkEnd w:id="11"/>
      <w:r>
        <w:rPr>
          <w:lang w:val="pt-BR"/>
        </w:rPr>
        <w:t>A ata da RCA de Emissão que deliberou a Emissão e a Oferta será arquivada na JUCERJA</w:t>
      </w:r>
      <w:r>
        <w:rPr>
          <w:rFonts w:eastAsia="Calibri"/>
          <w:lang w:val="pt-BR"/>
        </w:rPr>
        <w:t xml:space="preserve"> </w:t>
      </w:r>
      <w:bookmarkStart w:id="12" w:name="_DV_M17"/>
      <w:bookmarkStart w:id="13" w:name="_DV_M18"/>
      <w:bookmarkEnd w:id="12"/>
      <w:bookmarkEnd w:id="13"/>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 xml:space="preserve">”) e </w:t>
      </w:r>
      <w:r>
        <w:rPr>
          <w:b/>
          <w:lang w:val="pt-BR"/>
        </w:rPr>
        <w:t>(ii)</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pPr>
        <w:pStyle w:val="Level2"/>
        <w:spacing w:before="140" w:after="0"/>
        <w:rPr>
          <w:rFonts w:cs="Arial"/>
          <w:b/>
          <w:lang w:val="pt-BR"/>
        </w:rPr>
      </w:pPr>
      <w:bookmarkStart w:id="14" w:name="_DV_M20"/>
      <w:bookmarkStart w:id="15" w:name="_Ref427712429"/>
      <w:bookmarkEnd w:id="14"/>
      <w:r>
        <w:rPr>
          <w:rFonts w:cs="Arial"/>
          <w:b/>
          <w:lang w:val="pt-BR"/>
        </w:rPr>
        <w:t>Inscrição desta Escritura de Emissão e seus eventuais aditamentos</w:t>
      </w:r>
      <w:bookmarkEnd w:id="15"/>
    </w:p>
    <w:p>
      <w:pPr>
        <w:pStyle w:val="Level3"/>
        <w:spacing w:before="140"/>
        <w:rPr>
          <w:rFonts w:cs="Arial"/>
          <w:lang w:val="pt-BR"/>
        </w:rPr>
      </w:pPr>
      <w:bookmarkStart w:id="16" w:name="_DV_M21"/>
      <w:bookmarkStart w:id="17" w:name="_Ref427660038"/>
      <w:bookmarkEnd w:id="16"/>
      <w:r>
        <w:rPr>
          <w:rFonts w:cs="Arial"/>
          <w:lang w:val="pt-BR"/>
        </w:rPr>
        <w:t xml:space="preserve">Esta Escritura de Emissão e seus eventuais aditamentos serão inscritos na </w:t>
      </w:r>
      <w:r>
        <w:rPr>
          <w:rFonts w:cs="Arial"/>
          <w:bCs/>
          <w:lang w:val="pt-BR"/>
        </w:rPr>
        <w:t>JUCERJA</w:t>
      </w:r>
      <w:r>
        <w:rPr>
          <w:rFonts w:cs="Arial"/>
          <w:lang w:val="pt-BR"/>
        </w:rPr>
        <w:t xml:space="preserve"> de acordo com o inciso II e o </w:t>
      </w:r>
      <w:r>
        <w:rPr>
          <w:lang w:val="pt-BR"/>
        </w:rPr>
        <w:t xml:space="preserve">parágrafo 3º do </w:t>
      </w:r>
      <w:r>
        <w:rPr>
          <w:rFonts w:cs="Arial"/>
          <w:lang w:val="pt-BR"/>
        </w:rPr>
        <w:t>artigo 62 da Lei das Sociedades por Ações.</w:t>
      </w:r>
      <w:bookmarkEnd w:id="17"/>
      <w:r>
        <w:rPr>
          <w:rFonts w:cs="Arial"/>
          <w:lang w:val="pt-BR"/>
        </w:rPr>
        <w:t xml:space="preserve"> </w:t>
      </w:r>
    </w:p>
    <w:p>
      <w:pPr>
        <w:pStyle w:val="Level3"/>
        <w:rPr>
          <w:lang w:val="pt-BR"/>
        </w:rPr>
      </w:pPr>
      <w:bookmarkStart w:id="18" w:name="_Ref475356139"/>
      <w:r>
        <w:rPr>
          <w:rFonts w:cs="Arial"/>
          <w:lang w:val="pt-BR"/>
        </w:rPr>
        <w:t xml:space="preserve">Nos termos da Cláusula abaixo, esta Escritura de Emissão será objeto de aditamento para refletir o resultado do Procedimento de </w:t>
      </w:r>
      <w:r>
        <w:rPr>
          <w:rFonts w:cs="Arial"/>
          <w:i/>
          <w:lang w:val="pt-BR"/>
        </w:rPr>
        <w:t xml:space="preserve">Bookbuilding </w:t>
      </w:r>
      <w:r>
        <w:rPr>
          <w:rFonts w:cs="Arial"/>
          <w:lang w:val="pt-BR"/>
        </w:rPr>
        <w:t xml:space="preserve">(conforme abaixo definido), o qual irá definir </w:t>
      </w:r>
      <w:r>
        <w:rPr>
          <w:lang w:val="pt-BR"/>
        </w:rPr>
        <w:t>a quantidade de séries da Oferta e a quantidade de Debêntures a ser alocada na primeira e na segunda série, caso emitidas</w:t>
      </w:r>
      <w:r>
        <w:rPr>
          <w:rFonts w:cs="Arial"/>
          <w:lang w:val="pt-BR"/>
        </w:rPr>
        <w:t xml:space="preserve">, nos termos e condições aprovados na RCA de Emissão, e, portanto, sem a necessidade de nova aprovação societária pela Emissora. O aditamento de que trata esta Cláusula </w:t>
      </w:r>
      <w:r>
        <w:rPr>
          <w:rFonts w:cs="Arial"/>
          <w:lang w:val="pt-BR"/>
        </w:rPr>
        <w:fldChar w:fldCharType="begin"/>
      </w:r>
      <w:r>
        <w:rPr>
          <w:rFonts w:cs="Arial"/>
          <w:lang w:val="pt-BR"/>
        </w:rPr>
        <w:instrText xml:space="preserve"> REF _Ref475356139 \r \h </w:instrText>
      </w:r>
      <w:r>
        <w:rPr>
          <w:rFonts w:cs="Arial"/>
          <w:lang w:val="pt-BR"/>
        </w:rPr>
      </w:r>
      <w:r>
        <w:rPr>
          <w:rFonts w:cs="Arial"/>
          <w:lang w:val="pt-BR"/>
        </w:rPr>
        <w:fldChar w:fldCharType="separate"/>
      </w:r>
      <w:r>
        <w:rPr>
          <w:rFonts w:cs="Arial"/>
          <w:lang w:val="pt-BR"/>
        </w:rPr>
        <w:t>2.2.2</w:t>
      </w:r>
      <w:r>
        <w:rPr>
          <w:rFonts w:cs="Arial"/>
          <w:lang w:val="pt-BR"/>
        </w:rPr>
        <w:fldChar w:fldCharType="end"/>
      </w:r>
      <w:r>
        <w:rPr>
          <w:rFonts w:cs="Arial"/>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rFonts w:cs="Arial"/>
          <w:lang w:val="pt-BR"/>
        </w:rPr>
        <w:t>2.2.1</w:t>
      </w:r>
      <w:r>
        <w:rPr>
          <w:lang w:val="pt-BR"/>
        </w:rPr>
        <w:fldChar w:fldCharType="end"/>
      </w:r>
      <w:r>
        <w:rPr>
          <w:rFonts w:cs="Arial"/>
          <w:lang w:val="pt-BR"/>
        </w:rPr>
        <w:t xml:space="preserve"> acima. </w:t>
      </w:r>
    </w:p>
    <w:p>
      <w:pPr>
        <w:pStyle w:val="Level3"/>
        <w:rPr>
          <w:lang w:val="pt-BR"/>
        </w:rPr>
      </w:pPr>
      <w:r>
        <w:rPr>
          <w:lang w:val="pt-BR"/>
        </w:rPr>
        <w:t xml:space="preserve">A </w:t>
      </w:r>
      <w:bookmarkStart w:id="19" w:name="_Hlk37164625"/>
      <w:r>
        <w:rPr>
          <w:lang w:val="pt-BR"/>
        </w:rPr>
        <w:t>Emissora deverá protocolar esta Escritura de Emissão na JUCERJA em até 10 (dez) Dias Úteis contados da celebração desta Escritura de Emissão</w:t>
      </w:r>
      <w:bookmarkEnd w:id="19"/>
      <w:r>
        <w:rPr>
          <w:rFonts w:cs="Arial"/>
          <w:lang w:val="pt-BR"/>
        </w:rPr>
        <w:t>.</w:t>
      </w:r>
      <w:bookmarkEnd w:id="18"/>
      <w:r>
        <w:rPr>
          <w:rFonts w:cs="Arial"/>
          <w:lang w:val="pt-BR"/>
        </w:rPr>
        <w:t xml:space="preserve"> [</w:t>
      </w:r>
      <w:r>
        <w:rPr>
          <w:rFonts w:cs="Arial"/>
          <w:highlight w:val="yellow"/>
          <w:lang w:val="pt-BR"/>
        </w:rPr>
        <w:t>Nota PNA: obrigação de em 10 Dias Úteis da assinatura da Escritura esta Escritura esteja registrada não é possível, pois depende de junta comercial e não da Companhia. Podemos manter prazo para protocolo na Junta Comercial contado da assinatura</w:t>
      </w:r>
      <w:r>
        <w:rPr>
          <w:rFonts w:cs="Arial"/>
          <w:lang w:val="pt-BR"/>
        </w:rPr>
        <w:t>]</w:t>
      </w:r>
    </w:p>
    <w:p>
      <w:pPr>
        <w:pStyle w:val="Level3"/>
        <w:spacing w:before="140"/>
        <w:rPr>
          <w:rFonts w:cs="Arial"/>
          <w:lang w:val="pt-BR"/>
        </w:rPr>
      </w:pPr>
      <w:bookmarkStart w:id="20" w:name="_DV_M22"/>
      <w:bookmarkEnd w:id="20"/>
      <w:r>
        <w:rPr>
          <w:rFonts w:cs="Arial"/>
          <w:lang w:val="pt-BR"/>
        </w:rPr>
        <w:lastRenderedPageBreak/>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pPr>
        <w:pStyle w:val="Level2"/>
        <w:rPr>
          <w:rFonts w:cs="Arial"/>
          <w:b/>
          <w:lang w:val="pt-BR"/>
        </w:rPr>
      </w:pPr>
      <w:r>
        <w:rPr>
          <w:rFonts w:cs="Arial"/>
          <w:b/>
          <w:lang w:val="pt-BR"/>
        </w:rPr>
        <w:t>Dispensa de Registro na CVM e Registro na Associação Brasileira das Entidades dos Mercados Financeiro e de Capitais (“ANBIMA”)</w:t>
      </w:r>
    </w:p>
    <w:p>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pPr>
        <w:pStyle w:val="Level2"/>
        <w:rPr>
          <w:lang w:val="pt-BR"/>
        </w:rPr>
      </w:pPr>
      <w:bookmarkStart w:id="21" w:name="_DV_M23"/>
      <w:bookmarkEnd w:id="21"/>
      <w:r>
        <w:rPr>
          <w:b/>
          <w:lang w:val="pt-BR"/>
        </w:rPr>
        <w:t>Distribuição,</w:t>
      </w:r>
      <w:r>
        <w:rPr>
          <w:rStyle w:val="DeltaViewInsertion"/>
          <w:rFonts w:cs="Arial"/>
          <w:b/>
          <w:bCs/>
          <w:color w:val="auto"/>
          <w:szCs w:val="20"/>
          <w:u w:val="none"/>
          <w:lang w:val="pt-BR"/>
        </w:rPr>
        <w:t xml:space="preserve"> Negociação e Custódia Eletrônica</w:t>
      </w:r>
    </w:p>
    <w:p>
      <w:pPr>
        <w:pStyle w:val="Level3"/>
        <w:spacing w:before="140"/>
        <w:rPr>
          <w:rFonts w:cs="Arial"/>
          <w:lang w:val="pt-BR"/>
        </w:rPr>
      </w:pPr>
      <w:bookmarkStart w:id="22" w:name="_DV_M24"/>
      <w:bookmarkEnd w:id="22"/>
      <w:r>
        <w:rPr>
          <w:rFonts w:cs="Arial"/>
          <w:lang w:val="pt-BR"/>
        </w:rPr>
        <w:t>As Debêntures serão depositadas na B3 para:</w:t>
      </w:r>
    </w:p>
    <w:p>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pPr>
        <w:pStyle w:val="Level4"/>
        <w:rPr>
          <w:lang w:val="pt-BR"/>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pPr>
        <w:pStyle w:val="Level2"/>
        <w:spacing w:before="140" w:after="0"/>
        <w:rPr>
          <w:rFonts w:cs="Arial"/>
          <w:b/>
          <w:lang w:val="pt-BR"/>
        </w:rPr>
      </w:pPr>
      <w:r>
        <w:rPr>
          <w:rFonts w:cs="Arial"/>
          <w:b/>
          <w:lang w:val="pt-BR"/>
        </w:rPr>
        <w:t xml:space="preserve">Projetos de Infraestrutura Considerados como Prioritários pelo Ministério de Minas e Energia </w:t>
      </w:r>
    </w:p>
    <w:p>
      <w:pPr>
        <w:pStyle w:val="Level3"/>
        <w:spacing w:before="140" w:after="0"/>
        <w:rPr>
          <w:rFonts w:cs="Arial"/>
          <w:lang w:val="pt-BR"/>
        </w:rPr>
      </w:pPr>
      <w:r>
        <w:rPr>
          <w:rFonts w:cs="Arial"/>
          <w:lang w:val="pt-BR"/>
        </w:rPr>
        <w:t>As Debêntures da Terceira Série contarão com o incentivo previsto no artigo 2º da Lei n° 12.431/11</w:t>
      </w:r>
      <w:r>
        <w:rPr>
          <w:rFonts w:cs="Arial"/>
          <w:szCs w:val="20"/>
          <w:lang w:val="pt-BR"/>
        </w:rPr>
        <w:t xml:space="preserve">, </w:t>
      </w:r>
      <w:r>
        <w:rPr>
          <w:rFonts w:cs="Arial"/>
          <w:lang w:val="pt-BR"/>
        </w:rPr>
        <w:t>do Decreto n° 8.874, de 11 de outubro de 2016 (“</w:t>
      </w:r>
      <w:r>
        <w:rPr>
          <w:rFonts w:cs="Arial"/>
          <w:b/>
          <w:lang w:val="pt-BR"/>
        </w:rPr>
        <w:t>Decreto n° 8.874</w:t>
      </w:r>
      <w:r>
        <w:rPr>
          <w:rFonts w:cs="Arial"/>
          <w:lang w:val="pt-BR"/>
        </w:rPr>
        <w:t>”), da Resolução do Conselho Monetário Nacional (“</w:t>
      </w:r>
      <w:r>
        <w:rPr>
          <w:rFonts w:cs="Arial"/>
          <w:b/>
          <w:lang w:val="pt-BR"/>
        </w:rPr>
        <w:t>CMN</w:t>
      </w:r>
      <w:r>
        <w:rPr>
          <w:rFonts w:cs="Arial"/>
          <w:lang w:val="pt-BR"/>
        </w:rPr>
        <w:t>”) n° 3.947, de 27 de janeiro de 2011 (“</w:t>
      </w:r>
      <w:r>
        <w:rPr>
          <w:rFonts w:cs="Arial"/>
          <w:b/>
          <w:lang w:val="pt-BR"/>
        </w:rPr>
        <w:t>Resolução CMN n° 3.947</w:t>
      </w:r>
      <w:r>
        <w:rPr>
          <w:rFonts w:cs="Arial"/>
          <w:lang w:val="pt-BR"/>
        </w:rPr>
        <w:t xml:space="preserve">”), da </w:t>
      </w:r>
      <w:r>
        <w:rPr>
          <w:rFonts w:cs="Arial"/>
          <w:szCs w:val="20"/>
          <w:lang w:val="pt-BR"/>
        </w:rPr>
        <w:t>Resolução do CMN nº 4.751, de 26 de setembro de 2019 (“</w:t>
      </w:r>
      <w:r>
        <w:rPr>
          <w:rFonts w:cs="Arial"/>
          <w:b/>
          <w:bCs/>
          <w:szCs w:val="20"/>
          <w:lang w:val="pt-BR"/>
        </w:rPr>
        <w:t>Resolução CMN 4.751</w:t>
      </w:r>
      <w:r>
        <w:rPr>
          <w:rFonts w:cs="Arial"/>
          <w:szCs w:val="20"/>
          <w:lang w:val="pt-BR"/>
        </w:rPr>
        <w:t xml:space="preserve">”) ou de normas posteriores que as alterem, substituam ou complementem, </w:t>
      </w:r>
      <w:r>
        <w:rPr>
          <w:rFonts w:cs="Arial"/>
          <w:lang w:val="pt-BR"/>
        </w:rPr>
        <w:t>sendo os recursos líquidos captados por meio da emissão das Debêntures da Terceira Série aplicados no Projeto Ivaí e Projetos SPT (conforme definidos abaixo e, em conjunto, os “</w:t>
      </w:r>
      <w:r>
        <w:rPr>
          <w:rFonts w:cs="Arial"/>
          <w:b/>
          <w:lang w:val="pt-BR"/>
        </w:rPr>
        <w:t>Projetos</w:t>
      </w:r>
      <w:r>
        <w:rPr>
          <w:rFonts w:cs="Arial"/>
          <w:lang w:val="pt-BR"/>
        </w:rPr>
        <w:t xml:space="preserve">”) descritos na Cláusula </w:t>
      </w:r>
      <w:r>
        <w:rPr>
          <w:rFonts w:cs="Arial"/>
          <w:lang w:val="pt-BR"/>
        </w:rPr>
        <w:fldChar w:fldCharType="begin"/>
      </w:r>
      <w:r>
        <w:rPr>
          <w:rFonts w:cs="Arial"/>
          <w:lang w:val="pt-BR"/>
        </w:rPr>
        <w:instrText xml:space="preserve"> REF _Ref459767256 \r \h  \* MERGEFORMAT </w:instrText>
      </w:r>
      <w:r>
        <w:rPr>
          <w:rFonts w:cs="Arial"/>
          <w:lang w:val="pt-BR"/>
        </w:rPr>
      </w:r>
      <w:r>
        <w:rPr>
          <w:rFonts w:cs="Arial"/>
          <w:lang w:val="pt-BR"/>
        </w:rPr>
        <w:fldChar w:fldCharType="separate"/>
      </w:r>
      <w:r>
        <w:rPr>
          <w:rFonts w:cs="Arial"/>
          <w:lang w:val="pt-BR"/>
        </w:rPr>
        <w:t>4</w:t>
      </w:r>
      <w:r>
        <w:rPr>
          <w:rFonts w:cs="Arial"/>
          <w:lang w:val="pt-BR"/>
        </w:rPr>
        <w:fldChar w:fldCharType="end"/>
      </w:r>
      <w:r>
        <w:rPr>
          <w:rFonts w:cs="Arial"/>
          <w:lang w:val="pt-BR"/>
        </w:rPr>
        <w:t xml:space="preserve"> abaixo. </w:t>
      </w:r>
    </w:p>
    <w:p>
      <w:pPr>
        <w:pStyle w:val="Level3"/>
        <w:spacing w:before="140"/>
        <w:rPr>
          <w:rFonts w:cs="Arial"/>
          <w:b/>
          <w:lang w:val="pt-BR"/>
        </w:rPr>
      </w:pPr>
      <w:bookmarkStart w:id="32" w:name="_Ref434931161"/>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abaixo 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32"/>
    </w:p>
    <w:p>
      <w:pPr>
        <w:pStyle w:val="Level2"/>
        <w:rPr>
          <w:b/>
          <w:bCs/>
          <w:lang w:val="pt-BR"/>
        </w:rPr>
      </w:pPr>
      <w:bookmarkStart w:id="33" w:name="_Ref6506373"/>
      <w:r>
        <w:rPr>
          <w:b/>
          <w:bCs/>
          <w:lang w:val="pt-BR"/>
        </w:rPr>
        <w:lastRenderedPageBreak/>
        <w:t>Caracterização das Debêntures da Terceira Série como “Debêntures Verdes”</w:t>
      </w:r>
      <w:bookmarkEnd w:id="33"/>
    </w:p>
    <w:p>
      <w:pPr>
        <w:pStyle w:val="Level3"/>
        <w:spacing w:before="140"/>
        <w:rPr>
          <w:rFonts w:cs="Arial"/>
          <w:b/>
          <w:lang w:val="pt-BR"/>
        </w:rPr>
      </w:pPr>
      <w:r>
        <w:rPr>
          <w:lang w:val="pt-BR"/>
        </w:rPr>
        <w:t>As Debêntures da Terceira Série serão caracterizadas como “Debêntures Verdes” com base em: (i) Parecer de Segunda Opinião (“</w:t>
      </w:r>
      <w:r>
        <w:rPr>
          <w:b/>
          <w:lang w:val="pt-BR"/>
        </w:rPr>
        <w:t>Parecer</w:t>
      </w:r>
      <w:r>
        <w:rPr>
          <w:lang w:val="pt-BR"/>
        </w:rPr>
        <w:t xml:space="preserve">”) emitido pela consultoria especializada SITAWl Finanças do Bem, com base nas diretrizes do </w:t>
      </w:r>
      <w:r>
        <w:rPr>
          <w:i/>
          <w:lang w:val="pt-BR"/>
        </w:rPr>
        <w:t>Green Bond Principles</w:t>
      </w:r>
      <w:r>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pPr>
        <w:pStyle w:val="Level3"/>
        <w:rPr>
          <w:lang w:val="pt-BR"/>
        </w:rPr>
      </w:pPr>
      <w:r>
        <w:rPr>
          <w:lang w:val="pt-BR"/>
        </w:rPr>
        <w:t>O Parecer e todos os compromissos formais exigidos pela consultoria especializada nesta data serão disponibilizados na página da rede mundial de computadores da Emissora (http</w:t>
      </w:r>
      <w:r>
        <w:rPr>
          <w:rFonts w:cs="Arial"/>
          <w:szCs w:val="20"/>
          <w:lang w:val="pt-BR"/>
        </w:rPr>
        <w:t>://</w:t>
      </w:r>
      <w:hyperlink r:id="rId17" w:history="1">
        <w:r>
          <w:rPr>
            <w:rStyle w:val="Hyperlink"/>
            <w:rFonts w:ascii="Arial" w:hAnsi="Arial" w:cs="Arial"/>
            <w:sz w:val="20"/>
            <w:szCs w:val="20"/>
          </w:rPr>
          <w:t>ri.taesa.com.br/</w:t>
        </w:r>
      </w:hyperlink>
      <w:r>
        <w:rPr>
          <w:rFonts w:cs="Arial"/>
          <w:szCs w:val="20"/>
          <w:lang w:val="pt-BR"/>
        </w:rPr>
        <w:t>),</w:t>
      </w:r>
      <w:r>
        <w:rPr>
          <w:lang w:val="pt-BR"/>
        </w:rPr>
        <w:t xml:space="preserve"> bem como será enviada uma cópia eletrônica (pdf) ao Agente Fiduciário em conjunto com os demais documentos da Oferta. </w:t>
      </w:r>
    </w:p>
    <w:p>
      <w:pPr>
        <w:pStyle w:val="Level3"/>
        <w:rPr>
          <w:sz w:val="22"/>
          <w:lang w:val="pt-BR"/>
        </w:rPr>
      </w:pPr>
      <w:r>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pPr>
        <w:pStyle w:val="Level1"/>
      </w:pPr>
      <w:bookmarkStart w:id="34" w:name="_Ref475090616"/>
      <w:r>
        <w:t>OBJETO SOCIAL</w:t>
      </w:r>
      <w:bookmarkEnd w:id="34"/>
    </w:p>
    <w:p>
      <w:pPr>
        <w:pStyle w:val="Level2"/>
        <w:rPr>
          <w:lang w:val="pt-BR"/>
        </w:rPr>
      </w:pPr>
      <w:r>
        <w:rPr>
          <w:lang w:val="pt-BR"/>
        </w:rPr>
        <w:t xml:space="preserve">Nos termos do artigo 3º do estatuto social da Emissora, as atividades abaixo indicadas estão inseridas no objeto social da Emissora: </w:t>
      </w:r>
      <w:r>
        <w:rPr>
          <w:bCs/>
          <w:lang w:val="pt-BR"/>
        </w:rPr>
        <w:t>[</w:t>
      </w:r>
      <w:r>
        <w:rPr>
          <w:bCs/>
          <w:highlight w:val="yellow"/>
          <w:lang w:val="pt-BR"/>
        </w:rPr>
        <w:t>Nota PNA: ok, com base no estatuto social mais recente</w:t>
      </w:r>
      <w:r>
        <w:rPr>
          <w:bCs/>
          <w:lang w:val="pt-BR"/>
        </w:rPr>
        <w:t>]</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w:t>
      </w:r>
      <w:r>
        <w:rPr>
          <w:lang w:val="pt-BR"/>
        </w:rPr>
        <w:lastRenderedPageBreak/>
        <w:t>(Mucugê)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w:t>
      </w:r>
      <w:r>
        <w:rPr>
          <w:lang w:val="pt-BR"/>
        </w:rPr>
        <w:lastRenderedPageBreak/>
        <w:t>requisitos técnicos presentes no Edital de Concorrência Pública nº 001/2003 da ANEEL e nos termos do Contrato de Concessão nº 006/2004 – ANEEL;</w:t>
      </w:r>
    </w:p>
    <w:p>
      <w:pPr>
        <w:pStyle w:val="Level4"/>
        <w:tabs>
          <w:tab w:val="clear" w:pos="2041"/>
          <w:tab w:val="num" w:pos="1361"/>
        </w:tabs>
        <w:ind w:left="1360"/>
        <w:rPr>
          <w:lang w:val="pt-BR"/>
        </w:rPr>
      </w:pPr>
      <w:r>
        <w:rPr>
          <w:lang w:val="pt-BR"/>
        </w:rPr>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pPr>
        <w:pStyle w:val="Level4"/>
        <w:tabs>
          <w:tab w:val="clear" w:pos="2041"/>
          <w:tab w:val="num" w:pos="1361"/>
        </w:tabs>
        <w:ind w:left="1360"/>
        <w:rPr>
          <w:lang w:val="pt-BR"/>
        </w:rPr>
      </w:pPr>
      <w:r>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pPr>
        <w:pStyle w:val="Level4"/>
        <w:tabs>
          <w:tab w:val="clear" w:pos="2041"/>
          <w:tab w:val="num" w:pos="1361"/>
        </w:tabs>
        <w:ind w:left="1360"/>
        <w:rPr>
          <w:lang w:val="pt-BR"/>
        </w:rPr>
      </w:pPr>
      <w:r>
        <w:rPr>
          <w:lang w:val="pt-BR"/>
        </w:rPr>
        <w:lastRenderedPageBreak/>
        <w:t>a participação em outras sociedades, nacionais ou estrangeiras, que atuem no setor de transmissão de energia elétrica, na qualidade de sócia, acionista ou quotista.</w:t>
      </w:r>
    </w:p>
    <w:p>
      <w:pPr>
        <w:pStyle w:val="Level2"/>
        <w:numPr>
          <w:ilvl w:val="0"/>
          <w:numId w:val="0"/>
        </w:numPr>
        <w:ind w:left="680" w:hanging="680"/>
        <w:rPr>
          <w:rFonts w:cs="Arial"/>
          <w:b/>
          <w:lang w:val="pt-BR"/>
        </w:rPr>
      </w:pPr>
      <w:r>
        <w:rPr>
          <w:rFonts w:cs="Arial"/>
          <w:b/>
          <w:bCs/>
          <w:sz w:val="21"/>
          <w:szCs w:val="21"/>
          <w:lang w:val="pt-BR"/>
        </w:rPr>
        <w:t>3.2</w:t>
      </w:r>
      <w:r>
        <w:rPr>
          <w:rFonts w:cs="Arial"/>
          <w:b/>
          <w:bCs/>
          <w:sz w:val="21"/>
          <w:szCs w:val="21"/>
          <w:lang w:val="pt-BR"/>
        </w:rPr>
        <w:tab/>
      </w:r>
      <w:r>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pPr>
        <w:pStyle w:val="Level1"/>
      </w:pPr>
      <w:bookmarkStart w:id="35" w:name="_Ref459767256"/>
      <w:r>
        <w:t>DESTINAÇÃO DOS RECURSOS</w:t>
      </w:r>
      <w:bookmarkEnd w:id="35"/>
    </w:p>
    <w:p>
      <w:pPr>
        <w:pStyle w:val="Level2"/>
        <w:spacing w:before="140" w:after="0"/>
        <w:rPr>
          <w:rFonts w:cs="Arial"/>
          <w:lang w:val="pt-BR"/>
        </w:rPr>
      </w:pPr>
      <w:r>
        <w:rPr>
          <w:rFonts w:cs="Arial"/>
          <w:lang w:val="pt-BR"/>
        </w:rPr>
        <w:t>Os recursos captados com a Oferta serão utilizados da seguinte forma:</w:t>
      </w:r>
    </w:p>
    <w:p>
      <w:pPr>
        <w:pStyle w:val="Level3"/>
        <w:spacing w:before="140"/>
        <w:ind w:left="1360" w:hanging="680"/>
        <w:rPr>
          <w:lang w:val="pt-BR"/>
        </w:rPr>
      </w:pPr>
      <w:bookmarkStart w:id="36" w:name="_Ref520464775"/>
      <w:bookmarkStart w:id="37" w:name="_Ref478463058"/>
      <w:r>
        <w:rPr>
          <w:lang w:val="pt-BR"/>
        </w:rPr>
        <w:t xml:space="preserve">Os recursos captados pela Emissora por meio da integralização das Debêntures da Primeira Série e das Debêntures da Segunda Série, </w:t>
      </w:r>
      <w:bookmarkEnd w:id="36"/>
      <w:r>
        <w:rPr>
          <w:lang w:val="pt-BR"/>
        </w:rPr>
        <w:t>serão utilizados para gestão ordinária dos negócios da Emissora.</w:t>
      </w:r>
    </w:p>
    <w:p>
      <w:pPr>
        <w:pStyle w:val="Level3"/>
        <w:spacing w:before="140"/>
        <w:ind w:left="1360" w:hanging="680"/>
        <w:rPr>
          <w:lang w:val="pt-BR"/>
        </w:rPr>
      </w:pPr>
      <w:r>
        <w:rPr>
          <w:lang w:val="pt-BR"/>
        </w:rPr>
        <w:t xml:space="preserve">Nos termos do artigo 2º da </w:t>
      </w:r>
      <w:r>
        <w:rPr>
          <w:rFonts w:cs="Arial"/>
          <w:lang w:val="pt-BR"/>
        </w:rPr>
        <w:t>Lei n° 12.431/11</w:t>
      </w:r>
      <w:r>
        <w:rPr>
          <w:lang w:val="pt-BR"/>
        </w:rPr>
        <w:t xml:space="preserve">, do Decreto 8.874, da Resolução CMN n° 3.947, da </w:t>
      </w:r>
      <w:r>
        <w:rPr>
          <w:rFonts w:cs="Arial"/>
          <w:szCs w:val="20"/>
          <w:lang w:val="pt-BR"/>
        </w:rPr>
        <w:t xml:space="preserve">Resolução CMN 4.751 </w:t>
      </w:r>
      <w:r>
        <w:rPr>
          <w:lang w:val="pt-BR"/>
        </w:rPr>
        <w:t>e da regulamentação aplicável, a totalidade dos recursos líquidos captados pela Emissora</w:t>
      </w:r>
      <w:bookmarkStart w:id="38" w:name="_DV_C50"/>
      <w:r>
        <w:rPr>
          <w:lang w:val="pt-BR"/>
        </w:rPr>
        <w:t xml:space="preserve"> por meio </w:t>
      </w:r>
      <w:bookmarkEnd w:id="38"/>
      <w:r>
        <w:rPr>
          <w:lang w:val="pt-BR"/>
        </w:rPr>
        <w:t>da colocação de Debêntures</w:t>
      </w:r>
      <w:bookmarkStart w:id="39" w:name="_DV_C55"/>
      <w:r>
        <w:rPr>
          <w:lang w:val="pt-BR"/>
        </w:rPr>
        <w:t xml:space="preserve"> da Terceira Série serão utilizados </w:t>
      </w:r>
      <w:bookmarkEnd w:id="39"/>
      <w:r>
        <w:rPr>
          <w:lang w:val="pt-BR"/>
        </w:rPr>
        <w:t>exclusivamente (i) para custeio ou reembolso das despesas já incorridas pela Emissora, anteriores à Emissão das Debêntures, desde 26 de março de 2019 até [•] de [•] de 2021, relativos ao projeto desenvolvidos por Interligação da Elétrica Ivaí S.A. (“</w:t>
      </w:r>
      <w:r>
        <w:rPr>
          <w:b/>
          <w:bCs/>
          <w:lang w:val="pt-BR"/>
        </w:rPr>
        <w:t>Projeto Ivaí</w:t>
      </w:r>
      <w:r>
        <w:rPr>
          <w:lang w:val="pt-BR"/>
        </w:rPr>
        <w:t>”); e (ii) para custeio ou reembolso das despesas já incorridas pela Emissora, desde [data] até [data] e a serem realizados no exercício social de 2021 relativos aos projetos desenvolvidos por São Pedro Transmissora de Energia Elétrica S.A. (“</w:t>
      </w:r>
      <w:r>
        <w:rPr>
          <w:b/>
          <w:bCs/>
          <w:lang w:val="pt-BR"/>
        </w:rPr>
        <w:t>Projetos SPT</w:t>
      </w:r>
      <w:r>
        <w:rPr>
          <w:lang w:val="pt-BR"/>
        </w:rPr>
        <w:t xml:space="preserve">”), conforme detalhados abaixo: </w:t>
      </w:r>
      <w:bookmarkEnd w:id="37"/>
      <w:r>
        <w:rPr>
          <w:lang w:val="pt-BR"/>
        </w:rPr>
        <w:t>[</w:t>
      </w:r>
      <w:r>
        <w:rPr>
          <w:highlight w:val="yellow"/>
          <w:lang w:val="pt-BR"/>
        </w:rPr>
        <w:t>Nota PNA: demais itens abaixo sendo preenchidos com a companhia</w:t>
      </w:r>
      <w:r>
        <w:rPr>
          <w:lang w:val="pt-BR"/>
        </w:rPr>
        <w:t>]</w:t>
      </w:r>
    </w:p>
    <w:p>
      <w:pPr>
        <w:pStyle w:val="Level4"/>
        <w:ind w:left="2040"/>
        <w:rPr>
          <w:b/>
          <w:lang w:val="pt-BR"/>
        </w:rPr>
      </w:pPr>
      <w:r>
        <w:rPr>
          <w:b/>
          <w:lang w:val="pt-BR"/>
        </w:rPr>
        <w:t>Projeto Ivaí:</w:t>
      </w:r>
    </w:p>
    <w:p>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reserva; (v) Linha de Transmissão Sarandi - Londrina (Eletrosul), em 525 kV, Circuito Duplo, com extensão aproximada de setenta </w:t>
      </w:r>
      <w:r>
        <w:rPr>
          <w:rFonts w:cs="Arial"/>
          <w:lang w:val="pt-BR"/>
        </w:rPr>
        <w:lastRenderedPageBreak/>
        <w:t>e cinco quilômetros, com origem na Subestação Sarandi e término na Subestação Londrina (Eletrosul); (vi) Linha de Transmissão 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pPr>
        <w:pStyle w:val="Level5"/>
        <w:numPr>
          <w:ilvl w:val="0"/>
          <w:numId w:val="0"/>
        </w:numPr>
        <w:ind w:left="2720"/>
        <w:rPr>
          <w:lang w:val="pt-BR"/>
        </w:rPr>
      </w:pPr>
    </w:p>
    <w:p>
      <w:pPr>
        <w:pStyle w:val="Level5"/>
        <w:rPr>
          <w:lang w:val="pt-BR"/>
        </w:rPr>
      </w:pPr>
      <w:r>
        <w:rPr>
          <w:b/>
          <w:lang w:val="pt-BR"/>
        </w:rPr>
        <w:t>Data de Início do Projeto Ivaí:</w:t>
      </w:r>
      <w:r>
        <w:rPr>
          <w:lang w:val="pt-BR"/>
        </w:rPr>
        <w:t xml:space="preserve"> [</w:t>
      </w:r>
      <w:r>
        <w:rPr>
          <w:lang w:val="pt-BR"/>
        </w:rPr>
        <w:sym w:font="Symbol" w:char="F0B7"/>
      </w:r>
      <w:r>
        <w:rPr>
          <w:lang w:val="pt-BR"/>
        </w:rPr>
        <w:t>].</w:t>
      </w:r>
    </w:p>
    <w:p>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pPr>
        <w:pStyle w:val="Level5"/>
        <w:rPr>
          <w:lang w:val="pt-BR"/>
        </w:rPr>
      </w:pPr>
      <w:r>
        <w:rPr>
          <w:b/>
          <w:lang w:val="pt-BR"/>
        </w:rPr>
        <w:t>Volume estimado de recursos financeiros necessários para a realização do Projeto Ivaí:</w:t>
      </w:r>
      <w:r>
        <w:rPr>
          <w:lang w:val="pt-BR"/>
        </w:rPr>
        <w:t xml:space="preserve"> R$ [</w:t>
      </w:r>
      <w:r>
        <w:rPr>
          <w:lang w:val="pt-BR"/>
        </w:rPr>
        <w:sym w:font="Symbol" w:char="F0B7"/>
      </w:r>
      <w:r>
        <w:rPr>
          <w:lang w:val="pt-BR"/>
        </w:rPr>
        <w:t>].</w:t>
      </w:r>
    </w:p>
    <w:p>
      <w:pPr>
        <w:pStyle w:val="Level5"/>
        <w:ind w:left="2720"/>
        <w:rPr>
          <w:lang w:val="pt-BR"/>
        </w:rPr>
      </w:pPr>
      <w:r>
        <w:rPr>
          <w:b/>
          <w:lang w:val="pt-BR"/>
        </w:rPr>
        <w:t>Montante total dos recursos líquidos a serem captados pelas Debêntures, que se estima alocar no Projeto Ivaí</w:t>
      </w:r>
      <w:r>
        <w:rPr>
          <w:lang w:val="pt-BR"/>
        </w:rPr>
        <w:t>: R$[</w:t>
      </w:r>
      <w:r>
        <w:rPr>
          <w:lang w:val="pt-BR"/>
        </w:rPr>
        <w:sym w:font="Symbol" w:char="F0B7"/>
      </w:r>
      <w:r>
        <w:rPr>
          <w:lang w:val="pt-BR"/>
        </w:rPr>
        <w:t>] ([</w:t>
      </w:r>
      <w:r>
        <w:rPr>
          <w:lang w:val="pt-BR"/>
        </w:rPr>
        <w:sym w:font="Symbol" w:char="F0B7"/>
      </w:r>
      <w:r>
        <w:rPr>
          <w:lang w:val="pt-BR"/>
        </w:rPr>
        <w:t>]).</w:t>
      </w:r>
    </w:p>
    <w:p>
      <w:pPr>
        <w:pStyle w:val="Level5"/>
        <w:ind w:left="2720"/>
        <w:rPr>
          <w:lang w:val="pt-BR"/>
        </w:rPr>
      </w:pPr>
      <w:r>
        <w:rPr>
          <w:b/>
          <w:lang w:val="pt-BR"/>
        </w:rPr>
        <w:t>Percentual decorrente dos recursos líquidos a serem captados pelas Debêntures, que se estima alocar no Projeto Ivaí</w:t>
      </w:r>
      <w:r>
        <w:rPr>
          <w:lang w:val="pt-BR"/>
        </w:rPr>
        <w:t>: [</w:t>
      </w:r>
      <w:r>
        <w:rPr>
          <w:lang w:val="pt-BR"/>
        </w:rPr>
        <w:sym w:font="Symbol" w:char="F0B7"/>
      </w:r>
      <w:r>
        <w:rPr>
          <w:lang w:val="pt-BR"/>
        </w:rPr>
        <w:t>]%.</w:t>
      </w:r>
    </w:p>
    <w:p>
      <w:pPr>
        <w:pStyle w:val="Level5"/>
        <w:ind w:left="2720"/>
        <w:rPr>
          <w:lang w:val="pt-BR"/>
        </w:rPr>
      </w:pPr>
      <w:r>
        <w:rPr>
          <w:b/>
          <w:lang w:val="pt-BR"/>
        </w:rPr>
        <w:t>Percentual que a Emissora estima captar para o Projeto Ivaí, nos termos do item (v) acima, frente às necessidades do Projeto Ivaí indicados no item (iv) acima:</w:t>
      </w:r>
      <w:r>
        <w:rPr>
          <w:lang w:val="pt-BR"/>
        </w:rPr>
        <w:t xml:space="preserve"> [</w:t>
      </w:r>
      <w:r>
        <w:rPr>
          <w:lang w:val="pt-BR"/>
        </w:rPr>
        <w:sym w:font="Symbol" w:char="F0B7"/>
      </w:r>
      <w:r>
        <w:rPr>
          <w:lang w:val="pt-BR"/>
        </w:rPr>
        <w:t>]%.</w:t>
      </w:r>
    </w:p>
    <w:p>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pPr>
        <w:pStyle w:val="Level5"/>
        <w:ind w:left="2720"/>
        <w:rPr>
          <w:lang w:val="pt-BR"/>
        </w:rPr>
      </w:pPr>
      <w:r>
        <w:rPr>
          <w:b/>
          <w:lang w:val="pt-BR"/>
        </w:rPr>
        <w:t xml:space="preserve">Forma de destinação dos recursos financeiros captados pelas Debêntures e que serão alocadas no Projeto Ivaí: </w:t>
      </w:r>
      <w:r>
        <w:rPr>
          <w:lang w:val="pt-BR"/>
        </w:rPr>
        <w:t>[</w:t>
      </w:r>
      <w:r>
        <w:rPr>
          <w:lang w:val="pt-BR"/>
        </w:rPr>
        <w:sym w:font="Symbol" w:char="F0B7"/>
      </w:r>
      <w:r>
        <w:rPr>
          <w:lang w:val="pt-BR"/>
        </w:rPr>
        <w:t>].</w:t>
      </w:r>
    </w:p>
    <w:p>
      <w:pPr>
        <w:pStyle w:val="Level4"/>
        <w:ind w:left="2040"/>
        <w:rPr>
          <w:b/>
          <w:lang w:val="pt-BR"/>
        </w:rPr>
      </w:pPr>
      <w:r>
        <w:rPr>
          <w:b/>
          <w:lang w:val="pt-BR"/>
        </w:rPr>
        <w:t>Projeto SPT 1:</w:t>
      </w:r>
    </w:p>
    <w:p>
      <w:pPr>
        <w:pStyle w:val="Level5"/>
        <w:rPr>
          <w:b/>
          <w:bCs/>
          <w:szCs w:val="28"/>
          <w:lang w:val="pt-BR"/>
        </w:rPr>
      </w:pPr>
      <w:r>
        <w:rPr>
          <w:b/>
          <w:bCs/>
          <w:lang w:val="pt-BR"/>
        </w:rPr>
        <w:t>Objetivo do Projeto SPT 1:</w:t>
      </w:r>
      <w:r>
        <w:rPr>
          <w:b/>
          <w:bCs/>
          <w:szCs w:val="28"/>
          <w:lang w:val="pt-BR"/>
        </w:rPr>
        <w:t xml:space="preserve"> </w:t>
      </w:r>
      <w:r>
        <w:rPr>
          <w:lang w:val="pt-BR"/>
        </w:rPr>
        <w:t xml:space="preserve">Reforços em instalações de transmissão de energia elétrica, relativos à Subestação Rio Grande II, compreendendo: (i) Instalação do segundo banco de autotransformador monofásico 230/138/13,8 kV - 3 x 33,3 MVA; (ii) Ampliação de um módulo de conexão, em 230 kV, para o autotransformador TR 230/138 kV - TR2; (iii) Ampliação de um módulo de conexão, em 138 kV, para o autotransformador TR </w:t>
      </w:r>
      <w:r>
        <w:rPr>
          <w:lang w:val="pt-BR"/>
        </w:rPr>
        <w:lastRenderedPageBreak/>
        <w:t>230/138 kV - TR2; (iv) Módulo de infraestrutura em 230 kV referente a implantação do segundo banco de autotransformador 230/138 kV; e (v) Módulo de infraestrutura em 138 kV referente a implantação do segundo banco de autotransformador 230/138 kV.</w:t>
      </w:r>
    </w:p>
    <w:p>
      <w:pPr>
        <w:pStyle w:val="Level5"/>
        <w:rPr>
          <w:b/>
          <w:bCs/>
          <w:lang w:val="pt-BR"/>
        </w:rPr>
      </w:pPr>
      <w:r>
        <w:rPr>
          <w:b/>
          <w:bCs/>
          <w:lang w:val="pt-BR"/>
        </w:rPr>
        <w:t xml:space="preserve">Data de Início do Projeto SPT 1: </w:t>
      </w:r>
      <w:r>
        <w:rPr>
          <w:lang w:val="pt-BR"/>
        </w:rPr>
        <w:t>[</w:t>
      </w:r>
      <w:r>
        <w:rPr>
          <w:lang w:val="pt-BR"/>
        </w:rPr>
        <w:sym w:font="Symbol" w:char="F0B7"/>
      </w:r>
      <w:r>
        <w:rPr>
          <w:lang w:val="pt-BR"/>
        </w:rPr>
        <w:t>].</w:t>
      </w:r>
    </w:p>
    <w:p>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pPr>
        <w:pStyle w:val="Level5"/>
        <w:rPr>
          <w:b/>
          <w:bCs/>
          <w:lang w:val="pt-BR"/>
        </w:rPr>
      </w:pPr>
      <w:r>
        <w:rPr>
          <w:b/>
          <w:bCs/>
          <w:lang w:val="pt-BR"/>
        </w:rPr>
        <w:t xml:space="preserve">Volume estimado de recursos financeiros necessários para a realização do Projeto SPT 1: </w:t>
      </w:r>
      <w:r>
        <w:rPr>
          <w:lang w:val="pt-BR"/>
        </w:rPr>
        <w:t>R$[</w:t>
      </w:r>
      <w:r>
        <w:rPr>
          <w:lang w:val="pt-BR"/>
        </w:rPr>
        <w:sym w:font="Symbol" w:char="F0B7"/>
      </w:r>
      <w:r>
        <w:rPr>
          <w:lang w:val="pt-BR"/>
        </w:rPr>
        <w:t>].</w:t>
      </w:r>
    </w:p>
    <w:p>
      <w:pPr>
        <w:pStyle w:val="Level5"/>
        <w:rPr>
          <w:b/>
          <w:bCs/>
          <w:lang w:val="pt-BR"/>
        </w:rPr>
      </w:pPr>
      <w:r>
        <w:rPr>
          <w:b/>
          <w:bCs/>
          <w:lang w:val="pt-BR"/>
        </w:rPr>
        <w:t>Montante total dos recursos líquidos a serem captados pelas Debêntures, que se estima alocar no Projeto SPT 1:</w:t>
      </w:r>
      <w:r>
        <w:rPr>
          <w:lang w:val="pt-BR"/>
        </w:rPr>
        <w:t xml:space="preserve"> R$[</w:t>
      </w:r>
      <w:r>
        <w:rPr>
          <w:lang w:val="pt-BR"/>
        </w:rPr>
        <w:sym w:font="Symbol" w:char="F0B7"/>
      </w:r>
      <w:r>
        <w:rPr>
          <w:lang w:val="pt-BR"/>
        </w:rPr>
        <w:t>] ([</w:t>
      </w:r>
      <w:r>
        <w:rPr>
          <w:lang w:val="pt-BR"/>
        </w:rPr>
        <w:sym w:font="Symbol" w:char="F0B7"/>
      </w:r>
      <w:r>
        <w:rPr>
          <w:lang w:val="pt-BR"/>
        </w:rPr>
        <w:t>]).</w:t>
      </w:r>
    </w:p>
    <w:p>
      <w:pPr>
        <w:pStyle w:val="Level5"/>
        <w:rPr>
          <w:b/>
          <w:bCs/>
          <w:lang w:val="pt-BR"/>
        </w:rPr>
      </w:pPr>
      <w:r>
        <w:rPr>
          <w:b/>
          <w:bCs/>
          <w:lang w:val="pt-BR"/>
        </w:rPr>
        <w:t xml:space="preserve">Percentual decorrente dos recursos líquidos a serem captados pelas Debêntures, que se estima alocar no Projeto SPT 1: </w:t>
      </w:r>
      <w:r>
        <w:rPr>
          <w:lang w:val="pt-BR"/>
        </w:rPr>
        <w:t>[</w:t>
      </w:r>
      <w:r>
        <w:rPr>
          <w:lang w:val="pt-BR"/>
        </w:rPr>
        <w:sym w:font="Symbol" w:char="F0B7"/>
      </w:r>
      <w:r>
        <w:rPr>
          <w:lang w:val="pt-BR"/>
        </w:rPr>
        <w:t>]%.</w:t>
      </w:r>
    </w:p>
    <w:p>
      <w:pPr>
        <w:pStyle w:val="Level5"/>
        <w:rPr>
          <w:b/>
          <w:bCs/>
          <w:lang w:val="pt-BR"/>
        </w:rPr>
      </w:pPr>
      <w:r>
        <w:rPr>
          <w:b/>
          <w:bCs/>
          <w:lang w:val="pt-BR"/>
        </w:rPr>
        <w:t xml:space="preserve">Percentual que a Emissora estima captar para o Projeto SPT 1, nos termos do item (v), frente às necessidades do Projeto SPT 1 indicados no item (iv) acima: </w:t>
      </w:r>
      <w:r>
        <w:rPr>
          <w:lang w:val="pt-BR"/>
        </w:rPr>
        <w:t>[</w:t>
      </w:r>
      <w:r>
        <w:rPr>
          <w:lang w:val="pt-BR"/>
        </w:rPr>
        <w:sym w:font="Symbol" w:char="F0B7"/>
      </w:r>
      <w:r>
        <w:rPr>
          <w:lang w:val="pt-BR"/>
        </w:rPr>
        <w:t>]%.</w:t>
      </w:r>
    </w:p>
    <w:p>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pPr>
        <w:pStyle w:val="Level5"/>
        <w:ind w:left="2720"/>
        <w:rPr>
          <w:lang w:val="pt-BR"/>
        </w:rPr>
      </w:pPr>
      <w:r>
        <w:rPr>
          <w:b/>
          <w:lang w:val="pt-BR"/>
        </w:rPr>
        <w:t xml:space="preserve">Forma de destinação dos recursos financeiros captados pelas Debêntures e que serão alocadas no Projeto SPT 1: </w:t>
      </w:r>
      <w:r>
        <w:rPr>
          <w:lang w:val="pt-BR"/>
        </w:rPr>
        <w:t>[</w:t>
      </w:r>
      <w:r>
        <w:rPr>
          <w:lang w:val="pt-BR"/>
        </w:rPr>
        <w:sym w:font="Symbol" w:char="F0B7"/>
      </w:r>
      <w:r>
        <w:rPr>
          <w:lang w:val="pt-BR"/>
        </w:rPr>
        <w:t>].</w:t>
      </w:r>
    </w:p>
    <w:p>
      <w:pPr>
        <w:pStyle w:val="Level4"/>
        <w:ind w:left="2040"/>
        <w:rPr>
          <w:b/>
          <w:lang w:val="pt-BR"/>
        </w:rPr>
      </w:pPr>
      <w:r>
        <w:rPr>
          <w:b/>
          <w:lang w:val="pt-BR"/>
        </w:rPr>
        <w:t>Projeto SPT 2</w:t>
      </w:r>
    </w:p>
    <w:p>
      <w:pPr>
        <w:pStyle w:val="Level5"/>
        <w:rPr>
          <w:b/>
          <w:bCs/>
          <w:szCs w:val="28"/>
          <w:lang w:val="pt-BR"/>
        </w:rPr>
      </w:pPr>
      <w:r>
        <w:rPr>
          <w:b/>
          <w:bCs/>
          <w:lang w:val="pt-BR"/>
        </w:rPr>
        <w:t>Objetivo do Projeto SPT 2:</w:t>
      </w:r>
      <w:r>
        <w:rPr>
          <w:b/>
          <w:bCs/>
          <w:szCs w:val="28"/>
          <w:lang w:val="pt-BR"/>
        </w:rPr>
        <w:t xml:space="preserve"> </w:t>
      </w:r>
      <w:r>
        <w:rPr>
          <w:lang w:val="pt-BR"/>
        </w:rPr>
        <w:t>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pPr>
        <w:pStyle w:val="Level5"/>
        <w:rPr>
          <w:b/>
          <w:bCs/>
          <w:lang w:val="pt-BR"/>
        </w:rPr>
      </w:pPr>
      <w:r>
        <w:rPr>
          <w:b/>
          <w:bCs/>
          <w:lang w:val="pt-BR"/>
        </w:rPr>
        <w:t xml:space="preserve">Data de Início do Projeto SPT 2: </w:t>
      </w:r>
      <w:r>
        <w:rPr>
          <w:lang w:val="pt-BR"/>
        </w:rPr>
        <w:t>[</w:t>
      </w:r>
      <w:r>
        <w:rPr>
          <w:lang w:val="pt-BR"/>
        </w:rPr>
        <w:sym w:font="Symbol" w:char="F0B7"/>
      </w:r>
      <w:r>
        <w:rPr>
          <w:lang w:val="pt-BR"/>
        </w:rPr>
        <w:t>].</w:t>
      </w:r>
    </w:p>
    <w:p>
      <w:pPr>
        <w:pStyle w:val="Level5"/>
        <w:rPr>
          <w:b/>
          <w:bCs/>
          <w:lang w:val="pt-BR"/>
        </w:rPr>
      </w:pPr>
      <w:r>
        <w:rPr>
          <w:b/>
          <w:bCs/>
          <w:lang w:val="pt-BR"/>
        </w:rPr>
        <w:t xml:space="preserve">Fase Atual e Estimativa de Encerramento: </w:t>
      </w:r>
      <w:r>
        <w:rPr>
          <w:lang w:val="pt-BR"/>
        </w:rPr>
        <w:t>O empreendimento encontra-se em curso, com previsão de conclusão no mês de agosto de 2021.</w:t>
      </w:r>
    </w:p>
    <w:p>
      <w:pPr>
        <w:pStyle w:val="Level5"/>
        <w:rPr>
          <w:b/>
          <w:bCs/>
          <w:lang w:val="pt-BR"/>
        </w:rPr>
      </w:pPr>
      <w:r>
        <w:rPr>
          <w:b/>
          <w:bCs/>
          <w:lang w:val="pt-BR"/>
        </w:rPr>
        <w:lastRenderedPageBreak/>
        <w:t xml:space="preserve">Volume estimado de recursos financeiros necessários para a realização do Projeto SPT 2: </w:t>
      </w:r>
      <w:r>
        <w:rPr>
          <w:lang w:val="pt-BR"/>
        </w:rPr>
        <w:t>R$[</w:t>
      </w:r>
      <w:r>
        <w:rPr>
          <w:lang w:val="pt-BR"/>
        </w:rPr>
        <w:sym w:font="Symbol" w:char="F0B7"/>
      </w:r>
      <w:r>
        <w:rPr>
          <w:lang w:val="pt-BR"/>
        </w:rPr>
        <w:t>].</w:t>
      </w:r>
    </w:p>
    <w:p>
      <w:pPr>
        <w:pStyle w:val="Level5"/>
        <w:rPr>
          <w:b/>
          <w:bCs/>
          <w:lang w:val="pt-BR"/>
        </w:rPr>
      </w:pPr>
      <w:r>
        <w:rPr>
          <w:b/>
          <w:bCs/>
          <w:lang w:val="pt-BR"/>
        </w:rPr>
        <w:t>Montante total dos recursos líquidos a serem captados pelas Debêntures, que se estima alocar no Projeto SPT 2:</w:t>
      </w:r>
      <w:r>
        <w:rPr>
          <w:lang w:val="pt-BR"/>
        </w:rPr>
        <w:t xml:space="preserve"> R$[</w:t>
      </w:r>
      <w:r>
        <w:rPr>
          <w:lang w:val="pt-BR"/>
        </w:rPr>
        <w:sym w:font="Symbol" w:char="F0B7"/>
      </w:r>
      <w:r>
        <w:rPr>
          <w:lang w:val="pt-BR"/>
        </w:rPr>
        <w:t>] ([</w:t>
      </w:r>
      <w:r>
        <w:rPr>
          <w:lang w:val="pt-BR"/>
        </w:rPr>
        <w:sym w:font="Symbol" w:char="F0B7"/>
      </w:r>
      <w:r>
        <w:rPr>
          <w:lang w:val="pt-BR"/>
        </w:rPr>
        <w:t>]).</w:t>
      </w:r>
    </w:p>
    <w:p>
      <w:pPr>
        <w:pStyle w:val="Level5"/>
        <w:rPr>
          <w:b/>
          <w:bCs/>
          <w:lang w:val="pt-BR"/>
        </w:rPr>
      </w:pPr>
      <w:r>
        <w:rPr>
          <w:b/>
          <w:bCs/>
          <w:lang w:val="pt-BR"/>
        </w:rPr>
        <w:t xml:space="preserve">Percentual decorrente dos recursos líquidos a serem captados pelas Debêntures, que se estima alocar no Projeto SPT 2: </w:t>
      </w:r>
      <w:r>
        <w:rPr>
          <w:lang w:val="pt-BR"/>
        </w:rPr>
        <w:t>[</w:t>
      </w:r>
      <w:r>
        <w:rPr>
          <w:lang w:val="pt-BR"/>
        </w:rPr>
        <w:sym w:font="Symbol" w:char="F0B7"/>
      </w:r>
      <w:r>
        <w:rPr>
          <w:lang w:val="pt-BR"/>
        </w:rPr>
        <w:t>]%.</w:t>
      </w:r>
    </w:p>
    <w:p>
      <w:pPr>
        <w:pStyle w:val="Level5"/>
        <w:rPr>
          <w:b/>
          <w:bCs/>
          <w:lang w:val="pt-BR"/>
        </w:rPr>
      </w:pPr>
      <w:r>
        <w:rPr>
          <w:b/>
          <w:bCs/>
          <w:lang w:val="pt-BR"/>
        </w:rPr>
        <w:t xml:space="preserve">Percentual que a Emissora estima captar para o Projeto SPT 2, nos termos do item (v), frente às necessidades do Projeto SPT 2 indicados no item (iv) acima: </w:t>
      </w:r>
      <w:r>
        <w:rPr>
          <w:lang w:val="pt-BR"/>
        </w:rPr>
        <w:t>[</w:t>
      </w:r>
      <w:r>
        <w:rPr>
          <w:lang w:val="pt-BR"/>
        </w:rPr>
        <w:sym w:font="Symbol" w:char="F0B7"/>
      </w:r>
      <w:r>
        <w:rPr>
          <w:lang w:val="pt-BR"/>
        </w:rPr>
        <w:t>]%.</w:t>
      </w:r>
    </w:p>
    <w:p>
      <w:pPr>
        <w:pStyle w:val="Level5"/>
        <w:rPr>
          <w:lang w:val="pt-BR"/>
        </w:rPr>
      </w:pPr>
      <w:r>
        <w:rPr>
          <w:b/>
          <w:bCs/>
          <w:lang w:val="pt-BR"/>
        </w:rPr>
        <w:t>Portaria do MME que enquadrou Projeto SPT 2 como prioritário:</w:t>
      </w:r>
      <w:r>
        <w:rPr>
          <w:lang w:val="pt-BR"/>
        </w:rPr>
        <w:t xml:space="preserve"> Portaria MME nº 104, de 30 de março de 2020, publicada no Diário Oficial da União de 31 de março de 2020. </w:t>
      </w:r>
    </w:p>
    <w:p>
      <w:pPr>
        <w:pStyle w:val="Level5"/>
        <w:numPr>
          <w:ilvl w:val="0"/>
          <w:numId w:val="0"/>
        </w:numPr>
        <w:ind w:left="2720"/>
        <w:rPr>
          <w:lang w:val="pt-BR"/>
        </w:rPr>
      </w:pPr>
      <w:r>
        <w:rPr>
          <w:b/>
          <w:lang w:val="pt-BR"/>
        </w:rPr>
        <w:t xml:space="preserve">Forma de destinação dos recursos financeiros captados pelas Debêntures e que serão alocadas no Projeto SPT 2: </w:t>
      </w:r>
      <w:r>
        <w:rPr>
          <w:lang w:val="pt-BR"/>
        </w:rPr>
        <w:t>[</w:t>
      </w:r>
      <w:r>
        <w:rPr>
          <w:lang w:val="pt-BR"/>
        </w:rPr>
        <w:sym w:font="Symbol" w:char="F0B7"/>
      </w:r>
      <w:r>
        <w:rPr>
          <w:lang w:val="pt-BR"/>
        </w:rPr>
        <w:t>].</w:t>
      </w:r>
    </w:p>
    <w:p>
      <w:pPr>
        <w:pStyle w:val="Level3"/>
        <w:spacing w:before="140"/>
        <w:ind w:left="1360" w:hanging="680"/>
        <w:rPr>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pPr>
        <w:pStyle w:val="Level1"/>
      </w:pPr>
      <w:r>
        <w:t xml:space="preserve">CARACTERÍSTICAS DA EMISSÃO </w:t>
      </w:r>
      <w:r>
        <w:rPr>
          <w:highlight w:val="yellow"/>
        </w:rPr>
        <w:t>[Nota Lefosse: Cláusula sujeita a alterações adicionais em razão da padronização da escritura conforme guia de padronização ANBIMA].</w:t>
      </w:r>
    </w:p>
    <w:p>
      <w:pPr>
        <w:pStyle w:val="Level2"/>
        <w:spacing w:before="140" w:after="0"/>
        <w:rPr>
          <w:rFonts w:cs="Arial"/>
          <w:b/>
          <w:lang w:val="pt-BR"/>
        </w:rPr>
      </w:pPr>
      <w:r>
        <w:rPr>
          <w:rFonts w:cs="Arial"/>
          <w:b/>
          <w:lang w:val="pt-BR"/>
        </w:rPr>
        <w:t xml:space="preserve">Valor Total da Emissão </w:t>
      </w:r>
    </w:p>
    <w:p>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pPr>
        <w:pStyle w:val="Level2"/>
        <w:spacing w:before="140" w:after="0"/>
        <w:rPr>
          <w:rFonts w:cs="Arial"/>
          <w:b/>
          <w:lang w:val="pt-BR"/>
        </w:rPr>
      </w:pPr>
      <w:r>
        <w:rPr>
          <w:rFonts w:cs="Arial"/>
          <w:b/>
          <w:lang w:val="pt-BR"/>
        </w:rPr>
        <w:t xml:space="preserve">Número da Emissão </w:t>
      </w:r>
    </w:p>
    <w:p>
      <w:pPr>
        <w:pStyle w:val="Level3"/>
        <w:spacing w:before="140" w:after="0"/>
        <w:rPr>
          <w:rFonts w:cs="Arial"/>
          <w:lang w:val="pt-BR"/>
        </w:rPr>
      </w:pPr>
      <w:r>
        <w:rPr>
          <w:rFonts w:cs="Arial"/>
          <w:lang w:val="pt-BR"/>
        </w:rPr>
        <w:t xml:space="preserve">A presente Emissão representa a 10ª (décima) emissão de debêntures da Emissora. </w:t>
      </w:r>
    </w:p>
    <w:p>
      <w:pPr>
        <w:pStyle w:val="Level2"/>
        <w:spacing w:before="140"/>
        <w:rPr>
          <w:rFonts w:cs="Arial"/>
          <w:b/>
          <w:lang w:val="pt-BR"/>
        </w:rPr>
      </w:pPr>
      <w:bookmarkStart w:id="40" w:name="_Ref420334827"/>
      <w:r>
        <w:rPr>
          <w:rFonts w:cs="Arial"/>
          <w:b/>
          <w:lang w:val="pt-BR"/>
        </w:rPr>
        <w:t>Número de Séries</w:t>
      </w:r>
      <w:bookmarkEnd w:id="40"/>
    </w:p>
    <w:p>
      <w:pPr>
        <w:pStyle w:val="Level3"/>
        <w:rPr>
          <w:rFonts w:eastAsia="MS Mincho"/>
          <w:lang w:val="pt-BR"/>
        </w:rPr>
      </w:pPr>
      <w:bookmarkStart w:id="41" w:name="_Ref420334801"/>
      <w:bookmarkStart w:id="42" w:name="_Ref475552498"/>
      <w:r>
        <w:rPr>
          <w:lang w:val="pt-BR"/>
        </w:rPr>
        <w:t xml:space="preserve">A Emissão será realizada em </w:t>
      </w:r>
      <w:bookmarkStart w:id="43"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r>
        <w:rPr>
          <w:i/>
          <w:lang w:val="pt-BR"/>
        </w:rPr>
        <w:t>Bookbuilding</w:t>
      </w:r>
      <w:r>
        <w:rPr>
          <w:lang w:val="pt-BR"/>
        </w:rPr>
        <w:t xml:space="preserve">, observado que tal alocação ocorrerá no sistema de vasos </w:t>
      </w:r>
      <w:r>
        <w:rPr>
          <w:szCs w:val="20"/>
          <w:lang w:val="pt-BR"/>
        </w:rPr>
        <w:t>comunicantes</w:t>
      </w:r>
      <w:r>
        <w:rPr>
          <w:lang w:val="pt-BR"/>
        </w:rPr>
        <w:t>, ou seja, a quantidade de Debêntures de qualquer das séries deverá ser diminuída da quantidade total de Debêntures, delimitando, portanto, a quantidade de Debêntures a ser alocada na outra série (“</w:t>
      </w:r>
      <w:r>
        <w:rPr>
          <w:b/>
          <w:lang w:val="pt-BR"/>
        </w:rPr>
        <w:t>Sistema de Vasos Comunicantes</w:t>
      </w:r>
      <w:r>
        <w:rPr>
          <w:lang w:val="pt-BR"/>
        </w:rPr>
        <w:t>”).</w:t>
      </w:r>
      <w:bookmarkEnd w:id="43"/>
      <w:r>
        <w:rPr>
          <w:lang w:val="pt-BR"/>
        </w:rPr>
        <w:t xml:space="preserve"> No que se refere à terceira série (“</w:t>
      </w:r>
      <w:r>
        <w:rPr>
          <w:b/>
          <w:bCs/>
          <w:lang w:val="pt-BR"/>
        </w:rPr>
        <w:t>Debêntures da Terceira Série</w:t>
      </w:r>
      <w:r>
        <w:rPr>
          <w:lang w:val="pt-BR"/>
        </w:rPr>
        <w:t xml:space="preserve">”), esta não sofrerá interferência decorrente do Sistema de Vasos </w:t>
      </w:r>
      <w:r>
        <w:rPr>
          <w:lang w:val="pt-BR"/>
        </w:rPr>
        <w:lastRenderedPageBreak/>
        <w:t xml:space="preserve">Comunicantes previsto nesta Cláusula. Assim, as Debêntures da Primeira Série ou as Debêntures da Segunda Série poderão não ser emitidas, a depender do resultado do Procedimento de </w:t>
      </w:r>
      <w:r>
        <w:rPr>
          <w:i/>
          <w:lang w:val="pt-BR"/>
        </w:rPr>
        <w:t>Bookbuilding</w:t>
      </w:r>
      <w:r>
        <w:rPr>
          <w:lang w:val="pt-BR"/>
        </w:rPr>
        <w:t>, hipótese em que a totalidade das Debêntures será emitida em 2 (duas) séries. [</w:t>
      </w:r>
      <w:r>
        <w:rPr>
          <w:highlight w:val="yellow"/>
          <w:lang w:val="pt-BR"/>
        </w:rPr>
        <w:t>B3: o resultado do bookbuilding será ratificado em aditamento à escritura?]</w:t>
      </w:r>
    </w:p>
    <w:p>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41"/>
    <w:bookmarkEnd w:id="42"/>
    <w:p>
      <w:pPr>
        <w:pStyle w:val="Level2"/>
        <w:spacing w:before="140"/>
        <w:rPr>
          <w:rFonts w:cs="Arial"/>
          <w:b/>
          <w:lang w:val="pt-BR"/>
        </w:rPr>
      </w:pPr>
      <w:r>
        <w:rPr>
          <w:rFonts w:cs="Arial"/>
          <w:b/>
          <w:bCs/>
          <w:lang w:val="pt-BR"/>
        </w:rPr>
        <w:t>Banco Liquidante</w:t>
      </w:r>
      <w:r>
        <w:rPr>
          <w:rFonts w:cs="Arial"/>
          <w:b/>
          <w:lang w:val="pt-BR"/>
        </w:rPr>
        <w:t xml:space="preserve"> e Escriturador </w:t>
      </w:r>
    </w:p>
    <w:p>
      <w:pPr>
        <w:pStyle w:val="Level3"/>
        <w:rPr>
          <w:highlight w:val="yellow"/>
          <w:lang w:val="pt-BR"/>
        </w:rPr>
      </w:pPr>
      <w:r>
        <w:rPr>
          <w:lang w:val="pt-BR"/>
        </w:rPr>
        <w:t>O banco liquidante da Emissão e o escriturador das Debêntures será o [</w:t>
      </w:r>
      <w:r>
        <w:rPr>
          <w:b/>
          <w:bCs/>
          <w:lang w:val="pt-BR"/>
        </w:rPr>
        <w:t xml:space="preserve">Banco Bradesco S.A., </w:t>
      </w:r>
      <w:r>
        <w:rPr>
          <w:lang w:val="pt-BR"/>
        </w:rPr>
        <w:t xml:space="preserve">instituição financeira instituição financeira com sede na Cidade de Deus, s/n, Prédio Amarelo, 2º andar, Vila Yara, CEP 06029-900, com estabelecimento na Cidade de Osasco, Estado de São Paulo, inscrita no CNPJ/ME sob o n.º </w:t>
      </w:r>
      <w:r>
        <w:rPr>
          <w:rFonts w:cs="Arial"/>
          <w:lang w:val="pt-BR"/>
        </w:rPr>
        <w:t>60.746.948/0001-12]</w:t>
      </w:r>
      <w:r>
        <w:rPr>
          <w:lang w:val="pt-BR"/>
        </w:rPr>
        <w:t xml:space="preserve"> (“</w:t>
      </w:r>
      <w:r>
        <w:rPr>
          <w:b/>
          <w:lang w:val="pt-BR"/>
        </w:rPr>
        <w:t>Banco Liquidante</w:t>
      </w:r>
      <w:r>
        <w:rPr>
          <w:lang w:val="pt-BR"/>
        </w:rPr>
        <w:t>”), cuja definição inclui qualquer outra instituição que venha a suceder o Banco Liquidante na prestação dos serviços de banco liquidante da Emissão; e “</w:t>
      </w:r>
      <w:r>
        <w:rPr>
          <w:b/>
          <w:lang w:val="pt-BR"/>
        </w:rPr>
        <w:t>Escriturador</w:t>
      </w:r>
      <w:r>
        <w:rPr>
          <w:lang w:val="pt-BR"/>
        </w:rPr>
        <w:t xml:space="preserve">”, cuja definição inclui qualquer outra instituição que venha a suceder o Escriturador na prestação dos serviços de escriturador das Debêntures). </w:t>
      </w:r>
      <w:r>
        <w:rPr>
          <w:b/>
          <w:bCs/>
          <w:highlight w:val="yellow"/>
          <w:lang w:val="pt-BR"/>
        </w:rPr>
        <w:t>[Nota Lefosse: Banco Liquidante e Escriturador a ser confirmado].</w:t>
      </w:r>
      <w:r>
        <w:rPr>
          <w:b/>
          <w:bCs/>
          <w:lang w:val="pt-BR"/>
        </w:rPr>
        <w:t xml:space="preserve"> </w:t>
      </w:r>
      <w:r>
        <w:rPr>
          <w:bCs/>
          <w:highlight w:val="yellow"/>
          <w:lang w:val="pt-BR"/>
        </w:rPr>
        <w:t>[Nota PNA: em contratação]</w:t>
      </w:r>
    </w:p>
    <w:p>
      <w:pPr>
        <w:pStyle w:val="Level2"/>
        <w:spacing w:before="140" w:after="0"/>
        <w:rPr>
          <w:rFonts w:cs="Arial"/>
          <w:b/>
          <w:lang w:val="pt-BR"/>
        </w:rPr>
      </w:pPr>
      <w:bookmarkStart w:id="44" w:name="_DV_M70"/>
      <w:bookmarkStart w:id="45" w:name="_DV_M71"/>
      <w:bookmarkEnd w:id="44"/>
      <w:bookmarkEnd w:id="45"/>
      <w:r>
        <w:rPr>
          <w:rFonts w:cs="Arial"/>
          <w:b/>
          <w:lang w:val="pt-BR"/>
        </w:rPr>
        <w:t xml:space="preserve">Direito de Preferência </w:t>
      </w:r>
    </w:p>
    <w:p>
      <w:pPr>
        <w:pStyle w:val="Level3"/>
        <w:spacing w:before="140" w:after="0"/>
        <w:rPr>
          <w:rFonts w:cs="Arial"/>
          <w:lang w:val="pt-BR"/>
        </w:rPr>
      </w:pPr>
      <w:r>
        <w:rPr>
          <w:rFonts w:cs="Arial"/>
          <w:lang w:val="pt-BR"/>
        </w:rPr>
        <w:t xml:space="preserve">Não haverá direito de preferência dos atuais acionistas da Emissora na subscrição das Debêntures. </w:t>
      </w:r>
    </w:p>
    <w:p>
      <w:pPr>
        <w:pStyle w:val="Level2"/>
        <w:spacing w:before="140" w:after="0"/>
        <w:rPr>
          <w:b/>
          <w:lang w:val="pt-BR"/>
        </w:rPr>
      </w:pPr>
      <w:r>
        <w:rPr>
          <w:b/>
          <w:lang w:val="pt-BR"/>
        </w:rPr>
        <w:t>Fundo de Liquidez e Estabilização</w:t>
      </w:r>
    </w:p>
    <w:p>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pPr>
        <w:pStyle w:val="Level2"/>
        <w:spacing w:before="140" w:after="0"/>
        <w:rPr>
          <w:b/>
          <w:lang w:val="pt-BR"/>
        </w:rPr>
      </w:pPr>
      <w:r>
        <w:rPr>
          <w:b/>
          <w:lang w:val="pt-BR"/>
        </w:rPr>
        <w:t>Fundo de Amortização</w:t>
      </w:r>
    </w:p>
    <w:p>
      <w:pPr>
        <w:pStyle w:val="Level3"/>
        <w:spacing w:before="140" w:after="0"/>
        <w:rPr>
          <w:lang w:val="pt-BR"/>
        </w:rPr>
      </w:pPr>
      <w:r>
        <w:rPr>
          <w:lang w:val="pt-BR"/>
        </w:rPr>
        <w:t xml:space="preserve">Não será constituído fundo de amortização para a presente Emissão. </w:t>
      </w:r>
    </w:p>
    <w:p>
      <w:pPr>
        <w:pStyle w:val="Level1"/>
      </w:pPr>
      <w:r>
        <w:t>CARACTERÍSTICAS GERAIS DAS DEBÊNTURES</w:t>
      </w:r>
    </w:p>
    <w:p>
      <w:pPr>
        <w:pStyle w:val="Level2"/>
        <w:spacing w:before="140" w:after="0"/>
        <w:rPr>
          <w:rFonts w:cs="Arial"/>
          <w:b/>
          <w:lang w:val="pt-BR"/>
        </w:rPr>
      </w:pPr>
      <w:r>
        <w:rPr>
          <w:rFonts w:cs="Arial"/>
          <w:b/>
          <w:lang w:val="pt-BR"/>
        </w:rPr>
        <w:t xml:space="preserve">Data de Emissão </w:t>
      </w:r>
    </w:p>
    <w:p>
      <w:pPr>
        <w:pStyle w:val="Level3"/>
        <w:spacing w:before="140" w:after="0"/>
        <w:rPr>
          <w:rFonts w:cs="Arial"/>
          <w:lang w:val="pt-BR"/>
        </w:rPr>
      </w:pPr>
      <w:r>
        <w:rPr>
          <w:rFonts w:cs="Arial"/>
          <w:lang w:val="pt-BR"/>
        </w:rPr>
        <w:t xml:space="preserve">Para todos os fins e efeitos legais, a data de emissão das Debêntures será </w:t>
      </w:r>
      <w:r>
        <w:rPr>
          <w:lang w:val="pt-BR"/>
        </w:rPr>
        <w:t xml:space="preserve">[15] </w:t>
      </w:r>
      <w:r>
        <w:rPr>
          <w:rFonts w:cs="Arial"/>
          <w:lang w:val="pt-BR"/>
        </w:rPr>
        <w:t xml:space="preserve">de </w:t>
      </w:r>
      <w:r>
        <w:rPr>
          <w:lang w:val="pt-BR"/>
        </w:rPr>
        <w:t>[março]</w:t>
      </w:r>
      <w:r>
        <w:rPr>
          <w:rFonts w:cs="Arial"/>
          <w:lang w:val="pt-BR"/>
        </w:rPr>
        <w:t xml:space="preserve"> de 2021 (“</w:t>
      </w:r>
      <w:r>
        <w:rPr>
          <w:rFonts w:cs="Arial"/>
          <w:b/>
          <w:lang w:val="pt-BR"/>
        </w:rPr>
        <w:t>Data de Emissão</w:t>
      </w:r>
      <w:r>
        <w:rPr>
          <w:rFonts w:cs="Arial"/>
          <w:lang w:val="pt-BR"/>
        </w:rPr>
        <w:t xml:space="preserve">”). </w:t>
      </w:r>
    </w:p>
    <w:p>
      <w:pPr>
        <w:pStyle w:val="Level2"/>
        <w:spacing w:before="140" w:after="0"/>
        <w:rPr>
          <w:rFonts w:cs="Arial"/>
          <w:b/>
          <w:lang w:val="pt-BR"/>
        </w:rPr>
      </w:pPr>
      <w:r>
        <w:rPr>
          <w:rFonts w:cs="Arial"/>
          <w:b/>
          <w:lang w:val="pt-BR"/>
        </w:rPr>
        <w:t>Data de Início da Rentabilidade</w:t>
      </w:r>
    </w:p>
    <w:p>
      <w:pPr>
        <w:pStyle w:val="Level3"/>
        <w:spacing w:before="140" w:after="0"/>
        <w:rPr>
          <w:rFonts w:cs="Arial"/>
          <w:lang w:val="pt-BR"/>
        </w:rPr>
      </w:pPr>
      <w:r>
        <w:rPr>
          <w:rFonts w:cs="Arial"/>
          <w:lang w:val="pt-BR"/>
        </w:rPr>
        <w:t>Para todos os fins e efeitos legais, a data de início da rentabilidade será a primeira Data de Integralização.</w:t>
      </w:r>
    </w:p>
    <w:p>
      <w:pPr>
        <w:pStyle w:val="Level2"/>
        <w:spacing w:before="140" w:after="0"/>
        <w:rPr>
          <w:rFonts w:cs="Arial"/>
          <w:b/>
          <w:lang w:val="pt-BR"/>
        </w:rPr>
      </w:pPr>
      <w:r>
        <w:rPr>
          <w:rFonts w:cs="Arial"/>
          <w:b/>
          <w:lang w:val="pt-BR"/>
        </w:rPr>
        <w:t>Forma, Tipo e Comprovação de Titularidade</w:t>
      </w:r>
    </w:p>
    <w:p>
      <w:pPr>
        <w:pStyle w:val="Level3"/>
        <w:spacing w:before="140" w:after="0"/>
        <w:rPr>
          <w:rFonts w:cs="Arial"/>
          <w:lang w:val="pt-BR"/>
        </w:rPr>
      </w:pPr>
      <w:r>
        <w:rPr>
          <w:rFonts w:cs="Arial"/>
          <w:lang w:val="pt-BR"/>
        </w:rPr>
        <w:lastRenderedPageBreak/>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pPr>
        <w:pStyle w:val="Level2"/>
        <w:spacing w:before="140" w:after="0"/>
        <w:rPr>
          <w:rFonts w:cs="Arial"/>
          <w:b/>
          <w:lang w:val="pt-BR"/>
        </w:rPr>
      </w:pPr>
      <w:r>
        <w:rPr>
          <w:rFonts w:cs="Arial"/>
          <w:b/>
          <w:lang w:val="pt-BR"/>
        </w:rPr>
        <w:t>Conversibilidade</w:t>
      </w:r>
      <w:r>
        <w:rPr>
          <w:rFonts w:cs="Arial"/>
          <w:lang w:val="pt-BR"/>
        </w:rPr>
        <w:t xml:space="preserve"> </w:t>
      </w:r>
    </w:p>
    <w:p>
      <w:pPr>
        <w:pStyle w:val="Level3"/>
        <w:spacing w:before="140" w:after="0"/>
        <w:rPr>
          <w:rFonts w:cs="Arial"/>
          <w:lang w:val="pt-BR"/>
        </w:rPr>
      </w:pPr>
      <w:r>
        <w:rPr>
          <w:rFonts w:cs="Arial"/>
          <w:lang w:val="pt-BR"/>
        </w:rPr>
        <w:t xml:space="preserve">As Debêntures serão simples, ou seja, não serão conversíveis em ações de emissão da Emissora. </w:t>
      </w:r>
    </w:p>
    <w:p>
      <w:pPr>
        <w:pStyle w:val="Level2"/>
        <w:spacing w:before="140" w:after="0"/>
        <w:rPr>
          <w:rFonts w:cs="Arial"/>
          <w:b/>
          <w:lang w:val="pt-BR"/>
        </w:rPr>
      </w:pPr>
      <w:r>
        <w:rPr>
          <w:rFonts w:cs="Arial"/>
          <w:b/>
          <w:lang w:val="pt-BR"/>
        </w:rPr>
        <w:t>Espécie</w:t>
      </w:r>
      <w:r>
        <w:rPr>
          <w:rFonts w:cs="Arial"/>
          <w:lang w:val="pt-BR"/>
        </w:rPr>
        <w:t xml:space="preserve"> </w:t>
      </w:r>
    </w:p>
    <w:p>
      <w:pPr>
        <w:pStyle w:val="Level3"/>
        <w:spacing w:before="140" w:after="0"/>
        <w:rPr>
          <w:rFonts w:cs="Arial"/>
          <w:lang w:val="pt-BR"/>
        </w:rPr>
      </w:pPr>
      <w:r>
        <w:rPr>
          <w:rFonts w:cs="Arial"/>
          <w:lang w:val="pt-BR"/>
        </w:rPr>
        <w:t xml:space="preserve">As Debêntures serão da espécie quirografária, nos termos do artigo 58, </w:t>
      </w:r>
      <w:r>
        <w:rPr>
          <w:rFonts w:cs="Arial"/>
          <w:i/>
          <w:iCs/>
          <w:lang w:val="pt-BR"/>
        </w:rPr>
        <w:t>caput</w:t>
      </w:r>
      <w:r>
        <w:rPr>
          <w:rFonts w:cs="Arial"/>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pPr>
        <w:pStyle w:val="Level2"/>
        <w:spacing w:before="140"/>
        <w:rPr>
          <w:rFonts w:cs="Arial"/>
          <w:b/>
          <w:lang w:val="pt-BR"/>
        </w:rPr>
      </w:pPr>
      <w:r>
        <w:rPr>
          <w:rFonts w:cs="Arial"/>
          <w:b/>
          <w:lang w:val="pt-BR"/>
        </w:rPr>
        <w:t xml:space="preserve">Prazo e Data de Vencimento </w:t>
      </w:r>
    </w:p>
    <w:p>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vencimento de 7 (sete) anos contados da Data de Emissão, vencendo-se, portanto, em [15 de março] de 2028 (“</w:t>
      </w:r>
      <w:r>
        <w:rPr>
          <w:b/>
          <w:lang w:val="pt-BR"/>
        </w:rPr>
        <w:t>Data de Vencimento das Debêntures da Primeira Série</w:t>
      </w:r>
      <w:r>
        <w:rPr>
          <w:lang w:val="pt-BR"/>
        </w:rPr>
        <w:t>”).</w:t>
      </w:r>
    </w:p>
    <w:p>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Pr>
          <w:lang w:val="pt-BR"/>
        </w:rPr>
        <w:sym w:font="Symbol" w:char="F0B7"/>
      </w:r>
      <w:r>
        <w:rPr>
          <w:lang w:val="pt-BR"/>
        </w:rPr>
        <w:t>] de [</w:t>
      </w:r>
      <w:r>
        <w:rPr>
          <w:lang w:val="pt-BR"/>
        </w:rPr>
        <w:sym w:font="Symbol" w:char="F0B7"/>
      </w:r>
      <w:r>
        <w:rPr>
          <w:lang w:val="pt-BR"/>
        </w:rPr>
        <w:t>] de 2031 (“</w:t>
      </w:r>
      <w:r>
        <w:rPr>
          <w:b/>
          <w:lang w:val="pt-BR"/>
        </w:rPr>
        <w:t>Data de Vencimento das Debêntures da Segunda Série</w:t>
      </w:r>
      <w:r>
        <w:rPr>
          <w:lang w:val="pt-BR"/>
        </w:rPr>
        <w:t>”).</w:t>
      </w:r>
    </w:p>
    <w:p>
      <w:pPr>
        <w:pStyle w:val="Level3"/>
        <w:rPr>
          <w:lang w:val="pt-BR"/>
        </w:rPr>
      </w:pPr>
      <w:r>
        <w:rPr>
          <w:u w:val="single"/>
          <w:lang w:val="pt-BR"/>
        </w:rPr>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Pr>
          <w:lang w:val="pt-BR"/>
        </w:rPr>
        <w:sym w:font="Symbol" w:char="F0B7"/>
      </w:r>
      <w:r>
        <w:rPr>
          <w:lang w:val="pt-BR"/>
        </w:rPr>
        <w:t>] de [</w:t>
      </w:r>
      <w:r>
        <w:rPr>
          <w:lang w:val="pt-BR"/>
        </w:rPr>
        <w:sym w:font="Symbol" w:char="F0B7"/>
      </w:r>
      <w:r>
        <w:rPr>
          <w:lang w:val="pt-BR"/>
        </w:rPr>
        <w:t>]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pPr>
        <w:pStyle w:val="Level2"/>
        <w:spacing w:before="140" w:after="0"/>
        <w:rPr>
          <w:rFonts w:cs="Arial"/>
          <w:b/>
          <w:lang w:val="pt-BR"/>
        </w:rPr>
      </w:pPr>
      <w:r>
        <w:rPr>
          <w:rFonts w:cs="Arial"/>
          <w:b/>
          <w:lang w:val="pt-BR"/>
        </w:rPr>
        <w:t xml:space="preserve">Valor Nominal Unitário </w:t>
      </w:r>
    </w:p>
    <w:p>
      <w:pPr>
        <w:pStyle w:val="Level3"/>
        <w:spacing w:before="140" w:after="0"/>
        <w:rPr>
          <w:lang w:val="pt-BR"/>
        </w:rPr>
      </w:pPr>
      <w:r>
        <w:rPr>
          <w:lang w:val="pt-BR"/>
        </w:rPr>
        <w:t>O valor nominal unitário das Debêntures, na Data de Emissão (conforme abaixo definido), será de R$1.000,00 (mil reais) (“</w:t>
      </w:r>
      <w:r>
        <w:rPr>
          <w:b/>
          <w:lang w:val="pt-BR"/>
        </w:rPr>
        <w:t>Valor Nominal Unitário</w:t>
      </w:r>
      <w:r>
        <w:rPr>
          <w:lang w:val="pt-BR"/>
        </w:rPr>
        <w:t xml:space="preserve">”). </w:t>
      </w:r>
    </w:p>
    <w:p>
      <w:pPr>
        <w:pStyle w:val="Level2"/>
        <w:spacing w:before="140" w:after="0"/>
        <w:rPr>
          <w:rFonts w:cs="Arial"/>
          <w:b/>
          <w:lang w:val="pt-BR"/>
        </w:rPr>
      </w:pPr>
      <w:r>
        <w:rPr>
          <w:rFonts w:cs="Arial"/>
          <w:b/>
          <w:lang w:val="pt-BR"/>
        </w:rPr>
        <w:t>Quantidade de Debêntures Emitidas</w:t>
      </w:r>
    </w:p>
    <w:p>
      <w:pPr>
        <w:pStyle w:val="Level3"/>
        <w:spacing w:before="140"/>
        <w:rPr>
          <w:rFonts w:cs="Arial"/>
          <w:lang w:val="pt-BR"/>
        </w:rPr>
      </w:pPr>
      <w:r>
        <w:rPr>
          <w:rFonts w:cs="Arial"/>
          <w:lang w:val="pt-BR"/>
        </w:rPr>
        <w:lastRenderedPageBreak/>
        <w:t xml:space="preserve">Serão emitidas 750.000 (setecentos e cinquenta mil) Debêntures, sendo que a quantidade de 650.000 (seiscentos e cinquenta mil) Debêntures destinadas às Debêntures da Primeira e Debêntures da Segunda Série será em Sistema de Vasos Comunicantes. A quantidade de Debêntures a ser alocada entre a primeira série e a segunda série será definida conforme o Procedimento de </w:t>
      </w:r>
      <w:r>
        <w:rPr>
          <w:rFonts w:cs="Arial"/>
          <w:i/>
          <w:iCs/>
          <w:lang w:val="pt-BR"/>
        </w:rPr>
        <w:t>Bookbuilding</w:t>
      </w:r>
      <w:r>
        <w:rPr>
          <w:rFonts w:cs="Arial"/>
          <w:lang w:val="pt-BR"/>
        </w:rPr>
        <w:t xml:space="preserve"> (conforme definido abaixo) e a quantidade de Debêntures da Terceira Série será necessariamente de </w:t>
      </w:r>
      <w:r>
        <w:rPr>
          <w:lang w:val="pt-BR"/>
        </w:rPr>
        <w:t>100.000 (cem mil) Debêntures</w:t>
      </w:r>
      <w:r>
        <w:rPr>
          <w:rFonts w:cs="Arial"/>
          <w:lang w:val="pt-BR"/>
        </w:rPr>
        <w:t xml:space="preserve">. </w:t>
      </w:r>
      <w:r>
        <w:rPr>
          <w:rFonts w:cs="Arial"/>
          <w:highlight w:val="yellow"/>
          <w:lang w:val="pt-BR"/>
        </w:rPr>
        <w:t>[B3: é possível que a quantidade após definição do book seja inferior? Em caso positivo, utilizar o “até” e cravar a quantidade emitida no aditamento que reflete o resultado do procedimento de book.]</w:t>
      </w:r>
    </w:p>
    <w:p>
      <w:pPr>
        <w:pStyle w:val="Level2"/>
        <w:rPr>
          <w:b/>
          <w:bCs/>
          <w:lang w:val="pt-BR"/>
        </w:rPr>
      </w:pPr>
      <w:r>
        <w:rPr>
          <w:b/>
          <w:bCs/>
          <w:lang w:val="pt-BR"/>
        </w:rPr>
        <w:t>Preço de Subscrição e Forma de Integralização</w:t>
      </w:r>
    </w:p>
    <w:p>
      <w:pPr>
        <w:pStyle w:val="Level3"/>
        <w:rPr>
          <w:rFonts w:cs="Arial"/>
          <w:szCs w:val="20"/>
          <w:lang w:val="pt-BR"/>
        </w:rPr>
      </w:pPr>
      <w:r>
        <w:rPr>
          <w:lang w:val="pt-BR"/>
        </w:rPr>
        <w:t xml:space="preserve">As Debêntures serão subscritas e integralizadas à vista, em moeda corrente nacional, no ato da subscrição, pelo seu Valor Nominal Unitário na primeira Data de Integralização, de acordo com as normas de liquidação aplicáveis à B3. Caso qualquer Debênture venha ser integralizada em data diversa e posterior à primeira Data de Integralização, a integralização deverá considerar o seu Valor Nominal Unitário ou Valor Nominal Unitário Atualizado das Debêntures da respectiva série, conforme o caso, acrescido da respectiva Remuneração, calculada </w:t>
      </w:r>
      <w:r>
        <w:rPr>
          <w:i/>
          <w:iCs/>
          <w:lang w:val="pt-BR"/>
        </w:rPr>
        <w:t>pro rata temporis</w:t>
      </w:r>
      <w:r>
        <w:rPr>
          <w:lang w:val="pt-BR"/>
        </w:rPr>
        <w:t xml:space="preserve"> desde a </w:t>
      </w:r>
      <w:r>
        <w:rPr>
          <w:rFonts w:cs="Arial"/>
          <w:szCs w:val="20"/>
          <w:lang w:val="pt-BR"/>
        </w:rPr>
        <w:t xml:space="preserve">primeira Data de Integralização até a data da efetiva integralização. </w:t>
      </w:r>
    </w:p>
    <w:p>
      <w:pPr>
        <w:pStyle w:val="Level3"/>
        <w:rPr>
          <w:lang w:val="pt-BR"/>
        </w:rPr>
      </w:pPr>
      <w:r>
        <w:rPr>
          <w:lang w:val="pt-BR"/>
        </w:rPr>
        <w:t xml:space="preserve"> As Debêntures poderão ser subscritas com ágio ou deságio, a ser definido, se for o caso, no ato de subscrição das Debêntures, </w:t>
      </w:r>
      <w:r>
        <w:rPr>
          <w:rFonts w:cs="Arial"/>
          <w:szCs w:val="20"/>
          <w:lang w:val="pt-BR"/>
        </w:rPr>
        <w:t>desde que aplicado em igualdade de condições a todos os investidores em cada Data de Integralização.</w:t>
      </w:r>
    </w:p>
    <w:p>
      <w:pPr>
        <w:pStyle w:val="Level3"/>
        <w:rPr>
          <w:lang w:val="pt-BR"/>
        </w:rPr>
      </w:pPr>
      <w:r>
        <w:rPr>
          <w:lang w:val="pt-BR"/>
        </w:rPr>
        <w:t>Para os fins desta Escritura de Emissão, define-se “</w:t>
      </w:r>
      <w:r>
        <w:rPr>
          <w:b/>
          <w:lang w:val="pt-BR"/>
        </w:rPr>
        <w:t>Data de Integralização</w:t>
      </w:r>
      <w:r>
        <w:rPr>
          <w:lang w:val="pt-BR"/>
        </w:rPr>
        <w:t>” a data em que ocorrerá a subscrição e a integralização das Debêntures.</w:t>
      </w:r>
    </w:p>
    <w:p>
      <w:pPr>
        <w:pStyle w:val="Level2"/>
        <w:spacing w:before="140" w:after="0"/>
        <w:rPr>
          <w:b/>
          <w:lang w:val="pt-BR"/>
        </w:rPr>
      </w:pPr>
      <w:bookmarkStart w:id="46" w:name="_Ref66093138"/>
      <w:r>
        <w:rPr>
          <w:b/>
          <w:lang w:val="pt-BR"/>
        </w:rPr>
        <w:t>Atualização Monetária das Debêntures</w:t>
      </w:r>
      <w:bookmarkEnd w:id="46"/>
    </w:p>
    <w:p>
      <w:pPr>
        <w:pStyle w:val="Level3"/>
        <w:spacing w:before="140" w:after="0"/>
        <w:rPr>
          <w:rFonts w:cs="Arial"/>
          <w:lang w:val="pt-BR"/>
        </w:rPr>
      </w:pPr>
      <w:r>
        <w:rPr>
          <w:rFonts w:cs="Arial"/>
          <w:lang w:val="pt-BR"/>
        </w:rPr>
        <w:t>O Valor Nominal Unitário das Debêntures da Primeira Série não será atualizado monetariamente (“</w:t>
      </w:r>
      <w:r>
        <w:rPr>
          <w:rFonts w:cs="Arial"/>
          <w:b/>
          <w:bCs/>
          <w:lang w:val="pt-BR"/>
        </w:rPr>
        <w:t>Valor Nominal Unitário das Debêntures da Primeira Série</w:t>
      </w:r>
      <w:r>
        <w:rPr>
          <w:rFonts w:cs="Arial"/>
          <w:lang w:val="pt-BR"/>
        </w:rPr>
        <w:t>”).</w:t>
      </w:r>
    </w:p>
    <w:p>
      <w:pPr>
        <w:pStyle w:val="Level3"/>
        <w:spacing w:before="140" w:after="0"/>
        <w:rPr>
          <w:rFonts w:cs="Arial"/>
          <w:lang w:val="pt-BR"/>
        </w:rPr>
      </w:pPr>
      <w:r>
        <w:rPr>
          <w:rFonts w:cs="Arial"/>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rFonts w:cs="Arial"/>
          <w:b/>
          <w:lang w:val="pt-BR"/>
        </w:rPr>
        <w:t>IGP-M</w:t>
      </w:r>
      <w:r>
        <w:rPr>
          <w:rFonts w:cs="Arial"/>
          <w:lang w:val="pt-BR"/>
        </w:rPr>
        <w:t xml:space="preserve">”), apurado e divulgado pela Fundação Getúlio Vargas - FGV, calculado de forma </w:t>
      </w:r>
      <w:r>
        <w:rPr>
          <w:rFonts w:cs="Arial"/>
          <w:i/>
          <w:iCs/>
          <w:lang w:val="pt-BR"/>
        </w:rPr>
        <w:t xml:space="preserve">pro rata temporis </w:t>
      </w:r>
      <w:r>
        <w:rPr>
          <w:rFonts w:cs="Arial"/>
          <w:iCs/>
          <w:lang w:val="pt-BR"/>
        </w:rPr>
        <w:t>por Dias Úteis</w:t>
      </w:r>
      <w:r>
        <w:rPr>
          <w:rFonts w:cs="Arial"/>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Pr>
          <w:rFonts w:cs="Arial"/>
          <w:b/>
          <w:bCs/>
          <w:lang w:val="pt-BR"/>
        </w:rPr>
        <w:t>Atualização Monetária das Debêntures da Segunda Série</w:t>
      </w:r>
      <w:r>
        <w:rPr>
          <w:rFonts w:cs="Arial"/>
          <w:lang w:val="pt-BR"/>
        </w:rPr>
        <w:t>”, “</w:t>
      </w:r>
      <w:r>
        <w:rPr>
          <w:rFonts w:cs="Arial"/>
          <w:b/>
          <w:lang w:val="pt-BR"/>
        </w:rPr>
        <w:t>Valor Nominal Unitário Atualizado das Debêntures da Segunda Série</w:t>
      </w:r>
      <w:r>
        <w:rPr>
          <w:rFonts w:cs="Arial"/>
          <w:lang w:val="pt-BR"/>
        </w:rPr>
        <w:t xml:space="preserve">”). A Atualização Monetária das Debêntures da Segunda Série será calculada conforme a fórmula abaixo: </w:t>
      </w:r>
    </w:p>
    <w:p>
      <w:pPr>
        <w:pStyle w:val="Default"/>
        <w:tabs>
          <w:tab w:val="left" w:pos="1418"/>
        </w:tabs>
        <w:spacing w:before="140" w:line="290" w:lineRule="auto"/>
        <w:ind w:left="1418"/>
        <w:jc w:val="center"/>
        <w:rPr>
          <w:sz w:val="20"/>
          <w:szCs w:val="20"/>
        </w:rPr>
      </w:pPr>
      <w:r>
        <w:rPr>
          <w:noProof/>
          <w:sz w:val="20"/>
          <w:szCs w:val="20"/>
        </w:rPr>
        <w:drawing>
          <wp:inline distT="0" distB="0" distL="0" distR="0">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lastRenderedPageBreak/>
        <w:t>VNa = Valor Nominal Unitário Atualizado das Debêntures da Segunda Série, 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Segunda Série informado/calculado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pPr>
        <w:pStyle w:val="Default"/>
        <w:tabs>
          <w:tab w:val="left" w:pos="1418"/>
        </w:tabs>
        <w:spacing w:before="140" w:line="290" w:lineRule="auto"/>
        <w:ind w:left="1418"/>
        <w:jc w:val="both"/>
        <w:rPr>
          <w:i/>
          <w:iCs/>
          <w:sz w:val="20"/>
          <w:szCs w:val="20"/>
        </w:rPr>
      </w:pPr>
      <w:r>
        <w:rPr>
          <w:i/>
          <w:iCs/>
          <w:sz w:val="20"/>
          <w:szCs w:val="20"/>
        </w:rPr>
        <w:t>NIk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pPr>
        <w:pStyle w:val="Default"/>
        <w:tabs>
          <w:tab w:val="left" w:pos="1418"/>
        </w:tabs>
        <w:spacing w:before="140" w:line="290" w:lineRule="auto"/>
        <w:ind w:left="1418"/>
        <w:jc w:val="both"/>
        <w:rPr>
          <w:i/>
          <w:iCs/>
          <w:sz w:val="20"/>
          <w:szCs w:val="20"/>
        </w:rPr>
      </w:pPr>
      <w:r>
        <w:rPr>
          <w:i/>
          <w:iCs/>
          <w:sz w:val="20"/>
          <w:szCs w:val="20"/>
        </w:rPr>
        <w:t>NIk-1 = Valor do número-índice do IGP-M do mês anterior ao mês “k”;</w:t>
      </w:r>
    </w:p>
    <w:p>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última Data de Aniversário das Debêntures da Segunda Série e a data de cálculo, limitado ao número total de Dias Úteis de vigência do número-índice do IGP-M, sendo “dup” um número inteiro; e</w:t>
      </w:r>
    </w:p>
    <w:p>
      <w:pPr>
        <w:pStyle w:val="Level3"/>
        <w:numPr>
          <w:ilvl w:val="0"/>
          <w:numId w:val="0"/>
        </w:numPr>
        <w:ind w:left="1361"/>
        <w:rPr>
          <w:rFonts w:cs="Arial"/>
          <w:i/>
          <w:iCs/>
          <w:szCs w:val="20"/>
          <w:lang w:val="pt-BR"/>
        </w:rPr>
      </w:pPr>
      <w:r>
        <w:rPr>
          <w:i/>
          <w:iCs/>
          <w:szCs w:val="20"/>
          <w:lang w:val="pt-BR"/>
        </w:rPr>
        <w:t>dut = Número de Dias Úteis contados entre a última e a próxima data de aniversário das Debêntures, sendo “dut” um número inteiro.</w:t>
      </w:r>
      <w:r>
        <w:rPr>
          <w:rFonts w:cs="Arial"/>
          <w:i/>
          <w:iCs/>
          <w:szCs w:val="20"/>
          <w:lang w:val="pt-BR"/>
        </w:rPr>
        <w:t xml:space="preserve"> </w:t>
      </w:r>
    </w:p>
    <w:p>
      <w:pPr>
        <w:pStyle w:val="Level3"/>
        <w:numPr>
          <w:ilvl w:val="0"/>
          <w:numId w:val="0"/>
        </w:numPr>
        <w:ind w:left="1361"/>
        <w:rPr>
          <w:i/>
          <w:iCs/>
          <w:szCs w:val="20"/>
          <w:lang w:val="pt-BR"/>
        </w:rPr>
      </w:pPr>
      <w:r>
        <w:rPr>
          <w:rFonts w:cs="Arial"/>
          <w:i/>
          <w:iCs/>
          <w:szCs w:val="20"/>
          <w:lang w:val="pt-BR"/>
        </w:rPr>
        <w:t>A aplicação do IGP-M incidirá no menor período permitido pela legislação em vigor, sem necessidade de ajuste à Escritura de Emissão ou qualquer outra formalidade.</w:t>
      </w:r>
    </w:p>
    <w:p>
      <w:pPr>
        <w:pStyle w:val="Default"/>
        <w:tabs>
          <w:tab w:val="left" w:pos="1418"/>
        </w:tabs>
        <w:spacing w:before="140" w:line="290" w:lineRule="auto"/>
        <w:ind w:left="1418"/>
        <w:jc w:val="both"/>
        <w:rPr>
          <w:i/>
          <w:iCs/>
          <w:sz w:val="20"/>
          <w:szCs w:val="20"/>
        </w:rPr>
      </w:pPr>
      <w:r>
        <w:rPr>
          <w:i/>
          <w:iCs/>
          <w:sz w:val="20"/>
          <w:szCs w:val="20"/>
        </w:rPr>
        <w:t>Observações:</w:t>
      </w:r>
    </w:p>
    <w:p>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IGP-M deverá ser utilizado considerando-se idêntico número de casas decimais daquele divulgado pelo órgão responsável por seu cálculo;</w:t>
      </w:r>
    </w:p>
    <w:p>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(NIk /NIk-1)^(dup/dut) é considerado com 8 (oito) casas decimais, sem arredondamento;</w:t>
      </w:r>
    </w:p>
    <w:p>
      <w:pPr>
        <w:pStyle w:val="Default"/>
        <w:tabs>
          <w:tab w:val="left" w:pos="1418"/>
        </w:tabs>
        <w:spacing w:before="140" w:line="290" w:lineRule="auto"/>
        <w:ind w:left="1985" w:hanging="567"/>
        <w:jc w:val="both"/>
        <w:rPr>
          <w:i/>
          <w:iCs/>
          <w:sz w:val="20"/>
          <w:szCs w:val="20"/>
        </w:rPr>
      </w:pPr>
      <w:r>
        <w:rPr>
          <w:i/>
          <w:iCs/>
          <w:sz w:val="20"/>
          <w:szCs w:val="20"/>
        </w:rPr>
        <w:lastRenderedPageBreak/>
        <w:t>(iv)</w:t>
      </w:r>
      <w:r>
        <w:rPr>
          <w:i/>
          <w:iCs/>
          <w:sz w:val="20"/>
          <w:szCs w:val="20"/>
        </w:rPr>
        <w:tab/>
        <w:t>O produtório é executado a partir do fator mais recente, acrescentando-se, em seguida, os mais remotos. Os resultados intermediários são calculados com 16 (dezesseis) casas decimais, sem arredondamento; e</w:t>
      </w:r>
    </w:p>
    <w:p>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pPr>
        <w:pStyle w:val="Default"/>
        <w:tabs>
          <w:tab w:val="left" w:pos="1418"/>
        </w:tabs>
        <w:spacing w:before="140" w:line="290" w:lineRule="auto"/>
        <w:jc w:val="both"/>
        <w:rPr>
          <w:i/>
          <w:iCs/>
          <w:sz w:val="20"/>
          <w:szCs w:val="20"/>
        </w:rPr>
      </w:pPr>
    </w:p>
    <w:p>
      <w:pPr>
        <w:pStyle w:val="Level3"/>
        <w:rPr>
          <w:rFonts w:cs="Arial"/>
          <w:i/>
          <w:iCs/>
          <w:szCs w:val="20"/>
          <w:lang w:val="pt-BR"/>
        </w:rPr>
      </w:pPr>
      <w:bookmarkStart w:id="47"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xml:space="preserve">”),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ser tornar disponível. Caso não seja possível utilizar nenhuma das alternativas acima, o Agente Fiduciário deverá </w:t>
      </w:r>
      <w:r>
        <w:rPr>
          <w:rFonts w:cs="Arial"/>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Pr>
          <w:lang w:val="pt-BR"/>
        </w:rPr>
        <w:t>11.11(i)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47"/>
      <w:r>
        <w:rPr>
          <w:lang w:val="pt-BR"/>
        </w:rPr>
        <w:t xml:space="preserve"> </w:t>
      </w:r>
      <w:r>
        <w:rPr>
          <w:b/>
          <w:bCs/>
          <w:highlight w:val="yellow"/>
          <w:lang w:val="pt-BR"/>
        </w:rPr>
        <w:t>[Nota Lefosse: Redação a ser validada com a ANBIMA em atenção ao guia de padronização].</w:t>
      </w:r>
      <w:r>
        <w:rPr>
          <w:lang w:val="pt-BR"/>
        </w:rPr>
        <w:t xml:space="preserve"> [</w:t>
      </w:r>
      <w:r>
        <w:rPr>
          <w:highlight w:val="yellow"/>
          <w:lang w:val="pt-BR"/>
        </w:rPr>
        <w:t>B3: em caso de ausência temporária, será utilizada o último índice conhecido ou a projeção Anbima?]</w:t>
      </w:r>
    </w:p>
    <w:p>
      <w:pPr>
        <w:pStyle w:val="Level3"/>
        <w:rPr>
          <w:rFonts w:cs="Arial"/>
          <w:lang w:val="pt-BR"/>
        </w:rPr>
      </w:pPr>
      <w:r>
        <w:rPr>
          <w:rFonts w:cs="Arial"/>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rFonts w:cs="Arial"/>
          <w:b/>
          <w:lang w:val="pt-BR"/>
        </w:rPr>
        <w:t>IPCA</w:t>
      </w:r>
      <w:r>
        <w:rPr>
          <w:rFonts w:cs="Arial"/>
          <w:lang w:val="pt-BR"/>
        </w:rPr>
        <w:t>”), apurado e divulgado mensalmente pelo Instituto Brasileiro de Geografia e Estatística (“</w:t>
      </w:r>
      <w:r>
        <w:rPr>
          <w:rFonts w:cs="Arial"/>
          <w:b/>
          <w:lang w:val="pt-BR"/>
        </w:rPr>
        <w:t>IBGE</w:t>
      </w:r>
      <w:r>
        <w:rPr>
          <w:rFonts w:cs="Arial"/>
          <w:lang w:val="pt-BR"/>
        </w:rPr>
        <w:t xml:space="preserve">”), desde a primeira Data de </w:t>
      </w:r>
      <w:r>
        <w:rPr>
          <w:rFonts w:cs="Arial"/>
          <w:szCs w:val="20"/>
          <w:lang w:val="pt-BR"/>
        </w:rPr>
        <w:t xml:space="preserve">Integralização </w:t>
      </w:r>
      <w:r>
        <w:rPr>
          <w:rFonts w:cs="Arial"/>
          <w:lang w:val="pt-BR"/>
        </w:rPr>
        <w:t xml:space="preserve">até a </w:t>
      </w:r>
      <w:r>
        <w:rPr>
          <w:rFonts w:cs="Arial"/>
          <w:szCs w:val="20"/>
          <w:lang w:val="pt-BR"/>
        </w:rPr>
        <w:t>data de seu efetivo pagamento (“</w:t>
      </w:r>
      <w:r>
        <w:rPr>
          <w:rFonts w:cs="Arial"/>
          <w:b/>
          <w:bCs/>
          <w:szCs w:val="20"/>
          <w:lang w:val="pt-BR"/>
        </w:rPr>
        <w:t xml:space="preserve">Atualização Monetária das Debêntures da </w:t>
      </w:r>
      <w:r>
        <w:rPr>
          <w:rFonts w:cs="Arial"/>
          <w:b/>
          <w:lang w:val="pt-BR"/>
        </w:rPr>
        <w:t>Terceira</w:t>
      </w:r>
      <w:r>
        <w:rPr>
          <w:rFonts w:cs="Arial"/>
          <w:b/>
          <w:bCs/>
          <w:szCs w:val="20"/>
          <w:lang w:val="pt-BR"/>
        </w:rPr>
        <w:t xml:space="preserve"> Série</w:t>
      </w:r>
      <w:r>
        <w:rPr>
          <w:rFonts w:cs="Arial"/>
          <w:szCs w:val="20"/>
          <w:lang w:val="pt-BR"/>
        </w:rPr>
        <w:t>”),</w:t>
      </w:r>
      <w:r>
        <w:rPr>
          <w:rFonts w:cs="Arial"/>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Pr>
          <w:rFonts w:cs="Arial"/>
          <w:b/>
          <w:lang w:val="pt-BR"/>
        </w:rPr>
        <w:t>Valor Nominal Unitário Atualizado das Debêntures da Terceira Série</w:t>
      </w:r>
      <w:r>
        <w:rPr>
          <w:rFonts w:cs="Arial"/>
          <w:lang w:val="pt-BR"/>
        </w:rPr>
        <w:t xml:space="preserve">”). A Atualização Monetária das Debêntures da Terceira Série será calculada conforme a fórmula abaixo: </w:t>
      </w:r>
    </w:p>
    <w:p>
      <w:pPr>
        <w:pStyle w:val="Default"/>
        <w:tabs>
          <w:tab w:val="left" w:pos="1418"/>
        </w:tabs>
        <w:spacing w:before="140" w:line="290" w:lineRule="auto"/>
        <w:ind w:left="1418"/>
        <w:jc w:val="center"/>
        <w:rPr>
          <w:sz w:val="20"/>
          <w:szCs w:val="20"/>
        </w:rPr>
      </w:pPr>
      <w:r>
        <w:rPr>
          <w:noProof/>
          <w:sz w:val="20"/>
          <w:szCs w:val="20"/>
        </w:rPr>
        <w:drawing>
          <wp:inline distT="0" distB="0" distL="0" distR="0">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lastRenderedPageBreak/>
        <w:t>VNe = Valor Nominal Unitário (ou saldo do Valor Nominal Unitário, conforme o caso) das Debêntures da 3ª Série informado/calculado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pPr>
        <w:pStyle w:val="Default"/>
        <w:tabs>
          <w:tab w:val="left" w:pos="1418"/>
        </w:tabs>
        <w:spacing w:before="140" w:line="290" w:lineRule="auto"/>
        <w:ind w:left="1418"/>
        <w:jc w:val="both"/>
        <w:rPr>
          <w:i/>
          <w:iCs/>
          <w:sz w:val="20"/>
          <w:szCs w:val="20"/>
        </w:rPr>
      </w:pPr>
      <w:r>
        <w:rPr>
          <w:i/>
          <w:iCs/>
          <w:sz w:val="20"/>
          <w:szCs w:val="20"/>
        </w:rPr>
        <w:t>NIk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pPr>
        <w:pStyle w:val="Default"/>
        <w:tabs>
          <w:tab w:val="left" w:pos="1418"/>
        </w:tabs>
        <w:spacing w:before="140" w:line="290" w:lineRule="auto"/>
        <w:ind w:left="1418"/>
        <w:jc w:val="both"/>
        <w:rPr>
          <w:i/>
          <w:iCs/>
          <w:sz w:val="20"/>
          <w:szCs w:val="20"/>
        </w:rPr>
      </w:pPr>
      <w:r>
        <w:rPr>
          <w:i/>
          <w:iCs/>
          <w:sz w:val="20"/>
          <w:szCs w:val="20"/>
        </w:rPr>
        <w:t>NIk-1 = Valor do número-índice do IPCA do mês anterior ao mês “k”;</w:t>
      </w:r>
    </w:p>
    <w:p>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última Data de Aniversário das Debêntures da Terceira Série e a data de cálculo, limitado ao número total de Dias Úteis de vigência do número-índice do IPCA, sendo “dup” um número inteiro; e</w:t>
      </w:r>
    </w:p>
    <w:p>
      <w:pPr>
        <w:pStyle w:val="Level3"/>
        <w:numPr>
          <w:ilvl w:val="0"/>
          <w:numId w:val="0"/>
        </w:numPr>
        <w:ind w:left="1361"/>
        <w:rPr>
          <w:rFonts w:cs="Arial"/>
          <w:i/>
          <w:iCs/>
          <w:szCs w:val="20"/>
          <w:lang w:val="pt-BR"/>
        </w:rPr>
      </w:pPr>
      <w:r>
        <w:rPr>
          <w:i/>
          <w:iCs/>
          <w:szCs w:val="20"/>
          <w:lang w:val="pt-BR"/>
        </w:rPr>
        <w:t>dut = Número de Dias Úteis contados entre a última e a próxima data de aniversário das Debêntures, sendo “dut” um número inteiro.</w:t>
      </w:r>
      <w:r>
        <w:rPr>
          <w:rFonts w:cs="Arial"/>
          <w:i/>
          <w:iCs/>
          <w:szCs w:val="20"/>
          <w:lang w:val="pt-BR"/>
        </w:rPr>
        <w:t xml:space="preserve"> </w:t>
      </w:r>
    </w:p>
    <w:p>
      <w:pPr>
        <w:pStyle w:val="Level3"/>
        <w:numPr>
          <w:ilvl w:val="0"/>
          <w:numId w:val="0"/>
        </w:numPr>
        <w:ind w:left="1361"/>
        <w:rPr>
          <w:i/>
          <w:iCs/>
          <w:szCs w:val="20"/>
          <w:lang w:val="pt-BR"/>
        </w:rPr>
      </w:pPr>
      <w:r>
        <w:rPr>
          <w:rFonts w:cs="Arial"/>
          <w:i/>
          <w:iCs/>
          <w:szCs w:val="20"/>
          <w:lang w:val="pt-BR"/>
        </w:rPr>
        <w:t>A aplicação do IPCA incidirá no menor período permitido pela legislação em vigor, sem necessidade de ajuste à Escritura de Emissão ou qualquer outra formalidade.</w:t>
      </w:r>
    </w:p>
    <w:p>
      <w:pPr>
        <w:pStyle w:val="Default"/>
        <w:tabs>
          <w:tab w:val="left" w:pos="1418"/>
        </w:tabs>
        <w:spacing w:before="140" w:line="290" w:lineRule="auto"/>
        <w:ind w:left="1418"/>
        <w:jc w:val="both"/>
        <w:rPr>
          <w:i/>
          <w:iCs/>
          <w:sz w:val="20"/>
          <w:szCs w:val="20"/>
        </w:rPr>
      </w:pPr>
      <w:r>
        <w:rPr>
          <w:i/>
          <w:iCs/>
          <w:sz w:val="20"/>
          <w:szCs w:val="20"/>
        </w:rPr>
        <w:t>Observações:</w:t>
      </w:r>
    </w:p>
    <w:p>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(NIk /NIk-1)^(dup/dut) é considerado com 8 (oito) casas decimais, sem arredondamento;</w:t>
      </w:r>
    </w:p>
    <w:p>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pPr>
        <w:pStyle w:val="Default"/>
        <w:tabs>
          <w:tab w:val="left" w:pos="1418"/>
        </w:tabs>
        <w:spacing w:before="140" w:line="290" w:lineRule="auto"/>
        <w:ind w:left="1985" w:hanging="567"/>
        <w:jc w:val="both"/>
        <w:rPr>
          <w:i/>
          <w:iCs/>
          <w:sz w:val="20"/>
          <w:szCs w:val="20"/>
        </w:rPr>
      </w:pPr>
      <w:r>
        <w:rPr>
          <w:i/>
          <w:iCs/>
          <w:sz w:val="20"/>
          <w:szCs w:val="20"/>
        </w:rPr>
        <w:lastRenderedPageBreak/>
        <w:t>(v)</w:t>
      </w:r>
      <w:r>
        <w:rPr>
          <w:i/>
          <w:iCs/>
          <w:sz w:val="20"/>
          <w:szCs w:val="20"/>
        </w:rPr>
        <w:tab/>
        <w:t>Os valores dos finais de semana ou feriados serão iguais ao valor do Dia Útil subsequente, apropriando o “pro rata” do último Dia Útil anterior”.</w:t>
      </w:r>
    </w:p>
    <w:p>
      <w:pPr>
        <w:pStyle w:val="Level3"/>
        <w:spacing w:before="140" w:after="0"/>
        <w:rPr>
          <w:lang w:val="pt-BR"/>
        </w:rPr>
      </w:pPr>
      <w:bookmarkStart w:id="48" w:name="_Ref66108316"/>
      <w:r>
        <w:rPr>
          <w:rFonts w:cs="Arial"/>
          <w:szCs w:val="20"/>
          <w:lang w:val="pt-BR"/>
        </w:rPr>
        <w:t>No caso de indisponibilidade temporária</w:t>
      </w:r>
      <w:r>
        <w:rPr>
          <w:lang w:val="pt-BR"/>
        </w:rPr>
        <w:t xml:space="preserve"> do IPCA quando </w:t>
      </w:r>
      <w:r>
        <w:rPr>
          <w:rFonts w:cs="Arial"/>
          <w:szCs w:val="20"/>
          <w:lang w:val="pt-BR"/>
        </w:rPr>
        <w:t>do pagamento de qualquer obrigação pecuniária prevista nesta Escritura de Emissão para as Debêntures da Terceira Série</w:t>
      </w:r>
      <w:r>
        <w:rPr>
          <w:lang w:val="pt-BR"/>
        </w:rPr>
        <w:t xml:space="preserve">, será utilizada, em sua substituição, para a apuração do IPCA, a </w:t>
      </w:r>
      <w:r>
        <w:rPr>
          <w:rFonts w:cs="Arial"/>
          <w:szCs w:val="20"/>
          <w:lang w:val="pt-BR"/>
        </w:rPr>
        <w:t xml:space="preserve">projeção do IPCA calculada com base na média coletada junto ao Comitê de Acompanhamento Macroeconômico da ANBIMA, informadas e coletadas a cada projeção do IPCA-I5 e IPCA Final, </w:t>
      </w:r>
      <w:r>
        <w:rPr>
          <w:lang w:val="pt-BR"/>
        </w:rPr>
        <w:t xml:space="preserve">não sendo devidas quaisquer compensações financeiras, tanto por parte da Emissora quanto pelos </w:t>
      </w:r>
      <w:r>
        <w:rPr>
          <w:bCs/>
          <w:lang w:val="pt-BR"/>
        </w:rPr>
        <w:t>Debenturistas</w:t>
      </w:r>
      <w:r>
        <w:rPr>
          <w:lang w:val="pt-BR"/>
        </w:rPr>
        <w:t xml:space="preserve"> das Debêntures da Terceira Série, quando da divulgação posterior do IPCA.</w:t>
      </w:r>
      <w:bookmarkEnd w:id="48"/>
    </w:p>
    <w:p>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rFonts w:cs="Arial"/>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Pr>
          <w:lang w:val="pt-BR"/>
        </w:rPr>
        <w:t>11.11(ii)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rFonts w:cs="Arial"/>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devidas quaisquer compensações financeiras, multas ou penalidades, tanto por parte da Emissora quanto pelos Debenturistas, quando da divulgação posterior do IPCA. </w:t>
      </w:r>
      <w:r>
        <w:rPr>
          <w:b/>
          <w:bCs/>
          <w:highlight w:val="yellow"/>
          <w:lang w:val="pt-BR"/>
        </w:rPr>
        <w:t>[Nota Lefosse: Redação a ser validada com a ANBIMA em atenção ao guia de padronização].</w:t>
      </w:r>
    </w:p>
    <w:p>
      <w:pPr>
        <w:pStyle w:val="Level3"/>
        <w:spacing w:before="140"/>
        <w:rPr>
          <w:lang w:val="pt-BR"/>
        </w:rPr>
      </w:pPr>
      <w:r>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Pr>
          <w:rFonts w:cs="Arial"/>
          <w:szCs w:val="20"/>
          <w:lang w:val="pt-BR"/>
        </w:rPr>
        <w:t>o Valor Nominal Unitário Atualizado das Debêntures da Terceira Série desde o dia de sua indisponibilidade.</w:t>
      </w:r>
    </w:p>
    <w:p>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w:t>
      </w:r>
      <w:r>
        <w:rPr>
          <w:lang w:val="pt-BR"/>
        </w:rPr>
        <w:lastRenderedPageBreak/>
        <w:t xml:space="preserve">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rFonts w:cs="Arial"/>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rFonts w:cs="Arial"/>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rFonts w:cs="Arial"/>
          <w:bCs/>
          <w:lang w:val="pt-BR"/>
        </w:rPr>
        <w:t>Lei n° 12.431/11</w:t>
      </w:r>
      <w:r>
        <w:rPr>
          <w:lang w:val="pt-BR"/>
        </w:rPr>
        <w:t>, negociadas no mercado de capitais local.</w:t>
      </w:r>
    </w:p>
    <w:p>
      <w:pPr>
        <w:pStyle w:val="Level2"/>
        <w:spacing w:before="140"/>
        <w:rPr>
          <w:rFonts w:cs="Arial"/>
          <w:b/>
          <w:lang w:val="pt-BR"/>
        </w:rPr>
      </w:pPr>
      <w:bookmarkStart w:id="49" w:name="_Ref420335077"/>
      <w:r>
        <w:rPr>
          <w:rFonts w:cs="Arial"/>
          <w:b/>
          <w:lang w:val="pt-BR"/>
        </w:rPr>
        <w:t>Remuneração</w:t>
      </w:r>
      <w:bookmarkEnd w:id="49"/>
    </w:p>
    <w:p>
      <w:pPr>
        <w:pStyle w:val="Level3"/>
        <w:rPr>
          <w:lang w:val="pt-BR"/>
        </w:rPr>
      </w:pPr>
      <w:bookmarkStart w:id="50" w:name="_Ref147895178"/>
      <w:bookmarkStart w:id="51" w:name="_Ref130611438"/>
      <w:bookmarkStart w:id="52" w:name="_Ref168463955"/>
      <w:bookmarkStart w:id="53" w:name="_DV_C187"/>
      <w:bookmarkStart w:id="54" w:name="_Ref420335344"/>
      <w:r>
        <w:rPr>
          <w:u w:val="single"/>
          <w:lang w:val="pt-BR"/>
        </w:rPr>
        <w:t>Remuneração das Debêntures da Primeira Série</w:t>
      </w:r>
      <w:r>
        <w:rPr>
          <w:lang w:val="pt-BR"/>
        </w:rPr>
        <w:t>. Sobre o Valor Nominal Unitário das Debêntures da Primeira Série incidirão juros remuneratórios correspondentes à variação acumulada de 100% (cem por cento) das taxas médias diárias do DI - 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50"/>
    <w:bookmarkEnd w:id="51"/>
    <w:bookmarkEnd w:id="52"/>
    <w:p>
      <w:pPr>
        <w:pStyle w:val="Level3"/>
        <w:rPr>
          <w:lang w:val="pt-BR"/>
        </w:rPr>
      </w:pPr>
      <w:r>
        <w:rPr>
          <w:lang w:val="pt-BR"/>
        </w:rPr>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rFonts w:cs="Arial"/>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pPr>
        <w:pStyle w:val="Body"/>
        <w:ind w:left="1361"/>
        <w:jc w:val="center"/>
      </w:pPr>
      <w:r>
        <w:t>J = {VNe x [FatorJuros-1]}</w:t>
      </w:r>
    </w:p>
    <w:p>
      <w:pPr>
        <w:pStyle w:val="Body"/>
        <w:ind w:left="1361"/>
        <w:rPr>
          <w:i/>
          <w:iCs/>
        </w:rPr>
      </w:pPr>
      <w:r>
        <w:rPr>
          <w:i/>
          <w:iCs/>
        </w:rPr>
        <w:t>onde,</w:t>
      </w:r>
    </w:p>
    <w:p>
      <w:pPr>
        <w:pStyle w:val="Body"/>
        <w:ind w:left="1361"/>
        <w:rPr>
          <w:i/>
          <w:iCs/>
        </w:rPr>
      </w:pPr>
      <w:r>
        <w:rPr>
          <w:i/>
          <w:iCs/>
        </w:rPr>
        <w:lastRenderedPageBreak/>
        <w:t>J = valor unitário da Remuneração devida ao final do Período de Capitalização (conforme abaixo definido), calculado com 8 (oito) casas decimais, sem arredondamento;</w:t>
      </w:r>
    </w:p>
    <w:p>
      <w:pPr>
        <w:pStyle w:val="Body"/>
        <w:ind w:left="1361"/>
        <w:rPr>
          <w:i/>
          <w:iCs/>
        </w:rPr>
      </w:pPr>
      <w:r>
        <w:rPr>
          <w:i/>
          <w:iCs/>
        </w:rPr>
        <w:t>VNe = Valor Nominal Unitário das Debêntures, informado/calculado com 8 (oito) casas decimais, sem arredondamento; e</w:t>
      </w:r>
    </w:p>
    <w:p>
      <w:pPr>
        <w:pStyle w:val="Body"/>
        <w:ind w:left="1361"/>
        <w:rPr>
          <w:i/>
          <w:iCs/>
        </w:rPr>
      </w:pPr>
      <w:r>
        <w:rPr>
          <w:i/>
          <w:iCs/>
        </w:rPr>
        <w:t>Fator Juros = fator de juros composto pelo parâmetro de flutuação acrescido de spread calculado com 9 (nove) casas decimais, com arredondamento. Apurado da seguinte forma:</w:t>
      </w:r>
    </w:p>
    <w:p>
      <w:pPr>
        <w:pStyle w:val="Body"/>
        <w:ind w:left="1361"/>
        <w:jc w:val="center"/>
        <w:rPr>
          <w:i/>
          <w:iCs/>
          <w:color w:val="000000" w:themeColor="text1"/>
        </w:rPr>
      </w:pPr>
      <w:r>
        <w:rPr>
          <w:rFonts w:ascii="Verdana" w:hAnsi="Verdana" w:cs="Tahoma"/>
          <w:i/>
          <w:iCs/>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2pt;height:18.4pt" o:ole="" fillcolor="window">
            <v:imagedata r:id="rId20" o:title=""/>
          </v:shape>
          <o:OLEObject Type="Embed" ProgID="Equation.3" ShapeID="_x0000_i1025" DrawAspect="Content" ObjectID="_1677394293" r:id="rId21"/>
        </w:object>
      </w:r>
    </w:p>
    <w:p>
      <w:pPr>
        <w:pStyle w:val="Body"/>
        <w:tabs>
          <w:tab w:val="left" w:pos="1361"/>
        </w:tabs>
        <w:ind w:left="1361"/>
        <w:rPr>
          <w:i/>
          <w:iCs/>
        </w:rPr>
      </w:pPr>
      <w:r>
        <w:rPr>
          <w:i/>
          <w:iCs/>
        </w:rPr>
        <w:t>onde:</w:t>
      </w:r>
    </w:p>
    <w:bookmarkEnd w:id="53"/>
    <w:p>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pPr>
        <w:tabs>
          <w:tab w:val="left" w:pos="1361"/>
        </w:tabs>
        <w:spacing w:line="276" w:lineRule="auto"/>
        <w:ind w:left="1361"/>
        <w:rPr>
          <w:rFonts w:cs="Arial"/>
          <w:i/>
          <w:iCs/>
          <w:szCs w:val="20"/>
        </w:rPr>
      </w:pPr>
    </w:p>
    <w:p>
      <w:pPr>
        <w:tabs>
          <w:tab w:val="left" w:pos="1361"/>
        </w:tabs>
        <w:spacing w:line="276" w:lineRule="auto"/>
        <w:ind w:left="1361"/>
        <w:jc w:val="center"/>
        <w:rPr>
          <w:rFonts w:cs="Arial"/>
          <w:i/>
          <w:iCs/>
          <w:szCs w:val="20"/>
        </w:rPr>
      </w:pPr>
      <w:r>
        <w:rPr>
          <w:i/>
          <w:iCs/>
          <w:noProof/>
          <w:sz w:val="20"/>
          <w:lang w:eastAsia="pt-BR"/>
        </w:rPr>
        <w:drawing>
          <wp:inline distT="0" distB="0" distL="0" distR="0">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2" cstate="print"/>
                    <a:stretch>
                      <a:fillRect/>
                    </a:stretch>
                  </pic:blipFill>
                  <pic:spPr>
                    <a:xfrm>
                      <a:off x="0" y="0"/>
                      <a:ext cx="2149004" cy="329183"/>
                    </a:xfrm>
                    <a:prstGeom prst="rect">
                      <a:avLst/>
                    </a:prstGeom>
                  </pic:spPr>
                </pic:pic>
              </a:graphicData>
            </a:graphic>
          </wp:inline>
        </w:drawing>
      </w:r>
    </w:p>
    <w:p>
      <w:pPr>
        <w:tabs>
          <w:tab w:val="left" w:pos="1361"/>
        </w:tabs>
        <w:spacing w:line="276" w:lineRule="auto"/>
        <w:ind w:left="1361"/>
        <w:rPr>
          <w:rFonts w:cs="Arial"/>
          <w:i/>
          <w:iCs/>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pPr>
        <w:tabs>
          <w:tab w:val="left" w:pos="1361"/>
        </w:tabs>
        <w:spacing w:line="276" w:lineRule="auto"/>
        <w:ind w:left="1361"/>
        <w:rPr>
          <w:rFonts w:ascii="Arial" w:hAnsi="Arial" w:cs="Arial"/>
          <w:i/>
          <w:iCs/>
          <w:sz w:val="20"/>
          <w:szCs w:val="20"/>
        </w:rPr>
      </w:pPr>
    </w:p>
    <w:p>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v:shape id="_x0000_i1026" type="#_x0000_t75" style="width:27.65pt;height:18.4pt" o:ole="" o:bullet="t" fillcolor="window">
            <v:imagedata r:id="rId23" o:title=""/>
          </v:shape>
          <o:OLEObject Type="Embed" ProgID="Equation.3" ShapeID="_x0000_i1026" DrawAspect="Content" ObjectID="_1677394294" r:id="rId24"/>
        </w:object>
      </w:r>
      <w:r>
        <w:rPr>
          <w:rFonts w:ascii="Arial" w:hAnsi="Arial" w:cs="Arial"/>
          <w:i/>
          <w:iCs/>
          <w:sz w:val="20"/>
          <w:szCs w:val="20"/>
        </w:rPr>
        <w:tab/>
        <w:t>= Taxa DI-Over, expressa ao dia, calculada com 8 (oito) casas decimais com arredondamento, apurada da seguinte forma;</w:t>
      </w:r>
    </w:p>
    <w:p>
      <w:pPr>
        <w:tabs>
          <w:tab w:val="left" w:pos="1361"/>
        </w:tabs>
        <w:spacing w:line="276" w:lineRule="auto"/>
        <w:ind w:left="1361"/>
        <w:rPr>
          <w:rFonts w:cs="Arial"/>
          <w:i/>
          <w:iCs/>
          <w:szCs w:val="20"/>
        </w:rPr>
      </w:pPr>
    </w:p>
    <w:p>
      <w:pPr>
        <w:tabs>
          <w:tab w:val="left" w:pos="1361"/>
        </w:tabs>
        <w:spacing w:line="276" w:lineRule="auto"/>
        <w:ind w:left="1361"/>
        <w:jc w:val="center"/>
        <w:rPr>
          <w:rFonts w:cs="Arial"/>
          <w:i/>
          <w:iCs/>
          <w:szCs w:val="20"/>
        </w:rPr>
      </w:pPr>
      <w:r>
        <w:rPr>
          <w:rFonts w:cs="Arial"/>
          <w:i/>
          <w:iCs/>
          <w:szCs w:val="20"/>
        </w:rPr>
        <w:object w:dxaOrig="2400" w:dyaOrig="859">
          <v:shape id="_x0000_i1027" type="#_x0000_t75" style="width:118.9pt;height:43.55pt" o:ole="" fillcolor="window">
            <v:imagedata r:id="rId25" o:title=""/>
          </v:shape>
          <o:OLEObject Type="Embed" ProgID="Equation.3" ShapeID="_x0000_i1027" DrawAspect="Content" ObjectID="_1677394295" r:id="rId26"/>
        </w:object>
      </w:r>
    </w:p>
    <w:p>
      <w:pPr>
        <w:tabs>
          <w:tab w:val="left" w:pos="1361"/>
        </w:tabs>
        <w:spacing w:line="276" w:lineRule="auto"/>
        <w:ind w:left="1361"/>
        <w:rPr>
          <w:rFonts w:cs="Arial"/>
          <w:i/>
          <w:iCs/>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onde: </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v:shape id="_x0000_i1028" type="#_x0000_t75" style="width:21.75pt;height:18.4pt" o:ole="" o:bullet="t" fillcolor="window">
            <v:imagedata r:id="rId27" o:title=""/>
          </v:shape>
          <o:OLEObject Type="Embed" ProgID="Equation.3" ShapeID="_x0000_i1028" DrawAspect="Content" ObjectID="_1677394296" r:id="rId28"/>
        </w:object>
      </w:r>
      <w:r>
        <w:rPr>
          <w:rFonts w:ascii="Arial" w:hAnsi="Arial" w:cs="Arial"/>
          <w:i/>
          <w:iCs/>
          <w:sz w:val="20"/>
          <w:szCs w:val="20"/>
        </w:rPr>
        <w:t xml:space="preserve"> = Taxa DI-Over, divulgada pela B3, válida por 1 (um) Dia Útil (overnight), utilizada com 2 (duas) casas decimais; e</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Fator Spread= sobretaxa de juros fixos calculada com 9 (nove) casas decimais, com arredondamento, apurado da seguinte fórmula:</w:t>
      </w:r>
    </w:p>
    <w:p>
      <w:pPr>
        <w:tabs>
          <w:tab w:val="left" w:pos="1361"/>
        </w:tabs>
        <w:spacing w:line="276" w:lineRule="auto"/>
        <w:ind w:left="1361"/>
        <w:rPr>
          <w:rFonts w:cs="Arial"/>
          <w:i/>
          <w:iCs/>
          <w:szCs w:val="20"/>
        </w:rPr>
      </w:pPr>
      <w:r>
        <w:rPr>
          <w:rFonts w:cs="Arial"/>
          <w:i/>
          <w:iCs/>
          <w:szCs w:val="20"/>
        </w:rPr>
        <w:t xml:space="preserve"> </w:t>
      </w:r>
    </w:p>
    <w:p>
      <w:pPr>
        <w:tabs>
          <w:tab w:val="left" w:pos="1361"/>
        </w:tabs>
        <w:spacing w:line="276" w:lineRule="auto"/>
        <w:ind w:left="1361"/>
        <w:jc w:val="center"/>
        <w:rPr>
          <w:rFonts w:cs="Arial"/>
          <w:i/>
          <w:iCs/>
          <w:szCs w:val="20"/>
        </w:rPr>
      </w:pPr>
      <w:r>
        <w:rPr>
          <w:i/>
          <w:iCs/>
          <w:noProof/>
          <w:lang w:eastAsia="pt-BR"/>
        </w:rPr>
        <w:drawing>
          <wp:inline distT="0" distB="0" distL="0" distR="0">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24125" cy="781050"/>
                    </a:xfrm>
                    <a:prstGeom prst="rect">
                      <a:avLst/>
                    </a:prstGeom>
                  </pic:spPr>
                </pic:pic>
              </a:graphicData>
            </a:graphic>
          </wp:inline>
        </w:drawing>
      </w:r>
    </w:p>
    <w:p>
      <w:pPr>
        <w:tabs>
          <w:tab w:val="left" w:pos="1361"/>
        </w:tabs>
        <w:spacing w:after="240" w:line="276" w:lineRule="auto"/>
        <w:ind w:left="1361"/>
        <w:rPr>
          <w:rFonts w:ascii="Arial" w:hAnsi="Arial" w:cs="Arial"/>
          <w:i/>
          <w:iCs/>
          <w:sz w:val="20"/>
          <w:szCs w:val="20"/>
        </w:rPr>
      </w:pPr>
      <w:r>
        <w:rPr>
          <w:rFonts w:ascii="Arial" w:hAnsi="Arial" w:cs="Arial"/>
          <w:i/>
          <w:iCs/>
          <w:sz w:val="20"/>
          <w:szCs w:val="20"/>
        </w:rPr>
        <w:lastRenderedPageBreak/>
        <w:t>onde:</w:t>
      </w:r>
    </w:p>
    <w:p>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setenta milésimos)</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n = número de dias úteis entra a data do próximo Período de Capitalização e a data do período de capitalização anterior, sendo “n” um número inteiro;</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DT = número de dias úteis entre o último e o próximo Período de Capitalização, sendo “DT” um número inteiro;</w:t>
      </w:r>
    </w:p>
    <w:p>
      <w:pPr>
        <w:tabs>
          <w:tab w:val="left" w:pos="1361"/>
        </w:tabs>
        <w:spacing w:line="276" w:lineRule="auto"/>
        <w:ind w:left="1361"/>
        <w:rPr>
          <w:rFonts w:ascii="Arial" w:hAnsi="Arial" w:cs="Arial"/>
          <w:i/>
          <w:iCs/>
          <w:sz w:val="20"/>
          <w:szCs w:val="20"/>
        </w:rPr>
      </w:pPr>
    </w:p>
    <w:p>
      <w:pPr>
        <w:tabs>
          <w:tab w:val="left" w:pos="1361"/>
        </w:tabs>
        <w:spacing w:after="240" w:line="276" w:lineRule="auto"/>
        <w:ind w:left="1361"/>
        <w:rPr>
          <w:rFonts w:ascii="Arial" w:hAnsi="Arial" w:cs="Arial"/>
          <w:i/>
          <w:iCs/>
          <w:sz w:val="20"/>
          <w:szCs w:val="20"/>
        </w:rPr>
      </w:pPr>
      <w:r>
        <w:rPr>
          <w:rFonts w:ascii="Arial" w:hAnsi="Arial" w:cs="Arial"/>
          <w:i/>
          <w:iCs/>
          <w:sz w:val="20"/>
          <w:szCs w:val="20"/>
        </w:rPr>
        <w:t>DP = número de dias úteis entre o último Período de Capitalização e a data atual, sendo “DP” um número inteiro.</w:t>
      </w:r>
    </w:p>
    <w:p>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pPr>
        <w:pStyle w:val="Level3"/>
        <w:rPr>
          <w:lang w:val="pt-BR"/>
        </w:rPr>
      </w:pPr>
      <w:r>
        <w:rPr>
          <w:lang w:val="pt-BR"/>
        </w:rPr>
        <w:t>Se os fatores diários estiverem acumulados, considerar-se-á o fator resultante "Fator DI" com 8 (oito) casas decimais, com arredondamento.</w:t>
      </w:r>
    </w:p>
    <w:p>
      <w:pPr>
        <w:pStyle w:val="Level3"/>
        <w:rPr>
          <w:lang w:val="pt-BR"/>
        </w:rPr>
      </w:pPr>
      <w:r>
        <w:rPr>
          <w:lang w:val="pt-BR"/>
        </w:rPr>
        <w:t>O fator resultante da expressão (Fator DI x Fator Spread) é considerado com 9 (nove) casas decimais, com arredondamento.</w:t>
      </w:r>
    </w:p>
    <w:p>
      <w:pPr>
        <w:pStyle w:val="Level3"/>
        <w:rPr>
          <w:lang w:val="pt-BR"/>
        </w:rPr>
      </w:pPr>
      <w:r>
        <w:rPr>
          <w:lang w:val="pt-BR"/>
        </w:rPr>
        <w:t>A Taxa DI deverá ser utilizada considerando idêntico número de casas decimais divulgado pelo órgão responsável pelo seu cálculo.</w:t>
      </w:r>
    </w:p>
    <w:p>
      <w:pPr>
        <w:pStyle w:val="Level3"/>
        <w:rPr>
          <w:lang w:val="pt-BR"/>
        </w:rPr>
      </w:pPr>
      <w:r>
        <w:rPr>
          <w:lang w:val="pt-BR"/>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da Primeira Série quando da divulgação posterior da Taxa DI que seria aplicável.</w:t>
      </w:r>
    </w:p>
    <w:p>
      <w:pPr>
        <w:pStyle w:val="Level3"/>
        <w:rPr>
          <w:lang w:val="pt-BR"/>
        </w:rPr>
      </w:pPr>
      <w:r>
        <w:rPr>
          <w:lang w:val="pt-BR"/>
        </w:rPr>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da Primeira Série, parâmetro este que deverá preservar o valor real e os mesmos níveis de Remuneração. Caso não haja acordo sobre o novo parâmetro de Remuneração entre a Emissora e os Debenturistas das Debêntures da Primeira Série representando, no mínimo, </w:t>
      </w:r>
      <w:r>
        <w:rPr>
          <w:highlight w:val="yellow"/>
          <w:lang w:val="pt-BR"/>
        </w:rPr>
        <w:t>2/3 (dois terços) mais uma das respectivas Debêntures em Circulação, reunidos em primeira ou segunda convocação</w:t>
      </w:r>
      <w:r>
        <w:rPr>
          <w:lang w:val="pt-BR"/>
        </w:rPr>
        <w:t xml:space="preserve"> [</w:t>
      </w:r>
      <w:r>
        <w:rPr>
          <w:highlight w:val="yellow"/>
          <w:lang w:val="pt-BR"/>
        </w:rPr>
        <w:t>Nota: favor alinhar com redação da 6.10.3 acima</w:t>
      </w:r>
      <w:r>
        <w:rPr>
          <w:lang w:val="pt-BR"/>
        </w:rPr>
        <w:t xml:space="preserve">], a Emissora deverá </w:t>
      </w:r>
      <w:r>
        <w:rPr>
          <w:highlight w:val="yellow"/>
          <w:lang w:val="pt-BR"/>
        </w:rPr>
        <w:t>adquirir</w:t>
      </w:r>
      <w:r>
        <w:rPr>
          <w:lang w:val="pt-BR"/>
        </w:rPr>
        <w:t xml:space="preserve"> [</w:t>
      </w:r>
      <w:r>
        <w:rPr>
          <w:highlight w:val="yellow"/>
          <w:lang w:val="pt-BR"/>
        </w:rPr>
        <w:t>B3: adquirir ou resgatar?</w:t>
      </w:r>
      <w:r>
        <w:rPr>
          <w:lang w:val="pt-BR"/>
        </w:rPr>
        <w:t xml:space="preserve">] a totalidade das Debêntures da Primeira Série em </w:t>
      </w:r>
      <w:r>
        <w:rPr>
          <w:lang w:val="pt-BR"/>
        </w:rPr>
        <w:lastRenderedPageBreak/>
        <w:t xml:space="preserve">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de Primeira Série, acrescido da Remuneração devida até a data da efetiva aquisição, calculada </w:t>
      </w:r>
      <w:r>
        <w:rPr>
          <w:i/>
          <w:iCs/>
          <w:lang w:val="pt-BR"/>
        </w:rPr>
        <w:t>pro rata temporis</w:t>
      </w:r>
      <w:r>
        <w:rPr>
          <w:lang w:val="pt-BR"/>
        </w:rPr>
        <w:t xml:space="preserve">, a partir da </w:t>
      </w:r>
      <w:r>
        <w:rPr>
          <w:rFonts w:cs="Arial"/>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r>
        <w:rPr>
          <w:rFonts w:cs="Arial"/>
          <w:b/>
          <w:bCs/>
          <w:highlight w:val="yellow"/>
          <w:lang w:val="pt-BR"/>
        </w:rPr>
        <w:t>[Nota Lefosse: Redação a ser validada com a ANBIMA em atenção ao guia de padronização]</w:t>
      </w:r>
    </w:p>
    <w:p>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rFonts w:cs="Arial"/>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pPr>
        <w:pStyle w:val="Level3"/>
        <w:rPr>
          <w:lang w:val="pt-BR"/>
        </w:rPr>
      </w:pPr>
      <w:r>
        <w:rPr>
          <w:u w:val="single"/>
          <w:lang w:val="pt-BR"/>
        </w:rPr>
        <w:t>Remuneração das Debêntures da Segunda Série</w:t>
      </w:r>
      <w:r>
        <w:rPr>
          <w:lang w:val="pt-BR"/>
        </w:rPr>
        <w:t xml:space="preserve">. Sobre o </w:t>
      </w:r>
      <w:r>
        <w:rPr>
          <w:rFonts w:cs="Arial"/>
          <w:bCs/>
          <w:lang w:val="pt-BR"/>
        </w:rPr>
        <w:t>Valor Nominal Unitário Atualizado das Debêntures da Segunda Série</w:t>
      </w:r>
      <w:r>
        <w:rPr>
          <w:lang w:val="pt-BR"/>
        </w:rPr>
        <w:t xml:space="preserve">, incidirão juros remuneratórios correspondentes ao maior entre (i) 5,30% (cinco inteiros e trinta centésimos por cento) ao ano base 252 Dias Úteis e (ii) </w:t>
      </w:r>
      <w:r>
        <w:rPr>
          <w:rFonts w:cs="Arial"/>
          <w:szCs w:val="20"/>
          <w:lang w:val="pt-BR"/>
        </w:rPr>
        <w:t xml:space="preserve">percentual correspondente à taxa interna de retorno do Tesouro IPCA+ com Juros Semestrais (NTN-B), com vencimento em </w:t>
      </w:r>
      <w:r>
        <w:rPr>
          <w:lang w:val="pt-BR"/>
        </w:rPr>
        <w:t xml:space="preserve">2030, </w:t>
      </w:r>
      <w:r>
        <w:rPr>
          <w:rFonts w:cs="Arial"/>
          <w:szCs w:val="20"/>
          <w:lang w:val="pt-BR"/>
        </w:rPr>
        <w:t>a ser verificada após o fechamento de mercado no</w:t>
      </w:r>
      <w:r>
        <w:rPr>
          <w:rFonts w:asciiTheme="minorHAnsi" w:hAnsiTheme="minorHAnsi"/>
          <w:sz w:val="24"/>
          <w:lang w:val="pt-BR"/>
        </w:rPr>
        <w:t xml:space="preserve"> </w:t>
      </w:r>
      <w:r>
        <w:rPr>
          <w:rFonts w:cs="Arial"/>
          <w:szCs w:val="20"/>
          <w:lang w:val="pt-BR"/>
        </w:rPr>
        <w:t xml:space="preserve">Dia Útil imediatamente anterior à data do Procedimento de </w:t>
      </w:r>
      <w:r>
        <w:rPr>
          <w:rFonts w:cs="Arial"/>
          <w:i/>
          <w:szCs w:val="20"/>
          <w:lang w:val="pt-BR"/>
        </w:rPr>
        <w:t>Bookbuilding</w:t>
      </w:r>
      <w:r>
        <w:rPr>
          <w:rFonts w:cs="Arial"/>
          <w:szCs w:val="20"/>
          <w:lang w:val="pt-BR"/>
        </w:rPr>
        <w:t>, conforme as taxas indicativas divulgadas pela ANBIMA em sua página na internet (http://www.anbima.com.br), acrescida exponencialmente de 1,75% (um inteiro e setenta e cinco centésimos por cento) ao ano, base 252 (duzentos e cinquenta e dois) Dias Úteis</w:t>
      </w:r>
      <w:r>
        <w:rPr>
          <w:lang w:val="pt-BR"/>
        </w:rPr>
        <w:t xml:space="preserve"> (“</w:t>
      </w:r>
      <w:r>
        <w:rPr>
          <w:b/>
          <w:bCs/>
          <w:lang w:val="pt-BR"/>
        </w:rPr>
        <w:t>Remuneração das Debêntures da Segunda Série</w:t>
      </w:r>
      <w:r>
        <w:rPr>
          <w:lang w:val="pt-BR"/>
        </w:rPr>
        <w:t xml:space="preserve">”), </w:t>
      </w:r>
      <w:r>
        <w:rPr>
          <w:rFonts w:cs="Arial"/>
          <w:szCs w:val="20"/>
          <w:lang w:val="pt-BR"/>
        </w:rPr>
        <w:t>incidentes desde a primeira Data de Integralização ou a Data de Pagamento da Remuneração da Segunda Série imediatamente anterior</w:t>
      </w:r>
      <w:r>
        <w:rPr>
          <w:lang w:val="pt-BR"/>
        </w:rPr>
        <w:t xml:space="preserve"> (inclusive) até a data de pagamento da Remuneração da Segunda Série em questão ou data de declaração de vencimento antecipado em decorrência de um Evento de Inadimplemento (conforme abaixo definido), o que ocorrer primeiro. O cálculo da Remuneração das Debêntures da Segunda Série obedecerá à seguinte fórmula: [</w:t>
      </w:r>
      <w:r>
        <w:rPr>
          <w:highlight w:val="yellow"/>
          <w:lang w:val="pt-BR"/>
        </w:rPr>
        <w:t>Nota PNA</w:t>
      </w:r>
      <w:r>
        <w:rPr>
          <w:rFonts w:cs="Arial"/>
          <w:highlight w:val="yellow"/>
          <w:lang w:val="pt-BR"/>
        </w:rPr>
        <w:t>: entendemos que a proposta ao board foi teto IGPM + 3,95% a.a., sem opção de B30 +40</w:t>
      </w:r>
      <w:r>
        <w:rPr>
          <w:lang w:val="pt-BR"/>
        </w:rPr>
        <w:t xml:space="preserve">] </w:t>
      </w:r>
    </w:p>
    <w:p>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pPr>
        <w:pStyle w:val="Level3"/>
        <w:numPr>
          <w:ilvl w:val="0"/>
          <w:numId w:val="0"/>
        </w:numPr>
        <w:ind w:left="1361"/>
        <w:rPr>
          <w:lang w:val="pt-BR"/>
        </w:rPr>
      </w:pPr>
      <w:r>
        <w:rPr>
          <w:lang w:val="pt-BR"/>
        </w:rPr>
        <w:t>Onde:</w:t>
      </w:r>
    </w:p>
    <w:p>
      <w:pPr>
        <w:pStyle w:val="Level3"/>
        <w:numPr>
          <w:ilvl w:val="0"/>
          <w:numId w:val="0"/>
        </w:numPr>
        <w:ind w:left="1361"/>
        <w:rPr>
          <w:i/>
          <w:iCs/>
          <w:lang w:val="pt-BR"/>
        </w:rPr>
      </w:pPr>
      <w:r>
        <w:rPr>
          <w:i/>
          <w:iCs/>
          <w:lang w:val="pt-BR"/>
        </w:rPr>
        <w:lastRenderedPageBreak/>
        <w:t>J = valor unitário da Remuneração devida ao final do Período de Capitalização (conforme abaixo definido), calculado com 8 (oito) casas decimais, sem arredondamento;</w:t>
      </w:r>
    </w:p>
    <w:p>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pPr>
        <w:pStyle w:val="Level3"/>
        <w:numPr>
          <w:ilvl w:val="0"/>
          <w:numId w:val="0"/>
        </w:numPr>
        <w:ind w:firstLine="1418"/>
        <w:rPr>
          <w:i/>
          <w:iCs/>
          <w:lang w:val="pt-BR"/>
        </w:rPr>
      </w:pPr>
      <w:r>
        <w:rPr>
          <w:i/>
          <w:iCs/>
          <w:lang w:val="pt-BR"/>
        </w:rPr>
        <w:t>onde:</w:t>
      </w:r>
    </w:p>
    <w:p>
      <w:pPr>
        <w:pStyle w:val="Level3"/>
        <w:numPr>
          <w:ilvl w:val="0"/>
          <w:numId w:val="0"/>
        </w:numPr>
        <w:ind w:left="1418"/>
        <w:rPr>
          <w:i/>
          <w:iCs/>
          <w:lang w:val="pt-BR"/>
        </w:rPr>
      </w:pPr>
      <w:r>
        <w:rPr>
          <w:i/>
          <w:iCs/>
          <w:lang w:val="pt-BR"/>
        </w:rPr>
        <w:t xml:space="preserve">spread = taxa de spread, informada com 4 (quatro) casas decimais, a ser definida na Data do Procedimento de Bookuilding; </w:t>
      </w:r>
    </w:p>
    <w:p>
      <w:pPr>
        <w:pStyle w:val="Level3"/>
        <w:numPr>
          <w:ilvl w:val="0"/>
          <w:numId w:val="0"/>
        </w:numPr>
        <w:ind w:left="1418"/>
        <w:rPr>
          <w:i/>
          <w:iCs/>
          <w:lang w:val="pt-BR"/>
        </w:rPr>
      </w:pPr>
      <w:r>
        <w:rPr>
          <w:i/>
          <w:iCs/>
          <w:lang w:val="pt-BR"/>
        </w:rPr>
        <w:t>n = número de dias úteis entra a data do próximo Período de Capitalização da 2ª Série e a data do período de capitalização anterior, sendo “n” um número inteiro;</w:t>
      </w:r>
    </w:p>
    <w:p>
      <w:pPr>
        <w:pStyle w:val="Level3"/>
        <w:numPr>
          <w:ilvl w:val="0"/>
          <w:numId w:val="0"/>
        </w:numPr>
        <w:ind w:left="1418"/>
        <w:rPr>
          <w:i/>
          <w:iCs/>
          <w:lang w:val="pt-BR"/>
        </w:rPr>
      </w:pPr>
      <w:r>
        <w:rPr>
          <w:i/>
          <w:iCs/>
          <w:lang w:val="pt-BR"/>
        </w:rPr>
        <w:t>DT = número de dias úteis entre o último e o próximo Período de Capitalização da 2ª Série, sendo “DT” um número inteiro;</w:t>
      </w:r>
    </w:p>
    <w:p>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pPr>
        <w:pStyle w:val="Level3"/>
        <w:rPr>
          <w:lang w:val="pt-BR"/>
        </w:rPr>
      </w:pPr>
      <w:r>
        <w:rPr>
          <w:lang w:val="pt-BR"/>
        </w:rPr>
        <w:t>O Período de Capitalização da Remuneração (“</w:t>
      </w:r>
      <w:r>
        <w:rPr>
          <w:b/>
          <w:bCs/>
          <w:lang w:val="pt-BR"/>
        </w:rPr>
        <w:t>Período de Capitalização da Segunda Série</w:t>
      </w:r>
      <w:r>
        <w:rPr>
          <w:lang w:val="pt-BR"/>
        </w:rPr>
        <w:t xml:space="preserve">”) é, para o primeiro Período de Capitalização da Segunda Série, o intervalo de tempo que se inicia na </w:t>
      </w:r>
      <w:r>
        <w:rPr>
          <w:rFonts w:cs="Arial"/>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2ª Série sucede o anterior sem solução de continuidade, até a Data de Vencimento.</w:t>
      </w:r>
    </w:p>
    <w:p>
      <w:pPr>
        <w:pStyle w:val="Level3"/>
        <w:rPr>
          <w:rFonts w:cs="Arial"/>
          <w:szCs w:val="20"/>
          <w:lang w:val="pt-BR"/>
        </w:rPr>
      </w:pPr>
      <w:r>
        <w:rPr>
          <w:u w:val="single"/>
          <w:lang w:val="pt-BR"/>
        </w:rPr>
        <w:t>Remuneração das Debêntures da Terceira Série</w:t>
      </w:r>
      <w:r>
        <w:rPr>
          <w:lang w:val="pt-BR"/>
        </w:rPr>
        <w:t xml:space="preserve">. Sobre o </w:t>
      </w:r>
      <w:r>
        <w:rPr>
          <w:rFonts w:cs="Arial"/>
          <w:bCs/>
          <w:lang w:val="pt-BR"/>
        </w:rPr>
        <w:t>Valor Nominal Unitário Atualizado das Debêntures da Terceira Série</w:t>
      </w:r>
      <w:r>
        <w:rPr>
          <w:lang w:val="pt-BR"/>
        </w:rPr>
        <w:t>, incidirão juros remuneratórios correspondentes a</w:t>
      </w:r>
      <w:r>
        <w:rPr>
          <w:rFonts w:cs="Arial"/>
          <w:szCs w:val="20"/>
          <w:lang w:val="pt-BR"/>
        </w:rPr>
        <w:t xml:space="preserve"> um determinado percentual ao ano-base de 252 (duzentos e cinquenta e dois) Dias Úteis, a serem definidos na data do Procedimento de </w:t>
      </w:r>
      <w:r>
        <w:rPr>
          <w:rFonts w:cs="Arial"/>
          <w:i/>
          <w:iCs/>
          <w:szCs w:val="20"/>
          <w:lang w:val="pt-BR"/>
        </w:rPr>
        <w:t>Bookbuilding</w:t>
      </w:r>
      <w:r>
        <w:rPr>
          <w:rFonts w:cs="Arial"/>
          <w:szCs w:val="20"/>
          <w:lang w:val="pt-BR"/>
        </w:rPr>
        <w:t xml:space="preserve">, </w:t>
      </w:r>
      <w:r>
        <w:rPr>
          <w:lang w:val="pt-BR"/>
        </w:rPr>
        <w:t xml:space="preserve">equivalentes ao maior </w:t>
      </w:r>
      <w:r>
        <w:rPr>
          <w:rFonts w:cs="Arial"/>
          <w:szCs w:val="20"/>
          <w:lang w:val="pt-BR"/>
        </w:rPr>
        <w:t xml:space="preserve">entre </w:t>
      </w:r>
      <w:r>
        <w:rPr>
          <w:rFonts w:cs="Arial"/>
          <w:b/>
          <w:szCs w:val="20"/>
          <w:lang w:val="pt-BR"/>
        </w:rPr>
        <w:t xml:space="preserve">(i) </w:t>
      </w:r>
      <w:r>
        <w:rPr>
          <w:rFonts w:cs="Arial"/>
          <w:szCs w:val="20"/>
          <w:lang w:val="pt-BR"/>
        </w:rPr>
        <w:t xml:space="preserve">o percentual correspondente à taxa interna de retorno do Tesouro IPCA+ com Juros Semestrais (NTN-B), com vencimento em </w:t>
      </w:r>
      <w:r>
        <w:rPr>
          <w:lang w:val="pt-BR"/>
        </w:rPr>
        <w:t xml:space="preserve">2035, </w:t>
      </w:r>
      <w:r>
        <w:rPr>
          <w:rFonts w:cs="Arial"/>
          <w:szCs w:val="20"/>
          <w:lang w:val="pt-BR"/>
        </w:rPr>
        <w:t>a ser verificada após o fechamento de mercado no</w:t>
      </w:r>
      <w:r>
        <w:rPr>
          <w:rFonts w:asciiTheme="minorHAnsi" w:hAnsiTheme="minorHAnsi"/>
          <w:sz w:val="24"/>
          <w:lang w:val="pt-BR"/>
        </w:rPr>
        <w:t xml:space="preserve"> </w:t>
      </w:r>
      <w:r>
        <w:rPr>
          <w:rFonts w:cs="Arial"/>
          <w:szCs w:val="20"/>
          <w:lang w:val="pt-BR"/>
        </w:rPr>
        <w:t xml:space="preserve">Dia Útil imediatamente anterior à data do Procedimento de </w:t>
      </w:r>
      <w:r>
        <w:rPr>
          <w:rFonts w:cs="Arial"/>
          <w:i/>
          <w:szCs w:val="20"/>
          <w:lang w:val="pt-BR"/>
        </w:rPr>
        <w:t>Bookbuilding</w:t>
      </w:r>
      <w:r>
        <w:rPr>
          <w:rFonts w:cs="Arial"/>
          <w:szCs w:val="20"/>
          <w:lang w:val="pt-BR"/>
        </w:rPr>
        <w:t xml:space="preserve">, conforme as taxas indicativas divulgadas pela ANBIMA em sua página na internet (http://www.anbima.com.br), acrescida exponencialmente de 0,60% (sessenta centésimos por cento) ao ano, da; ou </w:t>
      </w:r>
      <w:r>
        <w:rPr>
          <w:rFonts w:cs="Arial"/>
          <w:b/>
          <w:szCs w:val="20"/>
          <w:lang w:val="pt-BR"/>
        </w:rPr>
        <w:t xml:space="preserve">(ii) </w:t>
      </w:r>
      <w:r>
        <w:rPr>
          <w:rFonts w:cs="Arial"/>
          <w:szCs w:val="20"/>
          <w:lang w:val="pt-BR"/>
        </w:rPr>
        <w:t xml:space="preserve">3,95% (três inteiros e noventa e cinco </w:t>
      </w:r>
      <w:r>
        <w:rPr>
          <w:rFonts w:cs="Arial"/>
          <w:szCs w:val="20"/>
          <w:lang w:val="pt-BR"/>
        </w:rPr>
        <w:lastRenderedPageBreak/>
        <w:t>centésimos por cento) ao ano, base 252 (duzentos e cinquenta e dois) Dias Úteis (“</w:t>
      </w:r>
      <w:r>
        <w:rPr>
          <w:rFonts w:cs="Arial"/>
          <w:b/>
          <w:szCs w:val="20"/>
          <w:lang w:val="pt-BR"/>
        </w:rPr>
        <w:t>Remuneração das Debêntures da Terceira Série</w:t>
      </w:r>
      <w:r>
        <w:rPr>
          <w:rFonts w:cs="Arial"/>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pPr>
        <w:pStyle w:val="Level3"/>
        <w:numPr>
          <w:ilvl w:val="0"/>
          <w:numId w:val="0"/>
        </w:numPr>
        <w:ind w:left="1361"/>
        <w:rPr>
          <w:lang w:val="pt-BR"/>
        </w:rPr>
      </w:pPr>
      <w:r>
        <w:rPr>
          <w:lang w:val="pt-BR"/>
        </w:rPr>
        <w:t>Onde:</w:t>
      </w:r>
    </w:p>
    <w:p>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0"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pPr>
        <w:pStyle w:val="Level3"/>
        <w:numPr>
          <w:ilvl w:val="0"/>
          <w:numId w:val="0"/>
        </w:numPr>
        <w:ind w:firstLine="1418"/>
        <w:rPr>
          <w:i/>
          <w:iCs/>
          <w:lang w:val="pt-BR"/>
        </w:rPr>
      </w:pPr>
      <w:r>
        <w:rPr>
          <w:i/>
          <w:iCs/>
          <w:lang w:val="pt-BR"/>
        </w:rPr>
        <w:t>onde:</w:t>
      </w:r>
    </w:p>
    <w:p>
      <w:pPr>
        <w:pStyle w:val="Level3"/>
        <w:numPr>
          <w:ilvl w:val="0"/>
          <w:numId w:val="0"/>
        </w:numPr>
        <w:ind w:left="1418"/>
        <w:rPr>
          <w:i/>
          <w:iCs/>
          <w:lang w:val="pt-BR"/>
        </w:rPr>
      </w:pPr>
      <w:r>
        <w:rPr>
          <w:i/>
          <w:iCs/>
          <w:lang w:val="pt-BR"/>
        </w:rPr>
        <w:t xml:space="preserve">spread = taxa de spread, informada com 4 (quatro) casas decimais, a ser definida na Data do Procedimento de Bookuilding; </w:t>
      </w:r>
    </w:p>
    <w:p>
      <w:pPr>
        <w:pStyle w:val="Level3"/>
        <w:numPr>
          <w:ilvl w:val="0"/>
          <w:numId w:val="0"/>
        </w:numPr>
        <w:ind w:left="1418"/>
        <w:rPr>
          <w:i/>
          <w:iCs/>
          <w:lang w:val="pt-BR"/>
        </w:rPr>
      </w:pPr>
      <w:r>
        <w:rPr>
          <w:i/>
          <w:iCs/>
          <w:lang w:val="pt-BR"/>
        </w:rPr>
        <w:t>n = número de dias úteis entra a data do próximo Período de Capitalização da 3ª Série e a data do período de capitalização anterior, sendo “n” um número inteiro;</w:t>
      </w:r>
    </w:p>
    <w:p>
      <w:pPr>
        <w:pStyle w:val="Level3"/>
        <w:numPr>
          <w:ilvl w:val="0"/>
          <w:numId w:val="0"/>
        </w:numPr>
        <w:ind w:left="1418"/>
        <w:rPr>
          <w:i/>
          <w:iCs/>
          <w:lang w:val="pt-BR"/>
        </w:rPr>
      </w:pPr>
      <w:r>
        <w:rPr>
          <w:i/>
          <w:iCs/>
          <w:lang w:val="pt-BR"/>
        </w:rPr>
        <w:t>DT = número de dias úteis entre o último e o próximo Período de Capitalização da 3ª Série, sendo “DT” um número inteiro;</w:t>
      </w:r>
    </w:p>
    <w:p>
      <w:pPr>
        <w:pStyle w:val="Level3"/>
        <w:numPr>
          <w:ilvl w:val="0"/>
          <w:numId w:val="0"/>
        </w:numPr>
        <w:ind w:left="1418"/>
        <w:rPr>
          <w:i/>
          <w:iCs/>
          <w:lang w:val="pt-BR"/>
        </w:rPr>
      </w:pPr>
      <w:r>
        <w:rPr>
          <w:i/>
          <w:iCs/>
          <w:lang w:val="pt-BR"/>
        </w:rPr>
        <w:t>DP = número de dias úteis entre o último Período de Capitalização da Terceira Série e a data atual, sendo “DP” um número inteiro.</w:t>
      </w:r>
    </w:p>
    <w:p>
      <w:pPr>
        <w:pStyle w:val="Level3"/>
        <w:rPr>
          <w:b/>
          <w:lang w:val="pt-BR"/>
        </w:rPr>
      </w:pPr>
      <w:r>
        <w:rPr>
          <w:lang w:val="pt-BR"/>
        </w:rPr>
        <w:t>O Período de Capitalização da Remuneração (“</w:t>
      </w:r>
      <w:r>
        <w:rPr>
          <w:b/>
          <w:bCs/>
          <w:lang w:val="pt-BR"/>
        </w:rPr>
        <w:t>Período de Capitalização da Terceira Série</w:t>
      </w:r>
      <w:r>
        <w:rPr>
          <w:lang w:val="pt-BR"/>
        </w:rPr>
        <w:t xml:space="preserve">”) é, para o primeiro Período de Capitalização da </w:t>
      </w:r>
      <w:r>
        <w:rPr>
          <w:rFonts w:cs="Arial"/>
          <w:bCs/>
          <w:lang w:val="pt-BR"/>
        </w:rPr>
        <w:t>Terceira</w:t>
      </w:r>
      <w:r>
        <w:rPr>
          <w:lang w:val="pt-BR"/>
        </w:rPr>
        <w:t xml:space="preserve"> Série, o intervalo de tempo que se inicia na </w:t>
      </w:r>
      <w:r>
        <w:rPr>
          <w:rFonts w:cs="Arial"/>
          <w:szCs w:val="20"/>
          <w:lang w:val="pt-BR"/>
        </w:rPr>
        <w:t>primeira Data de Integralização</w:t>
      </w:r>
      <w:r>
        <w:rPr>
          <w:lang w:val="pt-BR"/>
        </w:rPr>
        <w:t xml:space="preserve">, inclusive, e termina na primeira Data de Pagamento da Remuneração das Debêntures da </w:t>
      </w:r>
      <w:r>
        <w:rPr>
          <w:rFonts w:cs="Arial"/>
          <w:bCs/>
          <w:lang w:val="pt-BR"/>
        </w:rPr>
        <w:t>Terceira</w:t>
      </w:r>
      <w:r>
        <w:rPr>
          <w:lang w:val="pt-BR"/>
        </w:rPr>
        <w:t xml:space="preserve"> Série, exclusive, e, para os demais Períodos de Capitalização da </w:t>
      </w:r>
      <w:r>
        <w:rPr>
          <w:rFonts w:cs="Arial"/>
          <w:bCs/>
          <w:lang w:val="pt-BR"/>
        </w:rPr>
        <w:t>Terceira</w:t>
      </w:r>
      <w:r>
        <w:rPr>
          <w:lang w:val="pt-BR"/>
        </w:rPr>
        <w:t xml:space="preserve"> Série, o intervalo de tempo que se inicia na Data de Pagamento da Remuneração das Debêntures da </w:t>
      </w:r>
      <w:r>
        <w:rPr>
          <w:rFonts w:cs="Arial"/>
          <w:bCs/>
          <w:lang w:val="pt-BR"/>
        </w:rPr>
        <w:t>Terceira</w:t>
      </w:r>
      <w:r>
        <w:rPr>
          <w:lang w:val="pt-BR"/>
        </w:rPr>
        <w:t xml:space="preserve"> Série imediatamente anterior, inclusive, e termina na Data de Pagamento da Remuneração da </w:t>
      </w:r>
      <w:r>
        <w:rPr>
          <w:rFonts w:cs="Arial"/>
          <w:bCs/>
          <w:lang w:val="pt-BR"/>
        </w:rPr>
        <w:t>Terceira</w:t>
      </w:r>
      <w:r>
        <w:rPr>
          <w:lang w:val="pt-BR"/>
        </w:rPr>
        <w:t xml:space="preserve"> Série subsequente, exclusive. Cada Período de Capitalização da </w:t>
      </w:r>
      <w:r>
        <w:rPr>
          <w:rFonts w:cs="Arial"/>
          <w:bCs/>
          <w:lang w:val="pt-BR"/>
        </w:rPr>
        <w:t>Terceira</w:t>
      </w:r>
      <w:r>
        <w:rPr>
          <w:lang w:val="pt-BR"/>
        </w:rPr>
        <w:t xml:space="preserve"> Série sucede o anterior sem solução de continuidade, até a Data de Vencimento</w:t>
      </w:r>
    </w:p>
    <w:bookmarkEnd w:id="54"/>
    <w:p>
      <w:pPr>
        <w:pStyle w:val="Level2"/>
        <w:spacing w:before="140"/>
        <w:rPr>
          <w:rFonts w:cs="Arial"/>
          <w:b/>
          <w:lang w:val="pt-BR"/>
        </w:rPr>
      </w:pPr>
      <w:r>
        <w:rPr>
          <w:rFonts w:cs="Arial"/>
          <w:b/>
          <w:lang w:val="pt-BR"/>
        </w:rPr>
        <w:t>Pagamento da Remuneração</w:t>
      </w:r>
    </w:p>
    <w:p>
      <w:pPr>
        <w:pStyle w:val="Level3"/>
        <w:rPr>
          <w:lang w:val="pt-BR"/>
        </w:rPr>
      </w:pPr>
      <w:r>
        <w:rPr>
          <w:u w:val="single"/>
          <w:lang w:val="pt-BR"/>
        </w:rPr>
        <w:lastRenderedPageBreak/>
        <w:t>Pagamento de Remuneração das Debêntures da Primeira Série.</w:t>
      </w:r>
      <w:r>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trPr>
          <w:trHeight w:val="27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trPr>
          <w:trHeight w:val="27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trPr>
          <w:trHeight w:val="27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Primeira Série</w:t>
            </w:r>
          </w:p>
        </w:tc>
      </w:tr>
    </w:tbl>
    <w:p>
      <w:pPr>
        <w:pStyle w:val="Level4"/>
        <w:numPr>
          <w:ilvl w:val="0"/>
          <w:numId w:val="0"/>
        </w:numPr>
        <w:ind w:left="2041"/>
        <w:rPr>
          <w:lang w:val="pt-BR"/>
        </w:rPr>
      </w:pPr>
    </w:p>
    <w:p>
      <w:pPr>
        <w:pStyle w:val="Level3"/>
        <w:rPr>
          <w:lang w:val="pt-BR"/>
        </w:rPr>
      </w:pPr>
      <w:r>
        <w:rPr>
          <w:u w:val="single"/>
          <w:lang w:val="pt-BR"/>
        </w:rPr>
        <w:t>Pagamento de Remuneração das Debêntures da Segunda Série.</w:t>
      </w:r>
      <w:r>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Pr>
          <w:b/>
          <w:lang w:val="pt-BR"/>
        </w:rPr>
        <w:t>Data de Pagamento da Remuneração das Debêntures da Segunda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lastRenderedPageBreak/>
              <w:t>15 de setembro de 2021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Segunda Série</w:t>
            </w:r>
          </w:p>
        </w:tc>
      </w:tr>
    </w:tbl>
    <w:p>
      <w:pPr>
        <w:pStyle w:val="Level4"/>
        <w:numPr>
          <w:ilvl w:val="0"/>
          <w:numId w:val="0"/>
        </w:numPr>
        <w:rPr>
          <w:lang w:val="pt-BR"/>
        </w:rPr>
      </w:pPr>
    </w:p>
    <w:p>
      <w:pPr>
        <w:pStyle w:val="Level3"/>
        <w:rPr>
          <w:lang w:val="pt-BR"/>
        </w:rPr>
      </w:pPr>
      <w:r>
        <w:rPr>
          <w:u w:val="single"/>
          <w:lang w:val="pt-BR"/>
        </w:rPr>
        <w:t>Pagamento de Remuneração das Debêntures da Terceira Série.</w:t>
      </w:r>
      <w:r>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Pr>
          <w:b/>
          <w:lang w:val="pt-BR"/>
        </w:rPr>
        <w:t>Data de Pagamento da Remuneração das Debêntures da Terceira Série</w:t>
      </w:r>
      <w:r>
        <w:rPr>
          <w:lang w:val="pt-BR"/>
        </w:rPr>
        <w:t>”, em conjunto com as Datas de Pagamento da Remuneração das 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Terceira Série</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lastRenderedPageBreak/>
              <w:t>15 de março de 2022</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2036</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2036</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Terceira Série</w:t>
            </w:r>
          </w:p>
        </w:tc>
      </w:tr>
    </w:tbl>
    <w:p>
      <w:pPr>
        <w:pStyle w:val="Level4"/>
        <w:numPr>
          <w:ilvl w:val="0"/>
          <w:numId w:val="0"/>
        </w:numPr>
        <w:spacing w:after="0"/>
        <w:ind w:left="2041"/>
        <w:rPr>
          <w:lang w:val="pt-BR"/>
        </w:rPr>
      </w:pPr>
    </w:p>
    <w:p>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pPr>
        <w:pStyle w:val="Level2"/>
        <w:rPr>
          <w:b/>
          <w:bCs/>
          <w:lang w:val="pt-BR"/>
        </w:rPr>
      </w:pPr>
      <w:r>
        <w:rPr>
          <w:b/>
          <w:bCs/>
          <w:lang w:val="pt-BR"/>
        </w:rPr>
        <w:t>Amortização do saldo do Valor Nominal Unitário</w:t>
      </w:r>
    </w:p>
    <w:p>
      <w:pPr>
        <w:pStyle w:val="Level3"/>
        <w:rPr>
          <w:lang w:val="pt-BR"/>
        </w:rPr>
      </w:pPr>
      <w:r>
        <w:rPr>
          <w:lang w:val="pt-BR"/>
        </w:rPr>
        <w:lastRenderedPageBreak/>
        <w:t>O Valor Nominal Unitário das Debêntures da Primeira Série e Valor Nominal Unitário Atualizado das Debêntures da Segunda Série serão amortizados em uma única parcela, na Data de Vencimento das Debêntures da Primeira Série e Data de Vencimento das Debêntures da Segunda Série, respectivamente.</w:t>
      </w:r>
    </w:p>
    <w:p>
      <w:pPr>
        <w:pStyle w:val="Level3"/>
        <w:rPr>
          <w:lang w:val="pt-BR"/>
        </w:rPr>
      </w:pPr>
      <w:r>
        <w:rPr>
          <w:lang w:val="pt-BR"/>
        </w:rPr>
        <w:t>O Valor Nominal Unitário Atualizado das Debêntures da Terceira Série será amortizado em 3 (três) parcelas anuais consecutivas, sendo que a primeira parcela será devida em [15] de [março] de 2034, a segunda parcela em [●] de março de 2035 e a última parcela devida na Data de Vencimento das Debêntures da Terceira Série, conforme tabela abaixo (cada uma, uma “</w:t>
      </w:r>
      <w:r>
        <w:rPr>
          <w:b/>
          <w:bCs/>
          <w:lang w:val="pt-BR"/>
        </w:rPr>
        <w:t>Data de Amortização das Debêntures da Terceira Série</w:t>
      </w:r>
      <w:r>
        <w:rPr>
          <w:lang w:val="pt-BR"/>
        </w:rPr>
        <w:t>”) e percentuais previstos na 3ª (terceira) coluna da tabela a seguir Debêntures não estão sujeitas ao resgate antecipado facultativo total ou parcial:</w:t>
      </w:r>
    </w:p>
    <w:p>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trPr>
          <w:trHeight w:val="841"/>
        </w:trPr>
        <w:tc>
          <w:tcPr>
            <w:tcW w:w="1417" w:type="dxa"/>
            <w:shd w:val="clear" w:color="auto" w:fill="BFBFBF" w:themeFill="background1" w:themeFillShade="BF"/>
          </w:tcPr>
          <w:p>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pPr>
              <w:pStyle w:val="Level3"/>
              <w:numPr>
                <w:ilvl w:val="0"/>
                <w:numId w:val="0"/>
              </w:numPr>
              <w:rPr>
                <w:b/>
                <w:bCs/>
                <w:sz w:val="18"/>
                <w:szCs w:val="18"/>
                <w:lang w:val="pt-BR"/>
              </w:rPr>
            </w:pPr>
            <w:r>
              <w:rPr>
                <w:b/>
                <w:bCs/>
                <w:sz w:val="18"/>
                <w:szCs w:val="18"/>
                <w:lang w:val="pt-BR"/>
              </w:rPr>
              <w:t>Percentual do Valor Nominal Unitário Atualizado a ser amortizado</w:t>
            </w:r>
          </w:p>
        </w:tc>
      </w:tr>
      <w:tr>
        <w:tc>
          <w:tcPr>
            <w:tcW w:w="1417" w:type="dxa"/>
          </w:tcPr>
          <w:p>
            <w:pPr>
              <w:pStyle w:val="Level3"/>
              <w:numPr>
                <w:ilvl w:val="0"/>
                <w:numId w:val="0"/>
              </w:numPr>
              <w:rPr>
                <w:sz w:val="18"/>
                <w:szCs w:val="18"/>
                <w:lang w:val="pt-BR"/>
              </w:rPr>
            </w:pPr>
            <w:r>
              <w:rPr>
                <w:sz w:val="18"/>
                <w:szCs w:val="18"/>
                <w:lang w:val="pt-BR"/>
              </w:rPr>
              <w:t>1ª</w:t>
            </w:r>
          </w:p>
        </w:tc>
        <w:tc>
          <w:tcPr>
            <w:tcW w:w="3261" w:type="dxa"/>
          </w:tcPr>
          <w:p>
            <w:pPr>
              <w:pStyle w:val="Level3"/>
              <w:numPr>
                <w:ilvl w:val="0"/>
                <w:numId w:val="0"/>
              </w:numPr>
              <w:jc w:val="center"/>
              <w:rPr>
                <w:sz w:val="18"/>
                <w:szCs w:val="18"/>
                <w:lang w:val="pt-BR"/>
              </w:rPr>
            </w:pPr>
            <w:r>
              <w:rPr>
                <w:sz w:val="18"/>
                <w:szCs w:val="18"/>
                <w:lang w:val="pt-BR"/>
              </w:rPr>
              <w:t>[●]</w:t>
            </w:r>
          </w:p>
        </w:tc>
        <w:tc>
          <w:tcPr>
            <w:tcW w:w="3118" w:type="dxa"/>
          </w:tcPr>
          <w:p>
            <w:pPr>
              <w:pStyle w:val="Level3"/>
              <w:numPr>
                <w:ilvl w:val="0"/>
                <w:numId w:val="0"/>
              </w:numPr>
              <w:jc w:val="center"/>
              <w:rPr>
                <w:sz w:val="18"/>
                <w:szCs w:val="18"/>
                <w:lang w:val="pt-BR"/>
              </w:rPr>
            </w:pPr>
            <w:r>
              <w:rPr>
                <w:sz w:val="18"/>
                <w:szCs w:val="18"/>
                <w:lang w:val="pt-BR"/>
              </w:rPr>
              <w:t>33,3300%</w:t>
            </w:r>
          </w:p>
        </w:tc>
      </w:tr>
      <w:tr>
        <w:tc>
          <w:tcPr>
            <w:tcW w:w="1417" w:type="dxa"/>
          </w:tcPr>
          <w:p>
            <w:pPr>
              <w:pStyle w:val="Level3"/>
              <w:numPr>
                <w:ilvl w:val="0"/>
                <w:numId w:val="0"/>
              </w:numPr>
              <w:rPr>
                <w:sz w:val="18"/>
                <w:szCs w:val="18"/>
                <w:lang w:val="pt-BR"/>
              </w:rPr>
            </w:pPr>
            <w:r>
              <w:rPr>
                <w:sz w:val="18"/>
                <w:szCs w:val="18"/>
                <w:lang w:val="pt-BR"/>
              </w:rPr>
              <w:t>2ª</w:t>
            </w:r>
          </w:p>
        </w:tc>
        <w:tc>
          <w:tcPr>
            <w:tcW w:w="3261" w:type="dxa"/>
          </w:tcPr>
          <w:p>
            <w:pPr>
              <w:pStyle w:val="Level3"/>
              <w:numPr>
                <w:ilvl w:val="0"/>
                <w:numId w:val="0"/>
              </w:numPr>
              <w:jc w:val="center"/>
              <w:rPr>
                <w:sz w:val="18"/>
                <w:szCs w:val="18"/>
                <w:lang w:val="pt-BR"/>
              </w:rPr>
            </w:pPr>
            <w:r>
              <w:rPr>
                <w:sz w:val="18"/>
                <w:szCs w:val="18"/>
                <w:lang w:val="pt-BR"/>
              </w:rPr>
              <w:t>[●]</w:t>
            </w:r>
          </w:p>
        </w:tc>
        <w:tc>
          <w:tcPr>
            <w:tcW w:w="3118" w:type="dxa"/>
          </w:tcPr>
          <w:p>
            <w:pPr>
              <w:pStyle w:val="Level3"/>
              <w:numPr>
                <w:ilvl w:val="0"/>
                <w:numId w:val="0"/>
              </w:numPr>
              <w:jc w:val="center"/>
              <w:rPr>
                <w:sz w:val="18"/>
                <w:szCs w:val="18"/>
                <w:lang w:val="pt-BR"/>
              </w:rPr>
            </w:pPr>
            <w:r>
              <w:rPr>
                <w:sz w:val="18"/>
                <w:szCs w:val="18"/>
                <w:lang w:val="pt-BR"/>
              </w:rPr>
              <w:t>50,0000%</w:t>
            </w:r>
          </w:p>
        </w:tc>
      </w:tr>
      <w:tr>
        <w:tc>
          <w:tcPr>
            <w:tcW w:w="1417" w:type="dxa"/>
          </w:tcPr>
          <w:p>
            <w:pPr>
              <w:pStyle w:val="Level3"/>
              <w:numPr>
                <w:ilvl w:val="0"/>
                <w:numId w:val="0"/>
              </w:numPr>
              <w:rPr>
                <w:sz w:val="18"/>
                <w:szCs w:val="18"/>
                <w:lang w:val="pt-BR"/>
              </w:rPr>
            </w:pPr>
            <w:r>
              <w:rPr>
                <w:sz w:val="18"/>
                <w:szCs w:val="18"/>
                <w:lang w:val="pt-BR"/>
              </w:rPr>
              <w:t>3ª</w:t>
            </w:r>
          </w:p>
        </w:tc>
        <w:tc>
          <w:tcPr>
            <w:tcW w:w="3261" w:type="dxa"/>
          </w:tcPr>
          <w:p>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pPr>
              <w:pStyle w:val="Level3"/>
              <w:numPr>
                <w:ilvl w:val="0"/>
                <w:numId w:val="0"/>
              </w:numPr>
              <w:jc w:val="center"/>
              <w:rPr>
                <w:sz w:val="18"/>
                <w:szCs w:val="18"/>
                <w:lang w:val="pt-BR"/>
              </w:rPr>
            </w:pPr>
            <w:r>
              <w:rPr>
                <w:sz w:val="18"/>
                <w:szCs w:val="18"/>
                <w:lang w:val="pt-BR"/>
              </w:rPr>
              <w:t>100,0000%</w:t>
            </w:r>
          </w:p>
        </w:tc>
      </w:tr>
    </w:tbl>
    <w:p>
      <w:pPr>
        <w:pStyle w:val="Level3"/>
        <w:numPr>
          <w:ilvl w:val="0"/>
          <w:numId w:val="0"/>
        </w:numPr>
        <w:ind w:left="1361"/>
        <w:rPr>
          <w:lang w:val="pt-BR"/>
        </w:rPr>
      </w:pPr>
    </w:p>
    <w:p>
      <w:pPr>
        <w:pStyle w:val="Level2"/>
        <w:spacing w:before="140" w:after="0"/>
        <w:rPr>
          <w:b/>
          <w:lang w:val="pt-BR"/>
        </w:rPr>
      </w:pPr>
      <w:r>
        <w:rPr>
          <w:b/>
          <w:lang w:val="pt-BR"/>
        </w:rPr>
        <w:t>Local de Pagamento</w:t>
      </w:r>
    </w:p>
    <w:p>
      <w:pPr>
        <w:pStyle w:val="Level3"/>
        <w:rPr>
          <w:lang w:val="pt-BR"/>
        </w:rPr>
      </w:pPr>
      <w:bookmarkStart w:id="55" w:name="_Ref478482928"/>
      <w:r>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55"/>
    </w:p>
    <w:p>
      <w:pPr>
        <w:pStyle w:val="Level2"/>
        <w:spacing w:before="140" w:after="0"/>
        <w:rPr>
          <w:b/>
          <w:lang w:val="pt-BR"/>
        </w:rPr>
      </w:pPr>
      <w:r>
        <w:rPr>
          <w:b/>
          <w:lang w:val="pt-BR"/>
        </w:rPr>
        <w:t xml:space="preserve">Prorrogação dos Prazos </w:t>
      </w:r>
    </w:p>
    <w:p>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pPr>
        <w:pStyle w:val="Level3"/>
        <w:rPr>
          <w:lang w:val="pt-BR"/>
        </w:rPr>
      </w:pPr>
      <w:r>
        <w:rPr>
          <w:lang w:val="pt-BR"/>
        </w:rPr>
        <w:t>Exceto quando previsto expressamente de modo diverso na presente Escritura de Emissão, entende-se por “</w:t>
      </w:r>
      <w:r>
        <w:rPr>
          <w:b/>
          <w:lang w:val="pt-BR"/>
        </w:rPr>
        <w:t>Dia(s) Útil(eis)</w:t>
      </w:r>
      <w:r>
        <w:rPr>
          <w:lang w:val="pt-BR"/>
        </w:rPr>
        <w:t xml:space="preserve">” (i) com relação a qualquer obrigação realizada por meio da </w:t>
      </w:r>
      <w:r>
        <w:rPr>
          <w:rFonts w:cs="Arial"/>
          <w:lang w:val="pt-BR"/>
        </w:rPr>
        <w:t>B3</w:t>
      </w:r>
      <w:r>
        <w:rPr>
          <w:lang w:val="pt-BR"/>
        </w:rPr>
        <w:t xml:space="preserve">, inclusive para fins de cálculo, qualquer dia que não seja sábado, domingo ou feriado declarado nacional; (ii) com relação a qualquer obrigação realizada por meio da B3, (ii.1) qualquer dia que não seja sábado, domingo ou feriado na cidade de São Paulo ou feriado declarado nacional e (ii.2) aqueles sem expediente na B3; (iii) com relação a qualquer </w:t>
      </w:r>
      <w:r>
        <w:rPr>
          <w:lang w:val="pt-BR"/>
        </w:rPr>
        <w:lastRenderedPageBreak/>
        <w:t xml:space="preserve">obrigação que não seja realizada por meio da </w:t>
      </w:r>
      <w:r>
        <w:rPr>
          <w:rFonts w:cs="Arial"/>
          <w:lang w:val="pt-BR"/>
        </w:rPr>
        <w:t xml:space="preserve">B3 </w:t>
      </w:r>
      <w:r>
        <w:rPr>
          <w:lang w:val="pt-BR"/>
        </w:rPr>
        <w:t xml:space="preserve">ou por meio da B3, qualquer dia no qual haja expediente nos bancos comerciais na Cidade do Rio de Janeiro, Estado do Rio de Janeiro. </w:t>
      </w:r>
      <w:r>
        <w:rPr>
          <w:rFonts w:cs="Arial"/>
          <w:b/>
          <w:bCs/>
          <w:highlight w:val="yellow"/>
          <w:lang w:val="pt-BR"/>
        </w:rPr>
        <w:t>[Nota Lefosse: Redação a ser validada com a ANBIMA]</w:t>
      </w:r>
    </w:p>
    <w:p>
      <w:pPr>
        <w:pStyle w:val="Level2"/>
        <w:spacing w:before="140" w:after="0"/>
        <w:rPr>
          <w:b/>
          <w:lang w:val="pt-BR"/>
        </w:rPr>
      </w:pPr>
      <w:r>
        <w:rPr>
          <w:b/>
          <w:lang w:val="pt-BR"/>
        </w:rPr>
        <w:t>Encargos Moratórios</w:t>
      </w:r>
    </w:p>
    <w:p>
      <w:pPr>
        <w:pStyle w:val="Level3"/>
        <w:spacing w:before="140" w:after="0"/>
        <w:rPr>
          <w:lang w:val="pt-BR"/>
        </w:rPr>
      </w:pPr>
      <w:bookmarkStart w:id="56" w:name="_Ref66119792"/>
      <w:r>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ao mês, desde a data da inadimplência até a data do efetivo pagamento; ambos calculados sobre o montante devido e não pago (“</w:t>
      </w:r>
      <w:r>
        <w:rPr>
          <w:b/>
          <w:lang w:val="pt-BR"/>
        </w:rPr>
        <w:t>Encargos Moratórios</w:t>
      </w:r>
      <w:r>
        <w:rPr>
          <w:lang w:val="pt-BR"/>
        </w:rPr>
        <w:t>”).</w:t>
      </w:r>
      <w:bookmarkEnd w:id="56"/>
      <w:r>
        <w:rPr>
          <w:lang w:val="pt-BR"/>
        </w:rPr>
        <w:t xml:space="preserve"> </w:t>
      </w:r>
    </w:p>
    <w:p>
      <w:pPr>
        <w:pStyle w:val="Level2"/>
        <w:spacing w:before="140" w:after="0"/>
        <w:rPr>
          <w:b/>
          <w:lang w:val="pt-BR"/>
        </w:rPr>
      </w:pPr>
      <w:r>
        <w:rPr>
          <w:b/>
          <w:lang w:val="pt-BR"/>
        </w:rPr>
        <w:t xml:space="preserve">Decadência dos Direitos aos Acréscimos </w:t>
      </w:r>
    </w:p>
    <w:p>
      <w:pPr>
        <w:pStyle w:val="Level3"/>
        <w:spacing w:before="140" w:after="0"/>
        <w:rPr>
          <w:lang w:val="pt-BR"/>
        </w:rPr>
      </w:pPr>
      <w:r>
        <w:rPr>
          <w:lang w:val="pt-BR"/>
        </w:rPr>
        <w:t xml:space="preserve">Sem prejuízo do disposto na Cláusula </w:t>
      </w:r>
      <w:r>
        <w:rPr>
          <w:lang w:val="pt-BR"/>
        </w:rPr>
        <w:fldChar w:fldCharType="begin"/>
      </w:r>
      <w:r>
        <w:rPr>
          <w:lang w:val="pt-BR"/>
        </w:rPr>
        <w:instrText xml:space="preserve"> REF _Ref66119851 \r \h </w:instrText>
      </w:r>
      <w:r>
        <w:rPr>
          <w:lang w:val="pt-BR"/>
        </w:rPr>
      </w:r>
      <w:r>
        <w:rPr>
          <w:lang w:val="pt-BR"/>
        </w:rPr>
        <w:fldChar w:fldCharType="separate"/>
      </w:r>
      <w:r>
        <w:rPr>
          <w:lang w:val="pt-BR"/>
        </w:rPr>
        <w:t>6.18</w:t>
      </w:r>
      <w:r>
        <w:rPr>
          <w:lang w:val="pt-BR"/>
        </w:rPr>
        <w:fldChar w:fldCharType="end"/>
      </w:r>
      <w:r>
        <w:rPr>
          <w:lang w:val="pt-BR"/>
        </w:rPr>
        <w:t xml:space="preserve"> 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pPr>
        <w:pStyle w:val="Level2"/>
        <w:spacing w:before="140" w:after="0"/>
        <w:rPr>
          <w:rFonts w:cs="Arial"/>
          <w:b/>
          <w:lang w:val="pt-BR"/>
        </w:rPr>
      </w:pPr>
      <w:bookmarkStart w:id="57" w:name="_Ref66119851"/>
      <w:r>
        <w:rPr>
          <w:rFonts w:cs="Arial"/>
          <w:b/>
          <w:lang w:val="pt-BR"/>
        </w:rPr>
        <w:t>Repactuação Programada</w:t>
      </w:r>
      <w:bookmarkEnd w:id="57"/>
    </w:p>
    <w:p>
      <w:pPr>
        <w:pStyle w:val="Level3"/>
        <w:spacing w:before="140" w:after="0"/>
        <w:rPr>
          <w:lang w:val="pt-BR"/>
        </w:rPr>
      </w:pPr>
      <w:r>
        <w:rPr>
          <w:rFonts w:cs="Arial"/>
          <w:lang w:val="pt-BR"/>
        </w:rPr>
        <w:t xml:space="preserve">As Debêntures não serão objeto de repactuação programada. </w:t>
      </w:r>
    </w:p>
    <w:p>
      <w:pPr>
        <w:pStyle w:val="Level2"/>
        <w:spacing w:before="140"/>
        <w:rPr>
          <w:b/>
          <w:lang w:val="pt-BR"/>
        </w:rPr>
      </w:pPr>
      <w:bookmarkStart w:id="58" w:name="_Ref420336525"/>
      <w:r>
        <w:rPr>
          <w:b/>
          <w:lang w:val="pt-BR"/>
        </w:rPr>
        <w:t>Publicidade</w:t>
      </w:r>
      <w:bookmarkEnd w:id="58"/>
      <w:r>
        <w:rPr>
          <w:lang w:val="pt-BR"/>
        </w:rPr>
        <w:t xml:space="preserve"> </w:t>
      </w:r>
    </w:p>
    <w:p>
      <w:pPr>
        <w:pStyle w:val="Level3"/>
        <w:rPr>
          <w:rFonts w:cs="Arial"/>
          <w:szCs w:val="20"/>
          <w:lang w:val="pt-BR"/>
        </w:rPr>
      </w:pPr>
      <w:bookmarkStart w:id="59" w:name="_Ref478482311"/>
      <w:r>
        <w:rPr>
          <w:lang w:val="pt-BR"/>
        </w:rPr>
        <w:t xml:space="preserve">Todos os atos e decisões a serem tomados decorrentes desta Emissão que, de qualquer forma, vierem a envolver interesses dos Debenturistas, deverão ser </w:t>
      </w:r>
      <w:r>
        <w:rPr>
          <w:rFonts w:cs="Arial"/>
          <w:szCs w:val="20"/>
          <w:lang w:val="pt-BR"/>
        </w:rPr>
        <w:t xml:space="preserve">obrigatoriamente comunicados na forma de avisos nos Jornais de Publicação </w:t>
      </w:r>
      <w:r>
        <w:rPr>
          <w:lang w:val="pt-BR"/>
        </w:rPr>
        <w:t xml:space="preserve">da Emissora, </w:t>
      </w:r>
      <w:r>
        <w:rPr>
          <w:rFonts w:cs="Arial"/>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rFonts w:cs="Arial"/>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59"/>
    <w:p>
      <w:pPr>
        <w:pStyle w:val="Level2"/>
        <w:spacing w:before="140" w:after="0"/>
        <w:rPr>
          <w:b/>
          <w:bCs/>
          <w:lang w:val="pt-BR"/>
        </w:rPr>
      </w:pPr>
      <w:r>
        <w:rPr>
          <w:b/>
          <w:bCs/>
          <w:lang w:val="pt-BR"/>
        </w:rPr>
        <w:t>Imunidade de Debenturistas da Terceira Série</w:t>
      </w:r>
    </w:p>
    <w:p>
      <w:pPr>
        <w:pStyle w:val="Level3"/>
        <w:spacing w:before="140" w:after="0"/>
        <w:rPr>
          <w:lang w:val="pt-BR"/>
        </w:rPr>
      </w:pPr>
      <w:r>
        <w:rPr>
          <w:lang w:val="pt-BR"/>
        </w:rPr>
        <w:t xml:space="preserve">As Debêntures da Terceira Série gozam do tratamento tributário previsto no artigo 2° da Lei n° 12.431/11. </w:t>
      </w:r>
    </w:p>
    <w:p>
      <w:pPr>
        <w:pStyle w:val="Level3"/>
        <w:spacing w:before="140"/>
        <w:ind w:left="1360" w:hanging="680"/>
        <w:rPr>
          <w:lang w:val="pt-BR"/>
        </w:rPr>
      </w:pPr>
      <w:bookmarkStart w:id="60" w:name="_Ref420335507"/>
      <w:r>
        <w:rPr>
          <w:lang w:val="pt-BR"/>
        </w:rPr>
        <w:t xml:space="preserve">Caso qualquer Debenturista das Debêntures da Terceira Série tenha tratamento tributário diferente daquele previsto na Lei n° 12.431/11, deverá(ão) encaminhar </w:t>
      </w:r>
      <w:r>
        <w:rPr>
          <w:lang w:val="pt-BR"/>
        </w:rPr>
        <w:lastRenderedPageBreak/>
        <w:t>ao Banco Liquidante, no prazo mínimo de 10 (dez) Dias Úteis anteriores à data prevista para recebimento de valores relativos às Debêntures da Terceira Série,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60"/>
      <w:r>
        <w:rPr>
          <w:lang w:val="pt-BR"/>
        </w:rPr>
        <w:t xml:space="preserve"> </w:t>
      </w:r>
    </w:p>
    <w:p>
      <w:pPr>
        <w:pStyle w:val="Level3"/>
        <w:rPr>
          <w:lang w:val="pt-BR"/>
        </w:rPr>
      </w:pPr>
      <w:bookmarkStart w:id="61"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w:t>
      </w:r>
      <w:r>
        <w:rPr>
          <w:highlight w:val="yellow"/>
          <w:lang w:val="pt-BR"/>
        </w:rPr>
        <w:t>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w:t>
      </w:r>
      <w:r>
        <w:rPr>
          <w:lang w:val="pt-BR"/>
        </w:rPr>
        <w:t xml:space="preserve">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 [</w:t>
      </w:r>
      <w:r>
        <w:rPr>
          <w:highlight w:val="yellow"/>
          <w:lang w:val="pt-BR"/>
        </w:rPr>
        <w:t>B3: qualquer pagamento adicional em relação às debêntures deverá ser realizado fora do âmbito da B3</w:t>
      </w:r>
      <w:r>
        <w:rPr>
          <w:lang w:val="pt-BR"/>
        </w:rPr>
        <w:t>]</w:t>
      </w:r>
    </w:p>
    <w:p>
      <w:pPr>
        <w:pStyle w:val="Level3"/>
        <w:spacing w:before="140" w:after="0"/>
        <w:rPr>
          <w:b/>
          <w:lang w:val="pt-BR"/>
        </w:rPr>
      </w:pPr>
      <w:r>
        <w:rPr>
          <w:lang w:val="pt-BR"/>
        </w:rPr>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61"/>
    </w:p>
    <w:p>
      <w:pPr>
        <w:pStyle w:val="Level2"/>
        <w:spacing w:before="140" w:after="0"/>
        <w:rPr>
          <w:b/>
          <w:lang w:val="pt-BR"/>
        </w:rPr>
      </w:pPr>
      <w:r>
        <w:rPr>
          <w:b/>
          <w:lang w:val="pt-BR"/>
        </w:rPr>
        <w:t>Classificação de Risco</w:t>
      </w:r>
    </w:p>
    <w:p>
      <w:pPr>
        <w:pStyle w:val="Level3"/>
        <w:spacing w:before="140" w:after="0"/>
        <w:rPr>
          <w:lang w:val="pt-BR"/>
        </w:rPr>
      </w:pPr>
      <w:r>
        <w:rPr>
          <w:lang w:val="pt-BR"/>
        </w:rPr>
        <w:t>Foi contratada como agência de classificação de risco das Debêntures a [Fitch Ratings Brasil Ltda. Moody’s América Latina Ltda]. (“</w:t>
      </w:r>
      <w:r>
        <w:rPr>
          <w:b/>
          <w:lang w:val="pt-BR"/>
        </w:rPr>
        <w:t>Agência de Classificação de Risco</w:t>
      </w:r>
      <w:r>
        <w:rPr>
          <w:lang w:val="pt-BR"/>
        </w:rPr>
        <w:t>”). Durante o prazo de vigência das Debêntures, a Emissora deverá manter contratada a Agência de Classificação de Risco para a atualização da classificação de risco (</w:t>
      </w:r>
      <w:r>
        <w:rPr>
          <w:i/>
          <w:lang w:val="pt-BR"/>
        </w:rPr>
        <w:t>rating</w:t>
      </w:r>
      <w:r>
        <w:rPr>
          <w:lang w:val="pt-BR"/>
        </w:rPr>
        <w:t xml:space="preserve">) das Debêntures, sendo que, caso a Emissora deseje alterar, a qualquer tempo, a Agência de Classificação de Risco, ou a Agência de Classificação de Risco cesse suas atividades no Brasil ou, por </w:t>
      </w:r>
      <w:r>
        <w:rPr>
          <w:lang w:val="pt-BR"/>
        </w:rPr>
        <w:lastRenderedPageBreak/>
        <w:t xml:space="preserve">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 [</w:t>
      </w:r>
      <w:r>
        <w:rPr>
          <w:bCs/>
          <w:highlight w:val="yellow"/>
          <w:lang w:val="pt-BR"/>
        </w:rPr>
        <w:t>Nota PNA: em contratação</w:t>
      </w:r>
      <w:r>
        <w:rPr>
          <w:lang w:val="pt-BR"/>
        </w:rPr>
        <w:t>]</w:t>
      </w:r>
    </w:p>
    <w:p>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pPr>
        <w:pStyle w:val="Level2"/>
        <w:rPr>
          <w:b/>
          <w:lang w:val="pt-BR"/>
        </w:rPr>
      </w:pPr>
      <w:r>
        <w:rPr>
          <w:b/>
          <w:lang w:val="pt-BR"/>
        </w:rPr>
        <w:t>Amortização Antecipada Extraordinária</w:t>
      </w:r>
    </w:p>
    <w:p>
      <w:pPr>
        <w:pStyle w:val="Level3"/>
        <w:spacing w:before="240"/>
        <w:rPr>
          <w:lang w:val="pt-BR"/>
        </w:rPr>
      </w:pPr>
      <w:r>
        <w:rPr>
          <w:lang w:val="pt-BR"/>
        </w:rPr>
        <w:t>As Debêntures não estão sujeitas à amortização antecipada extraordinária.</w:t>
      </w:r>
    </w:p>
    <w:p>
      <w:pPr>
        <w:pStyle w:val="Level2"/>
        <w:rPr>
          <w:b/>
          <w:lang w:val="pt-BR"/>
        </w:rPr>
      </w:pPr>
      <w:r>
        <w:rPr>
          <w:b/>
          <w:lang w:val="pt-BR"/>
        </w:rPr>
        <w:t>Resgate Antecipado Facultativo</w:t>
      </w:r>
    </w:p>
    <w:p>
      <w:pPr>
        <w:pStyle w:val="Level3"/>
        <w:rPr>
          <w:lang w:val="pt-BR"/>
        </w:rPr>
      </w:pPr>
      <w:r>
        <w:rPr>
          <w:lang w:val="pt-BR"/>
        </w:rPr>
        <w:t>As Debêntures não estão sujeitas ao resgate antecipado facultativo total ou parcial.</w:t>
      </w:r>
    </w:p>
    <w:p>
      <w:pPr>
        <w:pStyle w:val="Level2"/>
        <w:spacing w:before="140" w:after="0"/>
        <w:rPr>
          <w:b/>
          <w:lang w:val="pt-BR"/>
        </w:rPr>
      </w:pPr>
      <w:r>
        <w:rPr>
          <w:b/>
          <w:lang w:val="pt-BR"/>
        </w:rPr>
        <w:t xml:space="preserve">Aquisição Facultativa das Debêntures </w:t>
      </w:r>
    </w:p>
    <w:p>
      <w:pPr>
        <w:pStyle w:val="Level3"/>
        <w:spacing w:before="140" w:after="0"/>
        <w:rPr>
          <w:lang w:val="pt-BR"/>
        </w:rPr>
      </w:pPr>
      <w:bookmarkStart w:id="62" w:name="_Ref66091397"/>
      <w:r>
        <w:rPr>
          <w:rFonts w:cs="Arial"/>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 a</w:t>
      </w:r>
      <w:r>
        <w:rPr>
          <w:lang w:val="pt-BR"/>
        </w:rPr>
        <w:t>pós transcorridos 2 (dois) anos a contar da Data de Emissão para as Debêntures da Terceira Série  </w:t>
      </w:r>
      <w:r>
        <w:rPr>
          <w:snapToGrid w:val="0"/>
          <w:lang w:val="pt-BR"/>
        </w:rPr>
        <w:t>(ou prazo inferior, que venha a ser autorizado pela legislação e/ou regulamentação aplicáveis às debêntures de que trata o artigo 2º da Lei nº 12.431/11)</w:t>
      </w:r>
      <w:r>
        <w:rPr>
          <w:lang w:val="pt-BR"/>
        </w:rPr>
        <w:t>, e</w:t>
      </w:r>
      <w:r>
        <w:rPr>
          <w:rFonts w:ascii="Calibri" w:hAnsi="Calibri"/>
          <w:color w:val="000000"/>
          <w:sz w:val="22"/>
          <w:szCs w:val="22"/>
          <w:lang w:val="pt-BR"/>
        </w:rPr>
        <w:t xml:space="preserve"> </w:t>
      </w:r>
      <w:r>
        <w:rPr>
          <w:lang w:val="pt-BR"/>
        </w:rPr>
        <w:t>observado disposto nos incisos I e II do parágrafo 1º do artigo 1º da Lei nº 12.431/11),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62"/>
      <w:r>
        <w:rPr>
          <w:lang w:val="pt-BR"/>
        </w:rPr>
        <w:t xml:space="preserve"> </w:t>
      </w:r>
    </w:p>
    <w:p>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pPr>
        <w:pStyle w:val="Level3"/>
        <w:numPr>
          <w:ilvl w:val="0"/>
          <w:numId w:val="0"/>
        </w:numPr>
        <w:spacing w:before="140"/>
        <w:ind w:left="1360"/>
        <w:rPr>
          <w:lang w:val="pt-BR"/>
        </w:rPr>
      </w:pPr>
      <w:r>
        <w:rPr>
          <w:lang w:val="pt-BR"/>
        </w:rPr>
        <w:lastRenderedPageBreak/>
        <w:t>[</w:t>
      </w:r>
      <w:r>
        <w:rPr>
          <w:highlight w:val="yellow"/>
          <w:lang w:val="pt-BR"/>
        </w:rPr>
        <w:t>Nota PNA: Favor prever amortização antecipada facultativa, resgate antecipado facultativo e oferta de resgate antecipado facultativo conforme 6ª emissão e outras da Companhia]</w:t>
      </w:r>
      <w:r>
        <w:rPr>
          <w:lang w:val="pt-BR"/>
        </w:rPr>
        <w:t xml:space="preserve"> </w:t>
      </w:r>
    </w:p>
    <w:p>
      <w:pPr>
        <w:pStyle w:val="Level1"/>
      </w:pPr>
      <w:bookmarkStart w:id="63" w:name="_DV_M121"/>
      <w:bookmarkStart w:id="64" w:name="_DV_M122"/>
      <w:bookmarkStart w:id="65" w:name="_DV_M123"/>
      <w:bookmarkStart w:id="66" w:name="_DV_M124"/>
      <w:bookmarkStart w:id="67" w:name="_DV_M125"/>
      <w:bookmarkStart w:id="68" w:name="_DV_M126"/>
      <w:bookmarkStart w:id="69" w:name="_DV_M127"/>
      <w:bookmarkStart w:id="70" w:name="_DV_M128"/>
      <w:bookmarkStart w:id="71" w:name="_DV_M129"/>
      <w:bookmarkStart w:id="72" w:name="_DV_M130"/>
      <w:bookmarkStart w:id="73" w:name="_DV_M131"/>
      <w:bookmarkStart w:id="74" w:name="_DV_M132"/>
      <w:bookmarkStart w:id="75" w:name="_DV_M133"/>
      <w:bookmarkStart w:id="76" w:name="_DV_M134"/>
      <w:bookmarkStart w:id="77" w:name="_DV_M135"/>
      <w:bookmarkStart w:id="78" w:name="_DV_M136"/>
      <w:bookmarkStart w:id="79" w:name="_DV_M137"/>
      <w:bookmarkStart w:id="80" w:name="_DV_M139"/>
      <w:bookmarkStart w:id="81" w:name="_DV_M140"/>
      <w:bookmarkStart w:id="82" w:name="_DV_M141"/>
      <w:bookmarkStart w:id="83" w:name="_DV_M142"/>
      <w:bookmarkStart w:id="84" w:name="_DV_M143"/>
      <w:bookmarkStart w:id="85" w:name="_DV_M144"/>
      <w:bookmarkStart w:id="86" w:name="_DV_M145"/>
      <w:bookmarkStart w:id="87" w:name="_DV_M146"/>
      <w:bookmarkStart w:id="88" w:name="_DV_M147"/>
      <w:bookmarkStart w:id="89" w:name="_DV_M148"/>
      <w:bookmarkStart w:id="90" w:name="_DV_M149"/>
      <w:bookmarkStart w:id="91" w:name="_DV_M150"/>
      <w:bookmarkStart w:id="92" w:name="_DV_M151"/>
      <w:bookmarkStart w:id="93" w:name="_DV_M152"/>
      <w:bookmarkStart w:id="94" w:name="_DV_M153"/>
      <w:bookmarkStart w:id="95" w:name="_DV_M154"/>
      <w:bookmarkStart w:id="96" w:name="_DV_M155"/>
      <w:bookmarkStart w:id="97" w:name="_DV_M156"/>
      <w:bookmarkStart w:id="98" w:name="_DV_M157"/>
      <w:bookmarkStart w:id="99" w:name="_DV_M158"/>
      <w:bookmarkStart w:id="100" w:name="_DV_M159"/>
      <w:bookmarkStart w:id="101" w:name="_DV_M160"/>
      <w:bookmarkStart w:id="102" w:name="_DV_M161"/>
      <w:bookmarkStart w:id="103" w:name="_DV_M162"/>
      <w:bookmarkStart w:id="104" w:name="_DV_M163"/>
      <w:bookmarkStart w:id="105" w:name="_DV_M164"/>
      <w:bookmarkStart w:id="106" w:name="_DV_M165"/>
      <w:bookmarkStart w:id="107" w:name="_Ref47509114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VENCIMENTO ANTECIPADO</w:t>
      </w:r>
      <w:bookmarkEnd w:id="107"/>
      <w:r>
        <w:t xml:space="preserve"> </w:t>
      </w:r>
    </w:p>
    <w:p>
      <w:pPr>
        <w:pStyle w:val="Level2"/>
        <w:spacing w:before="140" w:after="0"/>
        <w:rPr>
          <w:lang w:val="pt-BR"/>
        </w:rPr>
      </w:pPr>
      <w:bookmarkStart w:id="108" w:name="_DV_M268"/>
      <w:bookmarkStart w:id="109" w:name="_Ref392008548"/>
      <w:bookmarkEnd w:id="108"/>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109"/>
      <w:r>
        <w:rPr>
          <w:lang w:val="pt-BR"/>
        </w:rPr>
        <w:t xml:space="preserve"> </w:t>
      </w:r>
    </w:p>
    <w:p>
      <w:pPr>
        <w:pStyle w:val="Level3"/>
        <w:tabs>
          <w:tab w:val="clear" w:pos="1361"/>
        </w:tabs>
        <w:spacing w:before="140"/>
        <w:ind w:left="1417" w:hanging="680"/>
        <w:rPr>
          <w:lang w:val="pt-BR"/>
        </w:rPr>
      </w:pPr>
      <w:bookmarkStart w:id="110" w:name="_Ref416256173"/>
      <w:bookmarkStart w:id="111" w:name="_Ref398913061"/>
      <w:r>
        <w:rPr>
          <w:lang w:val="pt-BR"/>
        </w:rPr>
        <w:t xml:space="preserve">Constituem Eventos de Vencimento Antecipado que acarretam o vencimento automático das obrigações decorrentes desta Escritura de Emissão, aplicando-se o disposto na </w:t>
      </w:r>
      <w:r>
        <w:rPr>
          <w:rFonts w:cs="Arial"/>
          <w:szCs w:val="20"/>
          <w:lang w:val="pt-BR"/>
        </w:rPr>
        <w:t xml:space="preserve">Cláusula </w:t>
      </w:r>
      <w:r>
        <w:rPr>
          <w:lang w:val="pt-BR"/>
        </w:rPr>
        <w:fldChar w:fldCharType="begin"/>
      </w:r>
      <w:r>
        <w:rPr>
          <w:rFonts w:cs="Arial"/>
          <w:szCs w:val="20"/>
          <w:lang w:val="pt-BR"/>
        </w:rPr>
        <w:instrText xml:space="preserve"> REF _Ref475654684 \r \p \h </w:instrText>
      </w:r>
      <w:r>
        <w:rPr>
          <w:lang w:val="pt-BR"/>
        </w:rPr>
      </w:r>
      <w:r>
        <w:rPr>
          <w:lang w:val="pt-BR"/>
        </w:rPr>
        <w:fldChar w:fldCharType="separate"/>
      </w:r>
      <w:r>
        <w:rPr>
          <w:rFonts w:cs="Arial"/>
          <w:szCs w:val="20"/>
          <w:lang w:val="pt-BR"/>
        </w:rPr>
        <w:t>7.2 abaixo</w:t>
      </w:r>
      <w:r>
        <w:rPr>
          <w:lang w:val="pt-BR"/>
        </w:rPr>
        <w:fldChar w:fldCharType="end"/>
      </w:r>
      <w:r>
        <w:rPr>
          <w:lang w:val="pt-BR"/>
        </w:rPr>
        <w:t>:</w:t>
      </w:r>
      <w:bookmarkEnd w:id="110"/>
      <w:bookmarkEnd w:id="111"/>
    </w:p>
    <w:p>
      <w:pPr>
        <w:pStyle w:val="Level4"/>
        <w:tabs>
          <w:tab w:val="clear" w:pos="2041"/>
          <w:tab w:val="num" w:pos="2098"/>
        </w:tabs>
        <w:ind w:left="2097"/>
        <w:rPr>
          <w:noProof/>
          <w:lang w:val="pt-BR"/>
        </w:rPr>
      </w:pPr>
      <w:r>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Pr>
          <w:lang w:val="pt-BR"/>
        </w:rPr>
        <w:t>, sem prejuízo do pagamento dos Encargos Moratórios pela Emissora</w:t>
      </w:r>
      <w:r>
        <w:rPr>
          <w:noProof/>
          <w:lang w:val="pt-BR"/>
        </w:rPr>
        <w:t>;</w:t>
      </w:r>
    </w:p>
    <w:p>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pPr>
        <w:pStyle w:val="Level4"/>
        <w:tabs>
          <w:tab w:val="clear" w:pos="2041"/>
          <w:tab w:val="num" w:pos="2098"/>
        </w:tabs>
        <w:ind w:left="2097"/>
        <w:rPr>
          <w:noProof/>
          <w:lang w:val="pt-BR"/>
        </w:rPr>
      </w:pPr>
      <w:r>
        <w:rPr>
          <w:noProof/>
          <w:lang w:val="pt-BR"/>
        </w:rPr>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pPr>
        <w:pStyle w:val="Level4"/>
        <w:tabs>
          <w:tab w:val="clear" w:pos="2041"/>
          <w:tab w:val="num" w:pos="2098"/>
        </w:tabs>
        <w:ind w:left="2097"/>
        <w:rPr>
          <w:lang w:val="pt-BR"/>
        </w:rPr>
      </w:pPr>
      <w:r>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w:t>
      </w:r>
      <w:r>
        <w:rPr>
          <w:lang w:val="pt-BR"/>
        </w:rPr>
        <w:lastRenderedPageBreak/>
        <w:t xml:space="preserve">S.A.; (f) Brasnorte Transmissora de Energia S/A e </w:t>
      </w:r>
      <w:r>
        <w:rPr>
          <w:bCs/>
          <w:lang w:val="pt-BR"/>
        </w:rPr>
        <w:t>(g)</w:t>
      </w:r>
      <w:r>
        <w:rPr>
          <w:lang w:val="pt-BR"/>
        </w:rPr>
        <w:t> Sant’Ana Transmissora de Energia S.A. (“</w:t>
      </w:r>
      <w:r>
        <w:rPr>
          <w:b/>
          <w:lang w:val="pt-BR"/>
        </w:rPr>
        <w:t>Subsidiárias Relevantes</w:t>
      </w:r>
      <w:r>
        <w:rPr>
          <w:lang w:val="pt-BR"/>
        </w:rPr>
        <w:t xml:space="preserve">”); e </w:t>
      </w:r>
    </w:p>
    <w:p>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pPr>
        <w:pStyle w:val="Level3"/>
        <w:rPr>
          <w:lang w:val="pt-BR"/>
        </w:rPr>
      </w:pPr>
      <w:bookmarkStart w:id="112" w:name="_Ref479844251"/>
      <w:r>
        <w:rPr>
          <w:lang w:val="pt-BR"/>
        </w:rPr>
        <w:t xml:space="preserve">Constituem Eventos de Vencimento Antecipado não automático que podem acarretar o vencimento das obrigações decorrentes das Debêntures, aplicando-se o disposto na </w:t>
      </w:r>
      <w:r>
        <w:rPr>
          <w:rFonts w:cs="Arial"/>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abaixo, quaisquer dos seguintes eventos:</w:t>
      </w:r>
      <w:bookmarkEnd w:id="112"/>
    </w:p>
    <w:p>
      <w:pPr>
        <w:pStyle w:val="Level4"/>
        <w:rPr>
          <w:lang w:val="pt-BR"/>
        </w:rPr>
      </w:pPr>
      <w:bookmarkStart w:id="113" w:name="_Ref459799550"/>
      <w:r>
        <w:rPr>
          <w:lang w:val="pt-BR"/>
        </w:rPr>
        <w:t>transferência ou qualquer forma de cessão ou promessa de cessão a terceiros, pela Emissora, das obrigações assumidas nesta Escritura de Emissão;</w:t>
      </w:r>
    </w:p>
    <w:p>
      <w:pPr>
        <w:pStyle w:val="Level4"/>
        <w:rPr>
          <w:noProof/>
          <w:lang w:val="pt-BR"/>
        </w:rPr>
      </w:pPr>
      <w:r>
        <w:rPr>
          <w:lang w:val="pt-BR"/>
        </w:rPr>
        <w:t>se for verificada a invalidade, nulidade ou inexequibilidade desta Escritura de Emissão, por meio de decisão judicial transitada em julgado;</w:t>
      </w:r>
      <w:bookmarkEnd w:id="113"/>
    </w:p>
    <w:p>
      <w:pPr>
        <w:pStyle w:val="Level4"/>
        <w:rPr>
          <w:noProof/>
          <w:lang w:val="pt-BR"/>
        </w:rPr>
      </w:pPr>
      <w:r>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pPr>
        <w:pStyle w:val="Level4"/>
        <w:rPr>
          <w:noProof/>
          <w:lang w:val="pt-BR"/>
        </w:rPr>
      </w:pPr>
      <w:r>
        <w:rPr>
          <w:noProof/>
          <w:lang w:val="pt-BR"/>
        </w:rPr>
        <w:t xml:space="preserve">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pPr>
        <w:pStyle w:val="Level4"/>
        <w:rPr>
          <w:noProof/>
          <w:lang w:val="pt-BR"/>
        </w:rPr>
      </w:pPr>
      <w:r>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Pr>
          <w:rFonts w:cs="Arial"/>
          <w:bCs/>
          <w:lang w:val="pt-BR"/>
        </w:rPr>
        <w:t>Lei n° 12.431/11</w:t>
      </w:r>
      <w:r>
        <w:rPr>
          <w:noProof/>
          <w:lang w:val="pt-BR"/>
        </w:rPr>
        <w:t>:</w:t>
      </w:r>
      <w:r>
        <w:rPr>
          <w:b/>
          <w:bCs/>
          <w:noProof/>
          <w:lang w:val="pt-BR"/>
        </w:rPr>
        <w:t xml:space="preserve"> </w:t>
      </w:r>
    </w:p>
    <w:p>
      <w:pPr>
        <w:pStyle w:val="Level5"/>
        <w:rPr>
          <w:lang w:val="pt-BR"/>
        </w:rPr>
      </w:pPr>
      <w:r>
        <w:rPr>
          <w:lang w:val="pt-BR"/>
        </w:rPr>
        <w:lastRenderedPageBreak/>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p>
    <w:p>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pPr>
        <w:pStyle w:val="Level5"/>
        <w:numPr>
          <w:ilvl w:val="0"/>
          <w:numId w:val="0"/>
        </w:numPr>
        <w:ind w:left="2721" w:hanging="736"/>
        <w:rPr>
          <w:lang w:val="pt-BR"/>
        </w:rPr>
      </w:pPr>
      <w:r>
        <w:rPr>
          <w:lang w:val="pt-BR"/>
        </w:rPr>
        <w:t>(c)</w:t>
      </w:r>
      <w:r>
        <w:rPr>
          <w:lang w:val="pt-BR"/>
        </w:rPr>
        <w:tab/>
        <w:t>se a operação não ocasionar redução de capital da Emissora; ou</w:t>
      </w:r>
    </w:p>
    <w:p>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r>
        <w:rPr>
          <w:noProof/>
          <w:lang w:val="pt-BR"/>
        </w:rPr>
        <w:t>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w:t>
      </w:r>
    </w:p>
    <w:p>
      <w:pPr>
        <w:pStyle w:val="Level4"/>
        <w:rPr>
          <w:noProof/>
          <w:lang w:val="pt-BR"/>
        </w:rPr>
      </w:pPr>
      <w:r>
        <w:rPr>
          <w:noProof/>
          <w:lang w:val="pt-BR"/>
        </w:rPr>
        <w:t xml:space="preserve">perda ou cancelamento do registro de companhia aberta da Emissora na CVM; </w:t>
      </w:r>
    </w:p>
    <w:p>
      <w:pPr>
        <w:pStyle w:val="Level4"/>
        <w:rPr>
          <w:noProof/>
          <w:lang w:val="pt-BR"/>
        </w:rPr>
      </w:pPr>
      <w:r>
        <w:rPr>
          <w:noProof/>
          <w:lang w:val="pt-BR"/>
        </w:rPr>
        <w:t>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2020; ou (2) se devidamente indicados no Formulário de Referência (conforme definido abaixo);</w:t>
      </w:r>
    </w:p>
    <w:p>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pPr>
        <w:pStyle w:val="Level4"/>
        <w:rPr>
          <w:noProof/>
          <w:lang w:val="pt-BR"/>
        </w:rPr>
      </w:pPr>
      <w:r>
        <w:rPr>
          <w:lang w:val="pt-BR"/>
        </w:rPr>
        <w:t xml:space="preserve">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w:t>
      </w:r>
      <w:r>
        <w:rPr>
          <w:lang w:val="pt-BR"/>
        </w:rPr>
        <w:lastRenderedPageBreak/>
        <w:t>respectiva participação societária, desde que ISA ou CEMIG permaneçam no controle da Emissora;</w:t>
      </w:r>
    </w:p>
    <w:p>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pPr>
        <w:pStyle w:val="Level2"/>
        <w:spacing w:before="140" w:after="0"/>
        <w:rPr>
          <w:rFonts w:cs="Arial"/>
          <w:szCs w:val="20"/>
          <w:lang w:val="pt-BR"/>
        </w:rPr>
      </w:pPr>
      <w:bookmarkStart w:id="114" w:name="_Ref391996822"/>
      <w:bookmarkStart w:id="115"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Pr>
          <w:lang w:val="pt-BR"/>
        </w:rPr>
        <w:t>6.10.3</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Pr>
          <w:lang w:val="pt-BR"/>
        </w:rPr>
        <w:t>6.10.5</w:t>
      </w:r>
      <w:r>
        <w:rPr>
          <w:lang w:val="pt-BR"/>
        </w:rPr>
        <w:fldChar w:fldCharType="end"/>
      </w:r>
      <w:r>
        <w:rPr>
          <w:lang w:val="pt-BR"/>
        </w:rPr>
        <w:t>.</w:t>
      </w:r>
    </w:p>
    <w:p>
      <w:pPr>
        <w:pStyle w:val="Level2"/>
        <w:spacing w:before="140" w:after="0"/>
        <w:rPr>
          <w:rFonts w:cs="Arial"/>
          <w:szCs w:val="20"/>
          <w:lang w:val="pt-BR"/>
        </w:rPr>
      </w:pPr>
      <w:r>
        <w:rPr>
          <w:lang w:val="pt-BR"/>
        </w:rPr>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114"/>
      <w:bookmarkEnd w:id="115"/>
      <w:r>
        <w:rPr>
          <w:lang w:val="pt-BR"/>
        </w:rPr>
        <w:t xml:space="preserve"> </w:t>
      </w:r>
    </w:p>
    <w:p>
      <w:pPr>
        <w:pStyle w:val="Level2"/>
        <w:spacing w:before="140" w:after="0"/>
        <w:rPr>
          <w:lang w:val="pt-BR"/>
        </w:rPr>
      </w:pPr>
      <w:bookmarkStart w:id="116"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 a se realizar nos prazos e demais condições descritas na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para deliberar sobre a eventual não decretação de vencimento antecipado das obrigações decorrentes das Debêntures, nos termos desta Escritura de Emissão.</w:t>
      </w:r>
      <w:bookmarkEnd w:id="116"/>
    </w:p>
    <w:p>
      <w:pPr>
        <w:pStyle w:val="Level2"/>
        <w:spacing w:before="140" w:after="0"/>
        <w:rPr>
          <w:lang w:val="pt-BR"/>
        </w:rPr>
      </w:pPr>
      <w:bookmarkStart w:id="117" w:name="_Ref392008629"/>
      <w:r>
        <w:rPr>
          <w:lang w:val="pt-BR"/>
        </w:rPr>
        <w:t xml:space="preserve">Na Assembleia Geral de Debenturistas de que trata a </w:t>
      </w:r>
      <w:r>
        <w:rPr>
          <w:rFonts w:cs="Arial"/>
          <w:szCs w:val="20"/>
          <w:lang w:val="pt-BR"/>
        </w:rPr>
        <w:t>Cláusula</w:t>
      </w:r>
      <w:r>
        <w:rPr>
          <w:lang w:val="pt-BR"/>
        </w:rPr>
        <w:t xml:space="preserve">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(a) os Debenturistas das Debêntures da Primeira Série representando, no mínimo, 2/3 (dois terços) mais uma das respectivas Debêntures em Circulação, reunidos em primeira ou segunda convocação; (b) os Debenturistas das Debêntures da Segunda Série representando, no mínimo, 2/3 (dois terços) mais uma das respectivas Debêntures em Circulação, reunidos em primeira ou segunda convocação; e (c) os Debenturistas da Terceira Série representando, no mínimo, </w:t>
      </w:r>
      <w:r>
        <w:rPr>
          <w:b/>
          <w:lang w:val="pt-BR"/>
        </w:rPr>
        <w:t>(i)</w:t>
      </w:r>
      <w:r>
        <w:rPr>
          <w:lang w:val="pt-BR"/>
        </w:rPr>
        <w:t xml:space="preserve"> </w:t>
      </w:r>
      <w:bookmarkEnd w:id="117"/>
      <w:r>
        <w:rPr>
          <w:lang w:val="pt-BR"/>
        </w:rPr>
        <w:t xml:space="preserve">50% (cinquenta por cento) mais uma das Debêntures em Circulação em primeira convocação, e </w:t>
      </w:r>
      <w:r>
        <w:rPr>
          <w:b/>
          <w:lang w:val="pt-BR"/>
        </w:rPr>
        <w:t>(ii)</w:t>
      </w:r>
      <w:r>
        <w:rPr>
          <w:lang w:val="pt-BR"/>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Pr>
          <w:b/>
          <w:lang w:val="pt-BR"/>
        </w:rPr>
        <w:t xml:space="preserve"> </w:t>
      </w:r>
    </w:p>
    <w:p>
      <w:pPr>
        <w:pStyle w:val="Level2"/>
        <w:spacing w:before="140" w:after="0"/>
        <w:rPr>
          <w:lang w:val="pt-BR"/>
        </w:rPr>
      </w:pPr>
      <w:bookmarkStart w:id="118" w:name="_Ref416258031"/>
      <w:bookmarkStart w:id="119"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ou </w:t>
      </w:r>
      <w:r>
        <w:rPr>
          <w:b/>
          <w:lang w:val="pt-BR"/>
        </w:rPr>
        <w:t>(iii)</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o Agente Fiduciário não </w:t>
      </w:r>
      <w:r>
        <w:rPr>
          <w:lang w:val="pt-BR"/>
        </w:rPr>
        <w:lastRenderedPageBreak/>
        <w:t>deverá declarar o vencimento antecipado de todas as obrigações decorrentes das Debêntures, nos termos desta Escritura de Emissão.</w:t>
      </w:r>
      <w:bookmarkEnd w:id="118"/>
      <w:bookmarkEnd w:id="119"/>
      <w:r>
        <w:rPr>
          <w:lang w:val="pt-BR"/>
        </w:rPr>
        <w:t xml:space="preserve"> </w:t>
      </w:r>
    </w:p>
    <w:p>
      <w:pPr>
        <w:pStyle w:val="Level2"/>
        <w:spacing w:before="140" w:after="0"/>
        <w:rPr>
          <w:lang w:val="pt-BR"/>
        </w:rPr>
      </w:pPr>
      <w:bookmarkStart w:id="120" w:name="_Ref420336801"/>
      <w:bookmarkStart w:id="121" w:name="_Ref474506393"/>
      <w:bookmarkStart w:id="122"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w:instrText>
      </w:r>
      <w:r>
        <w:rPr>
          <w:highlight w:val="green"/>
          <w:lang w:val="pt-BR"/>
        </w:rPr>
        <w:instrText xml:space="preserve"> \* MERGEFORMAT </w:instrText>
      </w:r>
      <w:r>
        <w:rPr>
          <w:lang w:val="pt-BR"/>
        </w:rPr>
      </w:r>
      <w:r>
        <w:rPr>
          <w:lang w:val="pt-BR"/>
        </w:rPr>
        <w:fldChar w:fldCharType="separate"/>
      </w:r>
      <w:r>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20"/>
      <w:bookmarkEnd w:id="121"/>
      <w:r>
        <w:rPr>
          <w:lang w:val="pt-BR"/>
        </w:rPr>
        <w:t xml:space="preserve"> </w:t>
      </w:r>
    </w:p>
    <w:p>
      <w:pPr>
        <w:pStyle w:val="Level2"/>
        <w:spacing w:before="140"/>
        <w:rPr>
          <w:lang w:val="pt-BR"/>
        </w:rPr>
      </w:pPr>
      <w:r>
        <w:rPr>
          <w:lang w:val="pt-BR"/>
        </w:rPr>
        <w:t xml:space="preserve">Em caso de declaração do vencimento antecipado das obrigações decorrentes das Debêntures, a Emissora obriga-se a pagar a totalidade das Debêntures,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pPr>
        <w:pStyle w:val="Level3"/>
        <w:spacing w:before="140"/>
        <w:ind w:left="1360" w:hanging="680"/>
        <w:rPr>
          <w:lang w:val="pt-BR"/>
        </w:rPr>
      </w:pPr>
      <w:bookmarkStart w:id="123" w:name="_Ref475086917"/>
      <w:r>
        <w:rPr>
          <w:lang w:val="pt-BR"/>
        </w:rPr>
        <w:t xml:space="preserve">No caso de declaração de vencimento antecipado, o pagamento deverá ser realizado, fora do âmbito da B3, em até 2 (dois) Dias Úteis contados da data em que for declarado o vencimento antecipado das obrigações decorrentes das Debêntures, mediante comunicação por escrito a ser enviada pelo Agente Fiduciário à Emissora (i) por meio de correio eletrônico na data da declaração de 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w:instrText>
      </w:r>
      <w:r>
        <w:rPr>
          <w:lang w:val="pt-BR"/>
        </w:rPr>
      </w:r>
      <w:r>
        <w:rPr>
          <w:lang w:val="pt-BR"/>
        </w:rPr>
        <w:fldChar w:fldCharType="separate"/>
      </w:r>
      <w:r>
        <w:rPr>
          <w:lang w:val="pt-BR"/>
        </w:rPr>
        <w:t>13</w:t>
      </w:r>
      <w:r>
        <w:rPr>
          <w:lang w:val="pt-BR"/>
        </w:rPr>
        <w:fldChar w:fldCharType="end"/>
      </w:r>
      <w:r>
        <w:rPr>
          <w:lang w:val="pt-BR"/>
        </w:rPr>
        <w:t xml:space="preserve"> desta Escritura de Emissão, sob pena de, no caso de não realização do pagamento, ficar obrigada, ainda, ao pagamento dos Encargos Moratórios.</w:t>
      </w:r>
      <w:bookmarkEnd w:id="122"/>
      <w:bookmarkEnd w:id="123"/>
    </w:p>
    <w:p>
      <w:pPr>
        <w:pStyle w:val="Level3"/>
        <w:spacing w:before="140"/>
        <w:ind w:left="1360" w:hanging="680"/>
        <w:rPr>
          <w:lang w:val="pt-BR"/>
        </w:rPr>
      </w:pPr>
      <w:r>
        <w:rPr>
          <w:lang w:val="pt-BR"/>
        </w:rPr>
        <w:t>Caso o pagamento da totalidade das Debêntures previsto na Cláusula 7.8.1 acima seja realizado por meio da B3, a Emissora deverá comunicar a B3, por meio de correspondência em conjunto com o Agente Fiduciário, sobre o tal pagamento, com, no mínimo, 3 (três) Dias Úteis de antecedência da data estipulada para a sua realização.</w:t>
      </w:r>
    </w:p>
    <w:p>
      <w:pPr>
        <w:pStyle w:val="Level1"/>
        <w:keepNext w:val="0"/>
        <w:spacing w:before="140" w:after="0"/>
        <w:jc w:val="left"/>
      </w:pPr>
      <w:bookmarkStart w:id="124" w:name="_DV_M194"/>
      <w:bookmarkEnd w:id="124"/>
      <w:r>
        <w:t>CARACTERÍSTICAS DA OFERTA</w:t>
      </w:r>
    </w:p>
    <w:p>
      <w:pPr>
        <w:pStyle w:val="Level2"/>
        <w:spacing w:before="140" w:after="0"/>
        <w:rPr>
          <w:b/>
          <w:lang w:val="pt-BR"/>
        </w:rPr>
      </w:pPr>
      <w:r>
        <w:rPr>
          <w:b/>
          <w:lang w:val="pt-BR"/>
        </w:rPr>
        <w:t xml:space="preserve">Colocação e Procedimento de Distribuição </w:t>
      </w:r>
    </w:p>
    <w:p>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xml:space="preserve">”), nos termos do “Contrato de Coordenação, Colocação e Distribuição Pública, sob o Regime de Garantia Firme de Colocação, de Debêntures Simples, Não Conversíveis em Ações, em Até Três Séries, da </w:t>
      </w:r>
      <w:r>
        <w:rPr>
          <w:lang w:val="pt-BR"/>
        </w:rPr>
        <w:lastRenderedPageBreak/>
        <w:t>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pPr>
        <w:pStyle w:val="Level3"/>
        <w:rPr>
          <w:lang w:val="pt-BR"/>
        </w:rPr>
      </w:pPr>
      <w:bookmarkStart w:id="125" w:name="_Ref536532502"/>
      <w:r>
        <w:rPr>
          <w:lang w:val="pt-BR"/>
        </w:rPr>
        <w:t xml:space="preserve">As Debêntures </w:t>
      </w:r>
      <w:bookmarkStart w:id="126"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Pr>
          <w:lang w:val="pt-BR"/>
        </w:rPr>
        <w:t>8.1.4 abaixo</w:t>
      </w:r>
      <w:r>
        <w:rPr>
          <w:lang w:val="pt-BR"/>
        </w:rPr>
        <w:fldChar w:fldCharType="end"/>
      </w:r>
      <w:bookmarkEnd w:id="126"/>
      <w:r>
        <w:rPr>
          <w:lang w:val="pt-BR"/>
        </w:rPr>
        <w:t>.</w:t>
      </w:r>
      <w:bookmarkEnd w:id="125"/>
    </w:p>
    <w:p>
      <w:pPr>
        <w:pStyle w:val="Level3"/>
        <w:rPr>
          <w:lang w:val="pt-BR"/>
        </w:rPr>
      </w:pPr>
      <w:bookmarkStart w:id="127" w:name="_Hlk37150789"/>
      <w:bookmarkStart w:id="128"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verifiquem o cumprimento das regras previstas nos artigos 2º e 3º da Instrução CVM 476; e </w:t>
      </w:r>
      <w:r>
        <w:rPr>
          <w:b/>
          <w:lang w:val="pt-BR"/>
        </w:rPr>
        <w:t>(iii)</w:t>
      </w:r>
      <w:r>
        <w:rPr>
          <w:lang w:val="pt-BR"/>
        </w:rPr>
        <w:t xml:space="preserve"> a negociação das Debêntures deve ser realizada nas mesmas condições aplicáveis à Oferta, podendo o valor de transferência das Debêntures 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127"/>
      <w:r>
        <w:rPr>
          <w:lang w:val="pt-BR"/>
        </w:rPr>
        <w:t>.</w:t>
      </w:r>
      <w:bookmarkEnd w:id="128"/>
    </w:p>
    <w:p>
      <w:pPr>
        <w:pStyle w:val="Level3"/>
        <w:rPr>
          <w:lang w:val="pt-BR"/>
        </w:rPr>
      </w:pPr>
      <w:bookmarkStart w:id="129" w:name="_Ref36648928"/>
      <w:bookmarkStart w:id="130" w:name="_Hlk37150818"/>
      <w:bookmarkStart w:id="131"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129"/>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130"/>
      <w:r>
        <w:rPr>
          <w:lang w:val="pt-BR"/>
        </w:rPr>
        <w:t>.</w:t>
      </w:r>
      <w:bookmarkEnd w:id="131"/>
    </w:p>
    <w:p>
      <w:pPr>
        <w:pStyle w:val="Level2"/>
        <w:spacing w:before="140"/>
        <w:rPr>
          <w:b/>
          <w:lang w:val="pt-BR"/>
        </w:rPr>
      </w:pPr>
      <w:bookmarkStart w:id="132" w:name="_Ref434432135"/>
      <w:r>
        <w:rPr>
          <w:b/>
          <w:lang w:val="pt-BR"/>
        </w:rPr>
        <w:t>Público Alvo da Oferta</w:t>
      </w:r>
      <w:bookmarkEnd w:id="132"/>
      <w:r>
        <w:rPr>
          <w:b/>
          <w:lang w:val="pt-BR"/>
        </w:rPr>
        <w:t xml:space="preserve"> </w:t>
      </w:r>
    </w:p>
    <w:p>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pPr>
        <w:pStyle w:val="Level2"/>
        <w:spacing w:before="140"/>
        <w:rPr>
          <w:b/>
          <w:lang w:val="pt-BR"/>
        </w:rPr>
      </w:pPr>
      <w:r>
        <w:rPr>
          <w:b/>
          <w:lang w:val="pt-BR"/>
        </w:rPr>
        <w:t xml:space="preserve">Plano de Distribuição </w:t>
      </w:r>
    </w:p>
    <w:p>
      <w:pPr>
        <w:pStyle w:val="Level3"/>
        <w:rPr>
          <w:lang w:val="pt-BR"/>
        </w:rPr>
      </w:pPr>
      <w:r>
        <w:rPr>
          <w:szCs w:val="20"/>
          <w:lang w:val="pt-BR"/>
        </w:rPr>
        <w:lastRenderedPageBreak/>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133"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33"/>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não existirão reservas antecipadas, nem fixação de lotes mínimos ou máximos para a subscrição das Debêntures;</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pPr>
        <w:pStyle w:val="Ttulo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w:t>
      </w:r>
      <w:r>
        <w:rPr>
          <w:rFonts w:ascii="Arial" w:eastAsia="Arial" w:hAnsi="Arial"/>
          <w:b w:val="0"/>
          <w:bCs w:val="0"/>
          <w:szCs w:val="28"/>
          <w:lang w:eastAsia="en-GB"/>
        </w:rPr>
        <w:lastRenderedPageBreak/>
        <w:t xml:space="preserve">que </w:t>
      </w:r>
      <w:bookmarkStart w:id="134"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134"/>
      <w:r>
        <w:rPr>
          <w:rFonts w:ascii="Arial" w:eastAsia="Arial" w:hAnsi="Arial"/>
          <w:b w:val="0"/>
          <w:bCs w:val="0"/>
          <w:szCs w:val="28"/>
          <w:lang w:eastAsia="en-GB"/>
        </w:rPr>
        <w:t>.</w:t>
      </w:r>
    </w:p>
    <w:p>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pPr>
        <w:pStyle w:val="Level4"/>
        <w:rPr>
          <w:lang w:val="pt-BR"/>
        </w:rPr>
      </w:pPr>
      <w:bookmarkStart w:id="135"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sendo certo que tal aditamento será celebrado sem a necessidade de prévia aprovação de Assembleia Geral de Debenturistas e, exceto se de outra forma requerido pela legislação ou regulamentação aplicáveis, de aprovação societária da Emissora.</w:t>
      </w:r>
      <w:bookmarkEnd w:id="135"/>
      <w:r>
        <w:rPr>
          <w:lang w:val="pt-BR"/>
        </w:rPr>
        <w:t xml:space="preserve"> </w:t>
      </w:r>
    </w:p>
    <w:p>
      <w:pPr>
        <w:pStyle w:val="Level1"/>
      </w:pPr>
      <w:bookmarkStart w:id="136" w:name="_DV_C150"/>
      <w:bookmarkEnd w:id="136"/>
      <w:r>
        <w:t>OBRIGAÇÕES ADICIONAIS DA EMISSORA</w:t>
      </w:r>
    </w:p>
    <w:p>
      <w:pPr>
        <w:pStyle w:val="Level2"/>
        <w:rPr>
          <w:lang w:val="pt-BR"/>
        </w:rPr>
      </w:pPr>
      <w:bookmarkStart w:id="137" w:name="_Ref459545748"/>
      <w:r>
        <w:rPr>
          <w:lang w:val="pt-BR"/>
        </w:rPr>
        <w:t>Sem prejuízo do disposto na regulamentação aplicável, a Emissora está obrigada a:</w:t>
      </w:r>
      <w:bookmarkEnd w:id="137"/>
    </w:p>
    <w:p>
      <w:pPr>
        <w:pStyle w:val="Level4"/>
        <w:tabs>
          <w:tab w:val="clear" w:pos="2041"/>
          <w:tab w:val="num" w:pos="1361"/>
        </w:tabs>
        <w:ind w:left="1360"/>
        <w:rPr>
          <w:lang w:val="pt-BR"/>
        </w:rPr>
      </w:pPr>
      <w:bookmarkStart w:id="138"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138"/>
    </w:p>
    <w:p>
      <w:pPr>
        <w:pStyle w:val="Level5"/>
        <w:numPr>
          <w:ilvl w:val="0"/>
          <w:numId w:val="0"/>
        </w:numPr>
        <w:ind w:left="2127" w:hanging="709"/>
        <w:rPr>
          <w:b/>
          <w:lang w:val="pt-BR"/>
        </w:rPr>
      </w:pPr>
      <w:r>
        <w:rPr>
          <w:lang w:val="pt-BR"/>
        </w:rPr>
        <w:t>(a)</w:t>
      </w:r>
      <w:r>
        <w:rPr>
          <w:lang w:val="pt-BR"/>
        </w:rPr>
        <w:tab/>
        <w:t>[</w:t>
      </w:r>
      <w:r>
        <w:rPr>
          <w:highlight w:val="yellow"/>
          <w:lang w:val="pt-BR"/>
        </w:rPr>
        <w:t>Nota PNA: não existe covenant financeiro que AF irá verificar trimestralmente</w:t>
      </w:r>
      <w:r>
        <w:rPr>
          <w:lang w:val="pt-BR"/>
        </w:rPr>
        <w:t xml:space="preserve">] </w:t>
      </w:r>
    </w:p>
    <w:p>
      <w:pPr>
        <w:pStyle w:val="Level5"/>
        <w:numPr>
          <w:ilvl w:val="0"/>
          <w:numId w:val="0"/>
        </w:numPr>
        <w:ind w:left="2127" w:hanging="709"/>
        <w:rPr>
          <w:b/>
          <w:lang w:val="pt-BR"/>
        </w:rPr>
      </w:pPr>
      <w:bookmarkStart w:id="139" w:name="_Ref491137658"/>
      <w:r>
        <w:rPr>
          <w:lang w:val="pt-BR"/>
        </w:rPr>
        <w:t>(b)</w:t>
      </w:r>
      <w:r>
        <w:rPr>
          <w:lang w:val="pt-BR"/>
        </w:rPr>
        <w:tab/>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w:t>
      </w:r>
      <w:r>
        <w:rPr>
          <w:highlight w:val="yellow"/>
          <w:lang w:val="pt-BR"/>
        </w:rPr>
        <w:t>Nota PNA: os itens (c), (d) e (e) conforme atual Código de Ofertas Públicas da ANBIMA  - art. 11, parágrafo 2º, não precisam ser mantidos</w:t>
      </w:r>
      <w:r>
        <w:rPr>
          <w:lang w:val="pt-BR"/>
        </w:rPr>
        <w:t xml:space="preserve">]; (3) cópia de qualquer comunicação feita pelos </w:t>
      </w:r>
      <w:r>
        <w:rPr>
          <w:lang w:val="pt-BR"/>
        </w:rPr>
        <w:lastRenderedPageBreak/>
        <w:t>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39"/>
      <w:r>
        <w:rPr>
          <w:lang w:val="pt-BR"/>
        </w:rPr>
        <w:t xml:space="preserve"> e (4) informações e documentos comprovando a destinação dos recursos da Emissão até que a totalidade dos recursos da Emissão tenha sido utilizada; </w:t>
      </w:r>
    </w:p>
    <w:p>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Pr>
          <w:lang w:val="pt-BR"/>
        </w:rPr>
        <w:t>10.5(xvi)</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Pr>
          <w:lang w:val="pt-BR"/>
        </w:rPr>
        <w:t>9.1</w:t>
      </w:r>
      <w:r>
        <w:rPr>
          <w:lang w:val="pt-BR"/>
        </w:rPr>
        <w:fldChar w:fldCharType="end"/>
      </w:r>
      <w:r>
        <w:rPr>
          <w:lang w:val="pt-BR"/>
        </w:rPr>
        <w:t>, (b) acima.</w:t>
      </w:r>
    </w:p>
    <w:p>
      <w:pPr>
        <w:pStyle w:val="Level4"/>
        <w:tabs>
          <w:tab w:val="clear" w:pos="2041"/>
          <w:tab w:val="num" w:pos="1446"/>
        </w:tabs>
        <w:ind w:left="1447"/>
        <w:rPr>
          <w:lang w:val="pt-BR"/>
        </w:rPr>
      </w:pPr>
      <w:r>
        <w:rPr>
          <w:lang w:val="pt-BR"/>
        </w:rPr>
        <w:lastRenderedPageBreak/>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pPr>
        <w:pStyle w:val="Level4"/>
        <w:tabs>
          <w:tab w:val="clear" w:pos="2041"/>
          <w:tab w:val="num" w:pos="1446"/>
        </w:tabs>
        <w:ind w:left="1447"/>
        <w:rPr>
          <w:lang w:val="pt-BR"/>
        </w:rPr>
      </w:pPr>
      <w:r>
        <w:rPr>
          <w:lang w:val="pt-BR"/>
        </w:rPr>
        <w:t>manter atualizado o registro de companhia aberta da Emissora perante a CVM, nos termos da Instrução CVM 480;</w:t>
      </w:r>
    </w:p>
    <w:p>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pPr>
        <w:pStyle w:val="Level4"/>
        <w:tabs>
          <w:tab w:val="clear" w:pos="2041"/>
          <w:tab w:val="num" w:pos="1446"/>
        </w:tabs>
        <w:ind w:left="1447"/>
        <w:rPr>
          <w:lang w:val="pt-BR"/>
        </w:rPr>
      </w:pPr>
      <w:r>
        <w:rPr>
          <w:lang w:val="pt-BR"/>
        </w:rPr>
        <w:t>comparecer às Assembleias Gerais de Debenturistas, sempre que solicitado;</w:t>
      </w:r>
    </w:p>
    <w:p>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pPr>
        <w:pStyle w:val="Level4"/>
        <w:tabs>
          <w:tab w:val="clear" w:pos="2041"/>
          <w:tab w:val="num" w:pos="1446"/>
        </w:tabs>
        <w:ind w:left="1447"/>
        <w:rPr>
          <w:lang w:val="pt-BR"/>
        </w:rPr>
      </w:pPr>
      <w:bookmarkStart w:id="140" w:name="_Ref410996566"/>
      <w:r>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40"/>
      <w:r>
        <w:rPr>
          <w:lang w:val="pt-BR"/>
        </w:rPr>
        <w:t xml:space="preserve"> </w:t>
      </w:r>
    </w:p>
    <w:p>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pPr>
        <w:pStyle w:val="Level4"/>
        <w:tabs>
          <w:tab w:val="clear" w:pos="2041"/>
          <w:tab w:val="num" w:pos="1446"/>
        </w:tabs>
        <w:ind w:left="1447"/>
        <w:rPr>
          <w:lang w:val="pt-BR"/>
        </w:rPr>
      </w:pPr>
      <w:r>
        <w:rPr>
          <w:lang w:val="pt-BR"/>
        </w:rPr>
        <w:t>cumprir com todas as obrigações constantes desta Escritura de Emissão;</w:t>
      </w:r>
    </w:p>
    <w:p>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Pr>
          <w:lang w:val="pt-BR"/>
        </w:rPr>
        <w:t>3</w:t>
      </w:r>
      <w:r>
        <w:rPr>
          <w:lang w:val="pt-BR"/>
        </w:rPr>
        <w:fldChar w:fldCharType="end"/>
      </w:r>
      <w:r>
        <w:rPr>
          <w:lang w:val="pt-BR"/>
        </w:rPr>
        <w:t xml:space="preserve"> acima, em especial os que possam, direta ou indiretamente, </w:t>
      </w:r>
      <w:r>
        <w:rPr>
          <w:lang w:val="pt-BR"/>
        </w:rPr>
        <w:lastRenderedPageBreak/>
        <w:t>comprometer o pontual e integral cumprimento das obrigações assumidas perante os Debenturistas, nos termos desta Escritura de Emissão;</w:t>
      </w:r>
    </w:p>
    <w:p>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Pr>
          <w:lang w:val="pt-BR"/>
        </w:rPr>
        <w:t>4</w:t>
      </w:r>
      <w:r>
        <w:rPr>
          <w:lang w:val="pt-BR"/>
        </w:rPr>
        <w:fldChar w:fldCharType="end"/>
      </w:r>
      <w:r>
        <w:rPr>
          <w:lang w:val="pt-BR"/>
        </w:rPr>
        <w:t>;</w:t>
      </w:r>
    </w:p>
    <w:p>
      <w:pPr>
        <w:pStyle w:val="Level4"/>
        <w:tabs>
          <w:tab w:val="clear" w:pos="2041"/>
          <w:tab w:val="num" w:pos="1446"/>
        </w:tabs>
        <w:ind w:left="1447"/>
        <w:rPr>
          <w:lang w:val="pt-BR"/>
        </w:rPr>
      </w:pPr>
      <w:r>
        <w:rPr>
          <w:lang w:val="pt-BR"/>
        </w:rPr>
        <w:t>cumprir, em todos os aspectos, todas as leis e regulamentos, as regras, os regulamentos e as ordens aplicáveis em qualquer jurisdição na qual realize negócios ou possua ativos, salvo nos casos em que, de boa-fé, a Emissora esteja discutindo a aplicabilidade da lei, regra, regulamento ou ordem nas esferas administrativa e/ou judicial; [</w:t>
      </w:r>
      <w:r>
        <w:rPr>
          <w:highlight w:val="yellow"/>
          <w:lang w:val="pt-BR"/>
        </w:rPr>
        <w:t>Nota PNA: não está na 5ª emissão ou 6ª emissão</w:t>
      </w:r>
      <w:r>
        <w:rPr>
          <w:lang w:val="pt-BR"/>
        </w:rPr>
        <w:t>]</w:t>
      </w:r>
    </w:p>
    <w:p>
      <w:pPr>
        <w:pStyle w:val="Level4"/>
        <w:tabs>
          <w:tab w:val="clear" w:pos="2041"/>
          <w:tab w:val="num" w:pos="1446"/>
        </w:tabs>
        <w:ind w:left="1447"/>
        <w:rPr>
          <w:lang w:val="pt-BR"/>
        </w:rPr>
      </w:pPr>
      <w:r>
        <w:rPr>
          <w:lang w:val="pt-BR"/>
        </w:rPr>
        <w:t>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highlight w:val="yellow"/>
          <w:lang w:val="pt-BR"/>
        </w:rPr>
        <w:t>Nota PNA: seguindo o racional do vencimento antecipado sobre o assunto</w:t>
      </w:r>
      <w:r>
        <w:rPr>
          <w:lang w:val="pt-BR"/>
        </w:rPr>
        <w:t>]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w:t>
      </w:r>
      <w:r>
        <w:rPr>
          <w:lang w:val="pt-BR"/>
        </w:rPr>
        <w:lastRenderedPageBreak/>
        <w:t xml:space="preserve">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w:t>
      </w:r>
      <w:r>
        <w:rPr>
          <w:highlight w:val="yellow"/>
          <w:lang w:val="pt-BR"/>
        </w:rPr>
        <w:t>até o último Dia Útil do mês de setembro de cada ano</w:t>
      </w:r>
      <w:r>
        <w:rPr>
          <w:lang w:val="pt-BR"/>
        </w:rPr>
        <w:t xml:space="preserve"> [</w:t>
      </w:r>
      <w:r>
        <w:rPr>
          <w:highlight w:val="yellow"/>
          <w:lang w:val="pt-BR"/>
        </w:rPr>
        <w:t>Nota PNA: favor confirmar data. Entendemos ser 1 ano da data da emissão do relatório</w:t>
      </w:r>
      <w:r>
        <w:rPr>
          <w:lang w:val="pt-BR"/>
        </w:rPr>
        <w:t>], a partir da Data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pPr>
        <w:pStyle w:val="Level4"/>
        <w:tabs>
          <w:tab w:val="clear" w:pos="2041"/>
          <w:tab w:val="num" w:pos="1446"/>
        </w:tabs>
        <w:ind w:left="1447"/>
        <w:rPr>
          <w:lang w:val="pt-BR"/>
        </w:rPr>
      </w:pPr>
      <w:r>
        <w:rPr>
          <w:lang w:val="pt-BR"/>
        </w:rPr>
        <w:tab/>
      </w:r>
      <w:bookmarkStart w:id="141"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141"/>
    </w:p>
    <w:p>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pPr>
        <w:pStyle w:val="Level4"/>
        <w:numPr>
          <w:ilvl w:val="0"/>
          <w:numId w:val="0"/>
        </w:numPr>
        <w:ind w:left="2041" w:hanging="680"/>
        <w:rPr>
          <w:w w:val="0"/>
          <w:lang w:val="pt-BR"/>
        </w:rPr>
      </w:pPr>
      <w:bookmarkStart w:id="142"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142"/>
    </w:p>
    <w:p>
      <w:pPr>
        <w:pStyle w:val="Level5"/>
        <w:numPr>
          <w:ilvl w:val="0"/>
          <w:numId w:val="0"/>
        </w:numPr>
        <w:tabs>
          <w:tab w:val="num" w:pos="2694"/>
        </w:tabs>
        <w:ind w:left="2127" w:hanging="709"/>
        <w:rPr>
          <w:w w:val="0"/>
          <w:lang w:val="pt-BR"/>
        </w:rPr>
      </w:pPr>
      <w:r>
        <w:rPr>
          <w:lang w:val="pt-BR"/>
        </w:rPr>
        <w:lastRenderedPageBreak/>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pPr>
        <w:pStyle w:val="Ttulo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p>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pPr>
        <w:pStyle w:val="Level4"/>
        <w:tabs>
          <w:tab w:val="clear" w:pos="2041"/>
          <w:tab w:val="num" w:pos="1418"/>
        </w:tabs>
        <w:ind w:left="1418" w:hanging="709"/>
        <w:rPr>
          <w:w w:val="0"/>
          <w:lang w:val="pt-BR"/>
        </w:rPr>
      </w:pPr>
      <w:r>
        <w:rPr>
          <w:w w:val="0"/>
          <w:lang w:val="pt-BR"/>
        </w:rPr>
        <w:t>[</w:t>
      </w:r>
      <w:r>
        <w:rPr>
          <w:w w:val="0"/>
          <w:highlight w:val="yellow"/>
          <w:lang w:val="pt-BR"/>
        </w:rPr>
        <w:t>Nota PNA: entendemos estar abarcados nos itens anteriores</w:t>
      </w:r>
      <w:r>
        <w:rPr>
          <w:w w:val="0"/>
          <w:lang w:val="pt-BR"/>
        </w:rPr>
        <w:t>]</w:t>
      </w:r>
    </w:p>
    <w:p>
      <w:pPr>
        <w:pStyle w:val="Level4"/>
        <w:tabs>
          <w:tab w:val="clear" w:pos="2041"/>
          <w:tab w:val="num" w:pos="1418"/>
        </w:tabs>
        <w:ind w:left="1418" w:hanging="709"/>
        <w:rPr>
          <w:w w:val="0"/>
          <w:lang w:val="pt-BR"/>
        </w:rPr>
      </w:pPr>
      <w:r>
        <w:rPr>
          <w:w w:val="0"/>
          <w:lang w:val="pt-BR"/>
        </w:rPr>
        <w:t>[</w:t>
      </w:r>
      <w:r>
        <w:rPr>
          <w:w w:val="0"/>
          <w:highlight w:val="yellow"/>
          <w:lang w:val="pt-BR"/>
        </w:rPr>
        <w:t>Nota PNA: entendemos estar repetido com os itens que já falam das debêntures verdes</w:t>
      </w:r>
      <w:r>
        <w:rPr>
          <w:w w:val="0"/>
          <w:lang w:val="pt-BR"/>
        </w:rPr>
        <w:t>]</w:t>
      </w:r>
    </w:p>
    <w:p>
      <w:pPr>
        <w:pStyle w:val="Level5"/>
        <w:numPr>
          <w:ilvl w:val="0"/>
          <w:numId w:val="0"/>
        </w:numPr>
        <w:tabs>
          <w:tab w:val="num" w:pos="1418"/>
        </w:tabs>
        <w:ind w:left="1418" w:hanging="709"/>
        <w:rPr>
          <w:w w:val="0"/>
          <w:lang w:val="pt-BR"/>
        </w:rPr>
      </w:pPr>
      <w:r>
        <w:rPr>
          <w:w w:val="0"/>
          <w:lang w:val="pt-BR"/>
        </w:rPr>
        <w:t>(xxv)</w:t>
      </w:r>
      <w:r>
        <w:rPr>
          <w:w w:val="0"/>
          <w:lang w:val="pt-BR"/>
        </w:rPr>
        <w:tab/>
        <w:t>[</w:t>
      </w:r>
      <w:r>
        <w:rPr>
          <w:w w:val="0"/>
          <w:highlight w:val="yellow"/>
          <w:lang w:val="pt-BR"/>
        </w:rPr>
        <w:t>Nota PNA: foi incluída esta obrigação na declaração anual ao AF, conforme está mais acima. Repetido</w:t>
      </w:r>
      <w:r>
        <w:rPr>
          <w:w w:val="0"/>
          <w:lang w:val="pt-BR"/>
        </w:rPr>
        <w:t>]</w:t>
      </w:r>
    </w:p>
    <w:p>
      <w:pPr>
        <w:pStyle w:val="Level1"/>
      </w:pPr>
      <w:bookmarkStart w:id="143" w:name="_DV_M195"/>
      <w:bookmarkStart w:id="144" w:name="_DV_M196"/>
      <w:bookmarkStart w:id="145" w:name="_DV_M197"/>
      <w:bookmarkStart w:id="146" w:name="_DV_M198"/>
      <w:bookmarkStart w:id="147" w:name="_DV_M199"/>
      <w:bookmarkStart w:id="148" w:name="_DV_M200"/>
      <w:bookmarkStart w:id="149" w:name="_DV_M201"/>
      <w:bookmarkStart w:id="150" w:name="_DV_M202"/>
      <w:bookmarkStart w:id="151" w:name="_DV_M203"/>
      <w:bookmarkStart w:id="152" w:name="_DV_M204"/>
      <w:bookmarkStart w:id="153" w:name="_DV_M205"/>
      <w:bookmarkStart w:id="154" w:name="_DV_M206"/>
      <w:bookmarkStart w:id="155" w:name="_DV_M207"/>
      <w:bookmarkStart w:id="156" w:name="_DV_M208"/>
      <w:bookmarkStart w:id="157" w:name="_DV_M209"/>
      <w:bookmarkStart w:id="158" w:name="_DV_M210"/>
      <w:bookmarkStart w:id="159" w:name="_DV_M211"/>
      <w:bookmarkStart w:id="160" w:name="_DV_M212"/>
      <w:bookmarkStart w:id="161" w:name="_DV_M213"/>
      <w:bookmarkStart w:id="162" w:name="_DV_M214"/>
      <w:bookmarkStart w:id="163" w:name="_DV_M215"/>
      <w:bookmarkStart w:id="164" w:name="_DV_M216"/>
      <w:bookmarkStart w:id="165" w:name="_DV_M217"/>
      <w:bookmarkStart w:id="166" w:name="_DV_M218"/>
      <w:bookmarkStart w:id="167" w:name="_DV_M219"/>
      <w:bookmarkStart w:id="168" w:name="_DV_M220"/>
      <w:bookmarkStart w:id="169" w:name="_DV_M221"/>
      <w:bookmarkStart w:id="170" w:name="_DV_M222"/>
      <w:bookmarkStart w:id="171" w:name="_DV_M223"/>
      <w:bookmarkStart w:id="172" w:name="_DV_M224"/>
      <w:bookmarkStart w:id="173" w:name="_DV_M225"/>
      <w:bookmarkStart w:id="174" w:name="_DV_M226"/>
      <w:bookmarkStart w:id="175" w:name="_DV_M227"/>
      <w:bookmarkStart w:id="176" w:name="_DV_M228"/>
      <w:bookmarkStart w:id="177" w:name="_DV_M229"/>
      <w:bookmarkStart w:id="178" w:name="_DV_M230"/>
      <w:bookmarkStart w:id="179" w:name="_DV_M231"/>
      <w:bookmarkStart w:id="180" w:name="_DV_M232"/>
      <w:bookmarkStart w:id="181" w:name="_DV_M233"/>
      <w:bookmarkStart w:id="182" w:name="_DV_M234"/>
      <w:bookmarkStart w:id="183" w:name="_DV_M235"/>
      <w:bookmarkStart w:id="184" w:name="_DV_M236"/>
      <w:bookmarkStart w:id="185" w:name="_DV_M237"/>
      <w:bookmarkStart w:id="186" w:name="_DV_M238"/>
      <w:bookmarkStart w:id="187" w:name="_DV_M239"/>
      <w:bookmarkStart w:id="188" w:name="_DV_M240"/>
      <w:bookmarkStart w:id="189" w:name="_DV_M241"/>
      <w:bookmarkStart w:id="190" w:name="_DV_M242"/>
      <w:bookmarkStart w:id="191" w:name="_DV_M243"/>
      <w:bookmarkStart w:id="192" w:name="_DV_M244"/>
      <w:bookmarkStart w:id="193" w:name="_DV_M245"/>
      <w:bookmarkStart w:id="194" w:name="_DV_M246"/>
      <w:bookmarkStart w:id="195" w:name="_DV_M247"/>
      <w:bookmarkStart w:id="196" w:name="_DV_M248"/>
      <w:bookmarkStart w:id="197" w:name="_DV_M24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DO AGENTE FIDUCIÁRIO</w:t>
      </w:r>
    </w:p>
    <w:p>
      <w:pPr>
        <w:pStyle w:val="Level2"/>
        <w:rPr>
          <w:lang w:val="pt-BR"/>
        </w:rPr>
      </w:pPr>
      <w:bookmarkStart w:id="198" w:name="_DV_M250"/>
      <w:bookmarkEnd w:id="198"/>
      <w:r>
        <w:rPr>
          <w:lang w:val="pt-BR"/>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r>
        <w:rPr>
          <w:rFonts w:cs="Arial"/>
          <w:b/>
          <w:bCs/>
          <w:szCs w:val="20"/>
          <w:highlight w:val="yellow"/>
          <w:lang w:val="pt-BR"/>
        </w:rPr>
        <w:t>[Nota Lefosse: Cláusula pendente de validação pelo Agente Fiduciário].</w:t>
      </w:r>
    </w:p>
    <w:p>
      <w:pPr>
        <w:pStyle w:val="Level2"/>
        <w:spacing w:before="140" w:after="0"/>
        <w:rPr>
          <w:lang w:val="pt-BR"/>
        </w:rPr>
      </w:pPr>
      <w:r>
        <w:rPr>
          <w:lang w:val="pt-BR"/>
        </w:rPr>
        <w:t>O Agente Fiduciário, nomeado na presente Escritura de Emissão, declara que:</w:t>
      </w:r>
    </w:p>
    <w:p>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pPr>
        <w:pStyle w:val="PargrafodaLista"/>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lastRenderedPageBreak/>
        <w:t>está devidamente autorizado a celebrar esta Escritura de Emissão e a cumprir com suas obrigações aqui previstas, tendo sido satisfeitos todos os requisitos legais e estatutários necessários para tanto;</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verificou a consistência das informações contidas nesta Escritura de Emissão; [</w:t>
      </w:r>
      <w:r>
        <w:rPr>
          <w:rFonts w:ascii="Arial" w:hAnsi="Arial" w:cs="Arial"/>
          <w:sz w:val="20"/>
          <w:szCs w:val="20"/>
          <w:highlight w:val="yellow"/>
        </w:rPr>
        <w:t>Nota PNA: cf. Resolução CVM 17</w:t>
      </w:r>
      <w:r>
        <w:rPr>
          <w:rFonts w:ascii="Arial" w:hAnsi="Arial" w:cs="Arial"/>
          <w:sz w:val="20"/>
          <w:szCs w:val="20"/>
        </w:rPr>
        <w:t>]</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em vigor (“</w:t>
      </w:r>
      <w:r>
        <w:rPr>
          <w:rFonts w:ascii="Arial" w:hAnsi="Arial" w:cs="Arial"/>
          <w:b/>
          <w:sz w:val="20"/>
          <w:szCs w:val="20"/>
        </w:rPr>
        <w:t>Código de Processo Civil</w:t>
      </w:r>
      <w:r>
        <w:rPr>
          <w:rFonts w:ascii="Arial" w:hAnsi="Arial" w:cs="Arial"/>
          <w:sz w:val="20"/>
          <w:szCs w:val="20"/>
        </w:rPr>
        <w:t>”); e</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 [</w:t>
      </w:r>
      <w:r>
        <w:rPr>
          <w:rFonts w:ascii="Arial" w:hAnsi="Arial" w:cs="Arial"/>
          <w:sz w:val="20"/>
          <w:szCs w:val="20"/>
          <w:highlight w:val="yellow"/>
        </w:rPr>
        <w:t>Nota PNA: AF, favor confirmar ofertas abaixo</w:t>
      </w:r>
      <w:r>
        <w:rPr>
          <w:rFonts w:ascii="Arial" w:hAnsi="Arial" w:cs="Arial"/>
          <w:sz w:val="20"/>
          <w:szCs w:val="20"/>
        </w:rPr>
        <w:t>]</w:t>
      </w:r>
    </w:p>
    <w:p>
      <w:pPr>
        <w:widowControl/>
        <w:suppressAutoHyphens/>
        <w:spacing w:before="140" w:line="290" w:lineRule="auto"/>
        <w:ind w:left="1418"/>
        <w:rPr>
          <w:rFonts w:ascii="Arial" w:hAnsi="Arial" w:cs="Arial"/>
          <w:sz w:val="20"/>
          <w:szCs w:val="20"/>
        </w:rPr>
      </w:pPr>
    </w:p>
    <w:p>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 xml:space="preserve">com remuneração equivalente a </w:t>
      </w:r>
      <w:r>
        <w:rPr>
          <w:rFonts w:eastAsia="Calibri" w:cs="Arial"/>
          <w:bCs/>
          <w:highlight w:val="yellow"/>
          <w:lang w:val="pt-BR"/>
        </w:rPr>
        <w:t>85% (oitenta e cinco por cento)</w:t>
      </w:r>
      <w:r>
        <w:rPr>
          <w:rFonts w:eastAsia="Calibri" w:cs="Arial"/>
          <w:bCs/>
          <w:lang w:val="pt-BR"/>
        </w:rPr>
        <w:t xml:space="preserve"> [</w:t>
      </w:r>
      <w:r>
        <w:rPr>
          <w:rFonts w:eastAsia="Calibri" w:cs="Arial"/>
          <w:bCs/>
          <w:highlight w:val="yellow"/>
          <w:lang w:val="pt-BR"/>
        </w:rPr>
        <w:t>Nota PNA: favor confirmar</w:t>
      </w:r>
      <w:r>
        <w:rPr>
          <w:rFonts w:eastAsia="Calibri" w:cs="Arial"/>
          <w:bCs/>
          <w:lang w:val="pt-BR"/>
        </w:rPr>
        <w:t>] da variação acumulada da Taxa DI</w:t>
      </w:r>
      <w:r>
        <w:rPr>
          <w:lang w:val="pt-BR"/>
        </w:rPr>
        <w:t xml:space="preserve">,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w:t>
      </w:r>
      <w:r>
        <w:rPr>
          <w:lang w:val="pt-BR"/>
        </w:rPr>
        <w:lastRenderedPageBreak/>
        <w:t>celebração desta Escritura de Emissão, quaisquer eventos de resgate, amortização antecipada, conversão, repactuação ou inadimplemento;</w:t>
      </w:r>
    </w:p>
    <w:p>
      <w:pPr>
        <w:pStyle w:val="Level4"/>
        <w:numPr>
          <w:ilvl w:val="3"/>
          <w:numId w:val="9"/>
        </w:numPr>
        <w:rPr>
          <w:lang w:val="pt-BR"/>
        </w:rPr>
      </w:pPr>
      <w:r>
        <w:rPr>
          <w:lang w:val="pt-BR"/>
        </w:rPr>
        <w:t xml:space="preserve">10ª (décima) emissão de debêntures da Companhia de Saneamento de Minas Gerais – COPASA MG, no valor de R$140.000.000,00 (cento e quarenta milhões de reais), </w:t>
      </w:r>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3,00% (três por cento) ao ano</w:t>
      </w:r>
      <w:r>
        <w:rPr>
          <w:lang w:val="pt-BR"/>
        </w:rPr>
        <w:t>,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 [</w:t>
      </w:r>
      <w:r>
        <w:rPr>
          <w:highlight w:val="yellow"/>
          <w:lang w:val="pt-BR"/>
        </w:rPr>
        <w:t>Nota PNA: debênture já venceu</w:t>
      </w:r>
      <w:r>
        <w:rPr>
          <w:lang w:val="pt-BR"/>
        </w:rPr>
        <w:t>]</w:t>
      </w:r>
    </w:p>
    <w:p>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(d)</w:t>
      </w:r>
      <w:r>
        <w:rPr>
          <w:lang w:val="pt-BR"/>
        </w:rPr>
        <w:tab/>
        <w:t xml:space="preserve">5ª (quinta) emissão de debêntures da Emissora, em série única, no valor total de R$ 400.000.000,00 (quatrocentos milhões de reais), com valor nominal unitário atualizado pela variação acumulada do IPCA, com juros </w:t>
      </w:r>
      <w:r>
        <w:rPr>
          <w:lang w:val="pt-BR"/>
        </w:rPr>
        <w:lastRenderedPageBreak/>
        <w:t>remuneratórios prefixados correspondentes a 0,30% (trinta centésimos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(e)</w:t>
      </w:r>
      <w:r>
        <w:rPr>
          <w:lang w:val="pt-BR"/>
        </w:rPr>
        <w:tab/>
        <w:t xml:space="preserve">1ª (primeira) emissão de debêntures da Janaúba Transmissora de Energia Elétrica S.A., em série única, no valor total de </w:t>
      </w:r>
      <w:r>
        <w:rPr>
          <w:highlight w:val="yellow"/>
          <w:lang w:val="pt-BR"/>
        </w:rPr>
        <w:t>R$ 224.000.000,00 (quatrocentos milhões de reais)</w:t>
      </w:r>
      <w:r>
        <w:rPr>
          <w:lang w:val="pt-BR"/>
        </w:rPr>
        <w:t xml:space="preserve"> [</w:t>
      </w:r>
      <w:r>
        <w:rPr>
          <w:highlight w:val="yellow"/>
          <w:lang w:val="pt-BR"/>
        </w:rPr>
        <w:t>Nota PNA: AF, favor confirmar</w:t>
      </w:r>
      <w:r>
        <w:rPr>
          <w:lang w:val="pt-BR"/>
        </w:rPr>
        <w:t>],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(f)</w:t>
      </w:r>
      <w:r>
        <w:rPr>
          <w:lang w:val="pt-BR"/>
        </w:rPr>
        <w:tab/>
        <w:t xml:space="preserve">6ª (sexta) emissão de debêntures da Emissora não conversíveis em ações, em duas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w:t>
      </w:r>
      <w:r>
        <w:rPr>
          <w:highlight w:val="yellow"/>
          <w:lang w:val="pt-BR"/>
        </w:rPr>
        <w:t>110,50%</w:t>
      </w:r>
      <w:r>
        <w:rPr>
          <w:lang w:val="pt-BR"/>
        </w:rPr>
        <w:t xml:space="preserve"> [</w:t>
      </w:r>
      <w:r>
        <w:rPr>
          <w:highlight w:val="yellow"/>
          <w:lang w:val="pt-BR"/>
        </w:rPr>
        <w:t>Nota PNA: favor confirmar</w:t>
      </w:r>
      <w:r>
        <w:rPr>
          <w:lang w:val="pt-BR"/>
        </w:rPr>
        <w:t>] da variação acumulada da Taxa DI, tendo como data de emissão 15 de maio de 2019, representada por 850.000 (oitocentas e cinquenta mil) debêntures da 1ª série e 210.000 (duzentas e dez mil) debêntures da 2ª série, com vencimento da 1ª série em 15 de maio de 2026 e da 2ª série em 15 de maio de 2044, sendo o valor nominal unitário pago em duas parcelas em 15 de julho de 2024 [</w:t>
      </w:r>
      <w:r>
        <w:rPr>
          <w:highlight w:val="yellow"/>
          <w:lang w:val="pt-BR"/>
        </w:rPr>
        <w:t>Nota PNA: quando seria o pagamento da 2ª parcela?</w:t>
      </w:r>
      <w:r>
        <w:rPr>
          <w:lang w:val="pt-BR"/>
        </w:rPr>
        <w:t>],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b/>
          <w:bCs/>
          <w:iCs/>
          <w:lang w:val="pt-BR"/>
        </w:rPr>
      </w:pPr>
      <w:r>
        <w:rPr>
          <w:lang w:val="pt-BR"/>
        </w:rPr>
        <w:t>(g)</w:t>
      </w:r>
      <w:r>
        <w:rPr>
          <w:lang w:val="pt-BR"/>
        </w:rPr>
        <w:tab/>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w:t>
      </w:r>
      <w:r>
        <w:rPr>
          <w:highlight w:val="yellow"/>
          <w:lang w:val="pt-BR"/>
        </w:rPr>
        <w:t>Nota PNA: colocar também por extenso</w:t>
      </w:r>
      <w:r>
        <w:rPr>
          <w:lang w:val="pt-BR"/>
        </w:rPr>
        <w:t xml:space="preserve">], tendo como data de emissão 15 de dezembro de 2019, representada por 300.000 (trezentas mil) debêntures com vencimento em 15 de dezembro de 2044, não tendo ocorrido, até a data </w:t>
      </w:r>
      <w:r>
        <w:rPr>
          <w:lang w:val="pt-BR"/>
        </w:rPr>
        <w:lastRenderedPageBreak/>
        <w:t>de celebração desta Escritura de Emissão, quaisquer eventos de resgate, amortização antecipada, conversão, repactuação ou inadimplemento.</w:t>
      </w:r>
    </w:p>
    <w:p>
      <w:pPr>
        <w:pStyle w:val="Level5"/>
        <w:numPr>
          <w:ilvl w:val="0"/>
          <w:numId w:val="0"/>
        </w:numPr>
        <w:ind w:left="1985" w:hanging="709"/>
        <w:rPr>
          <w:b/>
          <w:bCs/>
          <w:iCs/>
          <w:lang w:val="pt-BR"/>
        </w:rPr>
      </w:pPr>
      <w:r>
        <w:rPr>
          <w:lang w:val="pt-BR"/>
        </w:rPr>
        <w:t>(h)</w:t>
      </w:r>
      <w:r>
        <w:rPr>
          <w:lang w:val="pt-BR"/>
        </w:rPr>
        <w:tab/>
        <w:t xml:space="preserve">9ª (nona) emissão de debêntures da Emissora não conversíveis em ações, em série única, da espécie quirografária, </w:t>
      </w:r>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pPr>
        <w:pStyle w:val="Level2"/>
        <w:rPr>
          <w:rStyle w:val="DeltaViewInsertion"/>
          <w:rFonts w:ascii="Times New Roman" w:hAnsi="Times New Roman"/>
          <w:b/>
          <w:color w:val="auto"/>
          <w:sz w:val="26"/>
          <w:szCs w:val="26"/>
          <w:u w:val="none"/>
          <w:lang w:val="pt-BR" w:eastAsia="en-US"/>
        </w:rPr>
      </w:pPr>
      <w:bookmarkStart w:id="199" w:name="_DV_M251"/>
      <w:bookmarkStart w:id="200" w:name="_DV_M252"/>
      <w:bookmarkStart w:id="201" w:name="_DV_M253"/>
      <w:bookmarkStart w:id="202" w:name="_DV_M254"/>
      <w:bookmarkStart w:id="203" w:name="_DV_M255"/>
      <w:bookmarkStart w:id="204" w:name="_DV_M256"/>
      <w:bookmarkStart w:id="205" w:name="_DV_M257"/>
      <w:bookmarkStart w:id="206" w:name="_DV_M258"/>
      <w:bookmarkStart w:id="207" w:name="_DV_M259"/>
      <w:bookmarkStart w:id="208" w:name="_DV_M260"/>
      <w:bookmarkStart w:id="209" w:name="_DV_M261"/>
      <w:bookmarkStart w:id="210" w:name="_DV_M262"/>
      <w:bookmarkStart w:id="211" w:name="_DV_M263"/>
      <w:bookmarkStart w:id="212" w:name="_DV_M264"/>
      <w:bookmarkStart w:id="213" w:name="_DV_M270"/>
      <w:bookmarkStart w:id="214" w:name="_DV_M271"/>
      <w:bookmarkStart w:id="215" w:name="_DV_M272"/>
      <w:bookmarkStart w:id="216" w:name="_DV_M273"/>
      <w:bookmarkStart w:id="217" w:name="_DV_M274"/>
      <w:bookmarkStart w:id="218" w:name="_DV_M275"/>
      <w:bookmarkStart w:id="219" w:name="_DV_M276"/>
      <w:bookmarkStart w:id="220" w:name="_DV_M27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lang w:val="pt-BR"/>
        </w:rPr>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pPr>
        <w:pStyle w:val="Level2"/>
        <w:spacing w:before="140" w:after="0"/>
        <w:rPr>
          <w:b/>
          <w:lang w:val="pt-BR"/>
        </w:rPr>
      </w:pPr>
      <w:r>
        <w:rPr>
          <w:lang w:val="pt-BR"/>
        </w:rPr>
        <w:t>Será devido pela Emissora ao Agente Fiduciário, a título de honorários pelos deveres e atribuições que lhe competem, nos termos da legislação e regulamentação aplicáveis e desta Escritura de Emissão, parcelas anuais de R$ [</w:t>
      </w:r>
      <w:r>
        <w:rPr>
          <w:lang w:val="pt-BR"/>
        </w:rPr>
        <w:sym w:font="Symbol" w:char="F0B7"/>
      </w:r>
      <w:r>
        <w:rPr>
          <w:lang w:val="pt-BR"/>
        </w:rPr>
        <w:t>] ([</w:t>
      </w:r>
      <w:r>
        <w:rPr>
          <w:lang w:val="pt-BR"/>
        </w:rPr>
        <w:sym w:font="Symbol" w:char="F0B7"/>
      </w:r>
      <w:r>
        <w:rPr>
          <w:lang w:val="pt-BR"/>
        </w:rPr>
        <w:t xml:space="preserve">]), sendo a primeira parcela devida em </w:t>
      </w:r>
      <w:r>
        <w:rPr>
          <w:noProof/>
          <w:color w:val="000000"/>
          <w:lang w:val="pt-BR"/>
        </w:rPr>
        <w:t>15 (quinze) dias após a data de assinatura da Escritura</w:t>
      </w:r>
      <w:r>
        <w:rPr>
          <w:lang w:val="pt-BR"/>
        </w:rPr>
        <w:t xml:space="preserve"> de Emissão e as próximas parcelas no mesmo dia dos anos subsequentes, até o vencimento das Debêntures, observado a</w:t>
      </w:r>
      <w:r>
        <w:rPr>
          <w:rFonts w:cs="Arial"/>
          <w:szCs w:val="20"/>
          <w:lang w:val="pt-BR"/>
        </w:rPr>
        <w:t xml:space="preserve"> Cláusula</w:t>
      </w:r>
      <w:r>
        <w:rPr>
          <w:lang w:val="pt-BR"/>
        </w:rPr>
        <w:t xml:space="preserve"> </w:t>
      </w:r>
      <w:r>
        <w:rPr>
          <w:lang w:val="pt-BR"/>
        </w:rPr>
        <w:fldChar w:fldCharType="begin"/>
      </w:r>
      <w:r>
        <w:rPr>
          <w:lang w:val="pt-BR"/>
        </w:rPr>
        <w:instrText xml:space="preserve"> REF _Ref410864342 \r \h </w:instrText>
      </w:r>
      <w:r>
        <w:rPr>
          <w:lang w:val="pt-BR"/>
        </w:rPr>
      </w:r>
      <w:r>
        <w:rPr>
          <w:lang w:val="pt-BR"/>
        </w:rPr>
        <w:fldChar w:fldCharType="separate"/>
      </w:r>
      <w:r>
        <w:rPr>
          <w:lang w:val="pt-BR"/>
        </w:rPr>
        <w:t>10.4.3</w:t>
      </w:r>
      <w:r>
        <w:rPr>
          <w:lang w:val="pt-BR"/>
        </w:rPr>
        <w:fldChar w:fldCharType="end"/>
      </w:r>
      <w:r>
        <w:rPr>
          <w:lang w:val="pt-BR"/>
        </w:rPr>
        <w:t xml:space="preserve">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pPr>
        <w:pStyle w:val="Level3"/>
        <w:spacing w:before="140" w:after="0"/>
        <w:rPr>
          <w:b/>
          <w:lang w:val="pt-BR"/>
        </w:rPr>
      </w:pPr>
      <w:r>
        <w:rPr>
          <w:lang w:val="pt-BR"/>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pPr>
        <w:pStyle w:val="Level3"/>
        <w:spacing w:before="140" w:after="0"/>
        <w:rPr>
          <w:lang w:val="pt-BR"/>
        </w:rPr>
      </w:pPr>
      <w:bookmarkStart w:id="221"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221"/>
    </w:p>
    <w:p>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w:t>
      </w:r>
      <w:r>
        <w:rPr>
          <w:lang w:val="pt-BR"/>
        </w:rPr>
        <w:lastRenderedPageBreak/>
        <w:t xml:space="preserve">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pPr>
        <w:pStyle w:val="Level3"/>
        <w:spacing w:before="140" w:after="0"/>
        <w:rPr>
          <w:lang w:val="pt-BR"/>
        </w:rPr>
      </w:pPr>
      <w:r>
        <w:rPr>
          <w:lang w:val="pt-BR"/>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pPr>
        <w:pStyle w:val="Level3"/>
        <w:spacing w:before="140"/>
        <w:ind w:left="1360" w:hanging="680"/>
        <w:rPr>
          <w:lang w:val="pt-BR"/>
        </w:rPr>
      </w:pPr>
      <w:r>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pPr>
        <w:pStyle w:val="Level3"/>
        <w:spacing w:before="140"/>
        <w:ind w:left="1360" w:hanging="680"/>
        <w:rPr>
          <w:lang w:val="pt-BR"/>
        </w:rPr>
      </w:pPr>
      <w:r>
        <w:rPr>
          <w:lang w:val="pt-BR"/>
        </w:rPr>
        <w:t>Em caso de inadimplemento, pecuniário ou não, pela Emissora, no âmbito da Emissão, será devida ao Agente Fiduciário uma remuneração adicional equivalente a R$ 500,00 (quinhentos reais) por hora-homem de trabalho dedicado às atividades relacionadas à Emissão, a ser paga no prazo de 5 (cinco) dias após comprovação da entrega, pelo Agente Fiduciário à Emissora do “Relatório de Horas”.</w:t>
      </w:r>
    </w:p>
    <w:p>
      <w:pPr>
        <w:pStyle w:val="Level2"/>
        <w:spacing w:before="140"/>
        <w:rPr>
          <w:lang w:val="pt-BR"/>
        </w:rPr>
      </w:pPr>
      <w:bookmarkStart w:id="222" w:name="_Ref491137801"/>
      <w:r>
        <w:rPr>
          <w:lang w:val="pt-BR"/>
        </w:rPr>
        <w:t>Além de outros previstos em lei, em ato normativo da CVM ou nesta Escritura de Emissão, constituem deveres e atribuições do Agente Fiduciário:</w:t>
      </w:r>
      <w:bookmarkEnd w:id="222"/>
    </w:p>
    <w:p>
      <w:pPr>
        <w:pStyle w:val="Level4"/>
        <w:tabs>
          <w:tab w:val="clear" w:pos="2041"/>
          <w:tab w:val="num" w:pos="1361"/>
        </w:tabs>
        <w:ind w:left="1360"/>
        <w:rPr>
          <w:lang w:val="pt-BR"/>
        </w:rPr>
      </w:pPr>
      <w:bookmarkStart w:id="223" w:name="_DV_M278"/>
      <w:bookmarkEnd w:id="223"/>
      <w:r>
        <w:rPr>
          <w:lang w:val="pt-BR"/>
        </w:rPr>
        <w:t>exercer suas atividades com boa-fé, transparência e lealdade para com os titulares dos valores mobiliários;</w:t>
      </w:r>
    </w:p>
    <w:p>
      <w:pPr>
        <w:pStyle w:val="Level4"/>
        <w:tabs>
          <w:tab w:val="clear" w:pos="2041"/>
          <w:tab w:val="num" w:pos="1361"/>
        </w:tabs>
        <w:ind w:left="1360"/>
        <w:rPr>
          <w:lang w:val="pt-BR"/>
        </w:rPr>
      </w:pPr>
      <w:r>
        <w:rPr>
          <w:lang w:val="pt-BR"/>
        </w:rPr>
        <w:lastRenderedPageBreak/>
        <w:t>proteger os direitos e interesses dos Debenturistas, empregando, no exercício da função, o cuidado e a diligência que todo homem ativo e probo costuma empregar na administração dos seus próprios bens;</w:t>
      </w:r>
    </w:p>
    <w:p>
      <w:pPr>
        <w:pStyle w:val="Level4"/>
        <w:tabs>
          <w:tab w:val="clear" w:pos="2041"/>
          <w:tab w:val="num" w:pos="1361"/>
        </w:tabs>
        <w:ind w:left="1360"/>
        <w:rPr>
          <w:lang w:val="pt-BR"/>
        </w:rPr>
      </w:pPr>
      <w:bookmarkStart w:id="224" w:name="_DV_M279"/>
      <w:bookmarkEnd w:id="224"/>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pPr>
        <w:pStyle w:val="Level4"/>
        <w:tabs>
          <w:tab w:val="clear" w:pos="2041"/>
          <w:tab w:val="num" w:pos="1361"/>
        </w:tabs>
        <w:ind w:left="1360"/>
        <w:rPr>
          <w:lang w:val="pt-BR"/>
        </w:rPr>
      </w:pPr>
      <w:bookmarkStart w:id="225" w:name="_DV_M280"/>
      <w:bookmarkEnd w:id="225"/>
      <w:r>
        <w:rPr>
          <w:lang w:val="pt-BR"/>
        </w:rPr>
        <w:t>conservar em boa guarda toda a documentação relativa ao exercício de suas funções; [</w:t>
      </w:r>
      <w:r>
        <w:rPr>
          <w:highlight w:val="yellow"/>
          <w:lang w:val="pt-BR"/>
        </w:rPr>
        <w:t>Nota PNA: art. 11, IV, Resolução CVM 17</w:t>
      </w:r>
      <w:r>
        <w:rPr>
          <w:lang w:val="pt-BR"/>
        </w:rPr>
        <w:t>]</w:t>
      </w:r>
    </w:p>
    <w:p>
      <w:pPr>
        <w:pStyle w:val="Level4"/>
        <w:tabs>
          <w:tab w:val="clear" w:pos="2041"/>
          <w:tab w:val="num" w:pos="1361"/>
        </w:tabs>
        <w:ind w:left="1360"/>
        <w:rPr>
          <w:lang w:val="pt-BR"/>
        </w:rPr>
      </w:pPr>
      <w:bookmarkStart w:id="226" w:name="_DV_M281"/>
      <w:bookmarkEnd w:id="226"/>
      <w:r>
        <w:rPr>
          <w:lang w:val="pt-BR"/>
        </w:rPr>
        <w:t>verificar, no momento de aceitar a função, a consistência das informações contidas nesta Escritura de Emissão, diligenciando para que sejam sanadas as omissões, falhas ou defeitos de que tenha conhecimento; [</w:t>
      </w:r>
      <w:r>
        <w:rPr>
          <w:highlight w:val="yellow"/>
          <w:lang w:val="pt-BR"/>
        </w:rPr>
        <w:t>Nota PNA: art. 11, V, Resolução CVM 17</w:t>
      </w:r>
      <w:r>
        <w:rPr>
          <w:lang w:val="pt-BR"/>
        </w:rPr>
        <w:t>]</w:t>
      </w:r>
    </w:p>
    <w:p>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pPr>
        <w:pStyle w:val="Level4"/>
        <w:tabs>
          <w:tab w:val="clear" w:pos="2041"/>
          <w:tab w:val="num" w:pos="1361"/>
        </w:tabs>
        <w:ind w:left="1360"/>
        <w:rPr>
          <w:lang w:val="pt-BR"/>
        </w:rPr>
      </w:pPr>
      <w:r>
        <w:rPr>
          <w:lang w:val="pt-BR"/>
        </w:rPr>
        <w:t xml:space="preserve">garantir a disponibilização das informações públicas relativas à Emissão em sua página na internet; </w:t>
      </w:r>
    </w:p>
    <w:p>
      <w:pPr>
        <w:pStyle w:val="Level4"/>
        <w:tabs>
          <w:tab w:val="clear" w:pos="2041"/>
          <w:tab w:val="num" w:pos="1361"/>
        </w:tabs>
        <w:ind w:left="1360"/>
        <w:rPr>
          <w:lang w:val="pt-BR"/>
        </w:rPr>
      </w:pPr>
      <w:bookmarkStart w:id="227" w:name="_DV_M282"/>
      <w:bookmarkEnd w:id="227"/>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pPr>
        <w:pStyle w:val="Level4"/>
        <w:tabs>
          <w:tab w:val="clear" w:pos="2041"/>
          <w:tab w:val="num" w:pos="1361"/>
        </w:tabs>
        <w:ind w:left="1360"/>
        <w:rPr>
          <w:lang w:val="pt-BR"/>
        </w:rPr>
      </w:pPr>
      <w:bookmarkStart w:id="228" w:name="_DV_M283"/>
      <w:bookmarkEnd w:id="228"/>
      <w:r>
        <w:rPr>
          <w:lang w:val="pt-BR"/>
        </w:rPr>
        <w:t>acompanhar a observância da periodicidade na prestação das informações obrigatórias, alertando os Debenturistas acerca de eventuais omissões ou inverdades constantes de tais informações;</w:t>
      </w:r>
    </w:p>
    <w:p>
      <w:pPr>
        <w:pStyle w:val="Level4"/>
        <w:tabs>
          <w:tab w:val="clear" w:pos="2041"/>
          <w:tab w:val="num" w:pos="1361"/>
        </w:tabs>
        <w:ind w:left="1360"/>
        <w:rPr>
          <w:lang w:val="pt-BR"/>
        </w:rPr>
      </w:pPr>
      <w:bookmarkStart w:id="229" w:name="_DV_M284"/>
      <w:bookmarkEnd w:id="229"/>
      <w:r>
        <w:rPr>
          <w:lang w:val="pt-BR"/>
        </w:rPr>
        <w:t>solicitar, quando julgar necessário, auditoria externa da Emissora;</w:t>
      </w:r>
    </w:p>
    <w:p>
      <w:pPr>
        <w:pStyle w:val="Level4"/>
        <w:tabs>
          <w:tab w:val="clear" w:pos="2041"/>
          <w:tab w:val="num" w:pos="1361"/>
        </w:tabs>
        <w:ind w:left="1360"/>
        <w:rPr>
          <w:lang w:val="pt-BR"/>
        </w:rPr>
      </w:pPr>
      <w:bookmarkStart w:id="230" w:name="_DV_M285"/>
      <w:bookmarkEnd w:id="230"/>
      <w:r>
        <w:rPr>
          <w:lang w:val="pt-BR"/>
        </w:rP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r>
        <w:rPr>
          <w:highlight w:val="yellow"/>
          <w:lang w:val="pt-BR"/>
        </w:rPr>
        <w:t>Nota PNA: art. 11, XIII, Resolução CVM 17</w:t>
      </w:r>
      <w:r>
        <w:rPr>
          <w:lang w:val="pt-BR"/>
        </w:rPr>
        <w:t>]</w:t>
      </w:r>
    </w:p>
    <w:p>
      <w:pPr>
        <w:pStyle w:val="Level4"/>
        <w:tabs>
          <w:tab w:val="clear" w:pos="2041"/>
          <w:tab w:val="num" w:pos="1361"/>
        </w:tabs>
        <w:ind w:left="1360"/>
        <w:rPr>
          <w:lang w:val="pt-BR"/>
        </w:rPr>
      </w:pPr>
      <w:r>
        <w:rPr>
          <w:lang w:val="pt-BR"/>
        </w:rPr>
        <w:t>solicitar, quando considerar necessário, auditoria externa da Emissora;</w:t>
      </w:r>
    </w:p>
    <w:p>
      <w:pPr>
        <w:pStyle w:val="Level4"/>
        <w:tabs>
          <w:tab w:val="clear" w:pos="2041"/>
          <w:tab w:val="num" w:pos="1361"/>
        </w:tabs>
        <w:ind w:left="1360"/>
        <w:rPr>
          <w:lang w:val="pt-BR"/>
        </w:rPr>
      </w:pPr>
      <w:bookmarkStart w:id="231" w:name="_DV_M286"/>
      <w:bookmarkEnd w:id="231"/>
      <w:r>
        <w:rPr>
          <w:lang w:val="pt-BR"/>
        </w:rPr>
        <w:t>convocar, quando necessário, a Assembleia Geral de Debenturistas, mediante anúncio publicado, pelo menos três vezes, nos órgãos de imprensa nos quais a Emissora deve efetuar suas publicações, às expensas desta;</w:t>
      </w:r>
    </w:p>
    <w:p>
      <w:pPr>
        <w:pStyle w:val="Level4"/>
        <w:tabs>
          <w:tab w:val="clear" w:pos="2041"/>
          <w:tab w:val="num" w:pos="1361"/>
        </w:tabs>
        <w:ind w:left="1360"/>
        <w:rPr>
          <w:lang w:val="pt-BR"/>
        </w:rPr>
      </w:pPr>
      <w:bookmarkStart w:id="232" w:name="_DV_M287"/>
      <w:bookmarkEnd w:id="232"/>
      <w:r>
        <w:rPr>
          <w:lang w:val="pt-BR"/>
        </w:rPr>
        <w:t>comparecer à Assembleia Geral de Debenturistas a fim de prestar as informações que lhe forem solicitadas;</w:t>
      </w:r>
    </w:p>
    <w:p>
      <w:pPr>
        <w:pStyle w:val="Level4"/>
        <w:tabs>
          <w:tab w:val="clear" w:pos="2041"/>
          <w:tab w:val="num" w:pos="1361"/>
        </w:tabs>
        <w:ind w:left="1360"/>
        <w:rPr>
          <w:lang w:val="pt-BR"/>
        </w:rPr>
      </w:pPr>
      <w:bookmarkStart w:id="233" w:name="_DV_M288"/>
      <w:bookmarkStart w:id="234" w:name="_Ref459547205"/>
      <w:bookmarkEnd w:id="233"/>
      <w:r>
        <w:rPr>
          <w:lang w:val="pt-BR"/>
        </w:rPr>
        <w:lastRenderedPageBreak/>
        <w:t>elaborar relatórios anuais destinados aos Debenturistas, nos termos da alínea (b) do parágrafo 1º do artigo 68 da Lei das Sociedades por Ações, relativos aos exercícios sociais da Emissora, os quais deverão conter, ao menos, as seguintes informações:</w:t>
      </w:r>
      <w:bookmarkEnd w:id="234"/>
    </w:p>
    <w:p>
      <w:pPr>
        <w:pStyle w:val="Level5"/>
        <w:tabs>
          <w:tab w:val="clear" w:pos="2721"/>
          <w:tab w:val="num" w:pos="2041"/>
        </w:tabs>
        <w:ind w:left="2040"/>
        <w:rPr>
          <w:lang w:val="pt-BR"/>
        </w:rPr>
      </w:pPr>
      <w:bookmarkStart w:id="235" w:name="_DV_M289"/>
      <w:bookmarkEnd w:id="235"/>
      <w:r>
        <w:rPr>
          <w:lang w:val="pt-BR"/>
        </w:rPr>
        <w:t>cumprimento pela Emissora das suas obrigações de prestação de informações periódicas, indicando as inconsistências ou omissões de que tenha conhecimento;</w:t>
      </w:r>
    </w:p>
    <w:p>
      <w:pPr>
        <w:pStyle w:val="Level5"/>
        <w:tabs>
          <w:tab w:val="clear" w:pos="2721"/>
          <w:tab w:val="num" w:pos="2041"/>
        </w:tabs>
        <w:ind w:left="2040"/>
        <w:rPr>
          <w:lang w:val="pt-BR"/>
        </w:rPr>
      </w:pPr>
      <w:r>
        <w:rPr>
          <w:lang w:val="pt-BR"/>
        </w:rPr>
        <w:t>alterações estatutárias ocorridas no exercício social com efeitos relevantes para os Debenturistas;</w:t>
      </w:r>
    </w:p>
    <w:p>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pPr>
        <w:pStyle w:val="Level5"/>
        <w:tabs>
          <w:tab w:val="clear" w:pos="2721"/>
          <w:tab w:val="num" w:pos="2041"/>
        </w:tabs>
        <w:ind w:left="2040"/>
        <w:rPr>
          <w:lang w:val="pt-BR"/>
        </w:rPr>
      </w:pPr>
      <w:r>
        <w:rPr>
          <w:lang w:val="pt-BR"/>
        </w:rPr>
        <w:t>quantidade de Debêntures emitidas, quantidade de Debêntures em circulação e saldo cancelado no período;</w:t>
      </w:r>
    </w:p>
    <w:p>
      <w:pPr>
        <w:pStyle w:val="Level5"/>
        <w:tabs>
          <w:tab w:val="clear" w:pos="2721"/>
          <w:tab w:val="num" w:pos="2041"/>
        </w:tabs>
        <w:ind w:left="2040"/>
        <w:rPr>
          <w:lang w:val="pt-BR"/>
        </w:rPr>
      </w:pPr>
      <w:r>
        <w:rPr>
          <w:lang w:val="pt-BR"/>
        </w:rPr>
        <w:t>constituição e aplicações do fundo de amortização ou de outros tipos de fundos, quando houver;</w:t>
      </w:r>
    </w:p>
    <w:p>
      <w:pPr>
        <w:pStyle w:val="Level5"/>
        <w:tabs>
          <w:tab w:val="clear" w:pos="2721"/>
          <w:tab w:val="num" w:pos="2041"/>
        </w:tabs>
        <w:ind w:left="2040"/>
        <w:rPr>
          <w:lang w:val="pt-BR"/>
        </w:rPr>
      </w:pPr>
      <w:r>
        <w:rPr>
          <w:lang w:val="pt-BR"/>
        </w:rPr>
        <w:t>resgate, amortização, repactuação e pagamento de juros das Debêntures realizados no período;</w:t>
      </w:r>
    </w:p>
    <w:p>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pPr>
        <w:pStyle w:val="Level5"/>
        <w:tabs>
          <w:tab w:val="clear" w:pos="2721"/>
          <w:tab w:val="num" w:pos="2041"/>
        </w:tabs>
        <w:ind w:left="2040"/>
        <w:rPr>
          <w:lang w:val="pt-BR"/>
        </w:rPr>
      </w:pPr>
      <w:r>
        <w:rPr>
          <w:lang w:val="pt-BR"/>
        </w:rPr>
        <w:t xml:space="preserve">cumprimento de outras obrigações assumidas pela Emissora nesta Escritura de Emissão; </w:t>
      </w:r>
    </w:p>
    <w:p>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pPr>
        <w:pStyle w:val="Level5"/>
        <w:tabs>
          <w:tab w:val="clear" w:pos="2721"/>
          <w:tab w:val="num" w:pos="2041"/>
        </w:tabs>
        <w:ind w:left="2040"/>
        <w:rPr>
          <w:lang w:val="pt-BR"/>
        </w:rPr>
      </w:pPr>
      <w:bookmarkStart w:id="236" w:name="_DV_M290"/>
      <w:bookmarkStart w:id="237" w:name="_DV_M291"/>
      <w:bookmarkStart w:id="238" w:name="_DV_M292"/>
      <w:bookmarkStart w:id="239" w:name="_DV_M293"/>
      <w:bookmarkStart w:id="240" w:name="_DV_M294"/>
      <w:bookmarkStart w:id="241" w:name="_DV_M296"/>
      <w:bookmarkStart w:id="242" w:name="_DV_M297"/>
      <w:bookmarkStart w:id="243" w:name="_Ref459547197"/>
      <w:bookmarkEnd w:id="236"/>
      <w:bookmarkEnd w:id="237"/>
      <w:bookmarkEnd w:id="238"/>
      <w:bookmarkEnd w:id="239"/>
      <w:bookmarkEnd w:id="240"/>
      <w:bookmarkEnd w:id="241"/>
      <w:bookmarkEnd w:id="242"/>
      <w:r>
        <w:rPr>
          <w:lang w:val="pt-BR"/>
        </w:rPr>
        <w:t>declaração sobre a não existência de situação de conflito de interesses que impeça o Agente Fiduciário a continuar exercer a função; e</w:t>
      </w:r>
    </w:p>
    <w:p>
      <w:pPr>
        <w:pStyle w:val="Level5"/>
        <w:tabs>
          <w:tab w:val="clear" w:pos="2721"/>
          <w:tab w:val="num" w:pos="2041"/>
        </w:tabs>
        <w:ind w:left="2040"/>
        <w:rPr>
          <w:lang w:val="pt-BR"/>
        </w:rPr>
      </w:pPr>
      <w:bookmarkStart w:id="244"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43"/>
      <w:bookmarkEnd w:id="244"/>
    </w:p>
    <w:p>
      <w:pPr>
        <w:pStyle w:val="Level6"/>
        <w:tabs>
          <w:tab w:val="clear" w:pos="3402"/>
          <w:tab w:val="num" w:pos="2721"/>
        </w:tabs>
        <w:ind w:left="2720"/>
      </w:pPr>
      <w:bookmarkStart w:id="245" w:name="_DV_M298"/>
      <w:bookmarkStart w:id="246" w:name="_Ref66097846"/>
      <w:bookmarkEnd w:id="245"/>
      <w:r>
        <w:t>denominação da companhia ofertante;</w:t>
      </w:r>
      <w:bookmarkEnd w:id="246"/>
    </w:p>
    <w:p>
      <w:pPr>
        <w:pStyle w:val="Level6"/>
        <w:tabs>
          <w:tab w:val="clear" w:pos="3402"/>
          <w:tab w:val="num" w:pos="2721"/>
        </w:tabs>
        <w:ind w:left="2720"/>
      </w:pPr>
      <w:bookmarkStart w:id="247" w:name="_DV_M299"/>
      <w:bookmarkEnd w:id="247"/>
      <w:r>
        <w:t>valor da emissão;</w:t>
      </w:r>
    </w:p>
    <w:p>
      <w:pPr>
        <w:pStyle w:val="Level6"/>
        <w:tabs>
          <w:tab w:val="clear" w:pos="3402"/>
          <w:tab w:val="num" w:pos="2721"/>
        </w:tabs>
        <w:ind w:left="2720"/>
      </w:pPr>
      <w:bookmarkStart w:id="248" w:name="_DV_M300"/>
      <w:bookmarkEnd w:id="248"/>
      <w:r>
        <w:t>quantidade de valores mobiliários emitidos;</w:t>
      </w:r>
    </w:p>
    <w:p>
      <w:pPr>
        <w:pStyle w:val="Level6"/>
        <w:tabs>
          <w:tab w:val="clear" w:pos="3402"/>
          <w:tab w:val="num" w:pos="2721"/>
        </w:tabs>
        <w:ind w:left="2720"/>
      </w:pPr>
      <w:bookmarkStart w:id="249" w:name="_DV_M301"/>
      <w:bookmarkEnd w:id="249"/>
      <w:r>
        <w:t xml:space="preserve">espécie e garantias envolvidas; </w:t>
      </w:r>
    </w:p>
    <w:p>
      <w:pPr>
        <w:pStyle w:val="Level6"/>
        <w:tabs>
          <w:tab w:val="clear" w:pos="3402"/>
          <w:tab w:val="num" w:pos="2721"/>
        </w:tabs>
        <w:ind w:left="2720"/>
      </w:pPr>
      <w:bookmarkStart w:id="250" w:name="_DV_M302"/>
      <w:bookmarkEnd w:id="250"/>
      <w:r>
        <w:lastRenderedPageBreak/>
        <w:t>prazo de vencimento e taxa de juros;</w:t>
      </w:r>
    </w:p>
    <w:p>
      <w:pPr>
        <w:pStyle w:val="Level6"/>
        <w:tabs>
          <w:tab w:val="clear" w:pos="3402"/>
          <w:tab w:val="num" w:pos="2721"/>
        </w:tabs>
        <w:ind w:left="2720"/>
      </w:pPr>
      <w:bookmarkStart w:id="251" w:name="_DV_M303"/>
      <w:bookmarkStart w:id="252" w:name="_DV_M304"/>
      <w:bookmarkEnd w:id="251"/>
      <w:bookmarkEnd w:id="252"/>
      <w:r>
        <w:t>inadimplemento no período.</w:t>
      </w:r>
    </w:p>
    <w:p>
      <w:pPr>
        <w:pStyle w:val="Level4"/>
        <w:tabs>
          <w:tab w:val="clear" w:pos="2041"/>
          <w:tab w:val="num" w:pos="1361"/>
        </w:tabs>
        <w:ind w:left="1359"/>
        <w:rPr>
          <w:lang w:val="pt-BR"/>
        </w:rPr>
      </w:pPr>
      <w:bookmarkStart w:id="253" w:name="_DV_M305"/>
      <w:bookmarkEnd w:id="253"/>
      <w:r>
        <w:rPr>
          <w:lang w:val="pt-BR"/>
        </w:rPr>
        <w:t>manter atualizada a sua declaração sobre sua aptidão para continuar exercendo a função de agente fiduciário da Emissão;</w:t>
      </w:r>
    </w:p>
    <w:p>
      <w:pPr>
        <w:pStyle w:val="Level4"/>
        <w:tabs>
          <w:tab w:val="clear" w:pos="2041"/>
          <w:tab w:val="num" w:pos="1361"/>
        </w:tabs>
        <w:ind w:left="1359"/>
        <w:rPr>
          <w:lang w:val="pt-BR"/>
        </w:rPr>
      </w:pPr>
      <w:bookmarkStart w:id="254" w:name="_DV_M306"/>
      <w:bookmarkEnd w:id="254"/>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Pr>
          <w:lang w:val="pt-BR"/>
        </w:rPr>
        <w:t>10.5(xvi)(l)(I)</w:t>
      </w:r>
      <w:r>
        <w:rPr>
          <w:lang w:val="pt-BR"/>
        </w:rPr>
        <w:fldChar w:fldCharType="end"/>
      </w:r>
      <w:r>
        <w:rPr>
          <w:lang w:val="pt-BR"/>
        </w:rPr>
        <w:t xml:space="preserve"> acima, em sua página na rede mundial de computadores tão logo delas tenha conhecimento;</w:t>
      </w:r>
    </w:p>
    <w:p>
      <w:pPr>
        <w:pStyle w:val="Level4"/>
        <w:tabs>
          <w:tab w:val="clear" w:pos="2041"/>
          <w:tab w:val="num" w:pos="1361"/>
        </w:tabs>
        <w:ind w:left="1359"/>
        <w:rPr>
          <w:rFonts w:cs="Arial"/>
          <w:lang w:val="pt-BR"/>
        </w:rPr>
      </w:pPr>
      <w:bookmarkStart w:id="255" w:name="_DV_M307"/>
      <w:bookmarkStart w:id="256" w:name="_Ref460949229"/>
      <w:bookmarkEnd w:id="255"/>
      <w:r>
        <w:rPr>
          <w:lang w:val="pt-BR"/>
        </w:rPr>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Pr>
          <w:lang w:val="pt-BR"/>
        </w:rPr>
        <w:t>10.5(xvi)(l)</w:t>
      </w:r>
      <w:r>
        <w:rPr>
          <w:lang w:val="pt-BR"/>
        </w:rPr>
        <w:fldChar w:fldCharType="end"/>
      </w:r>
      <w:r>
        <w:rPr>
          <w:lang w:val="pt-BR"/>
        </w:rPr>
        <w:t xml:space="preserve"> acima aos Debenturistas até o dia 30 de abril de cada ano</w:t>
      </w:r>
      <w:bookmarkEnd w:id="256"/>
      <w:r>
        <w:rPr>
          <w:lang w:val="pt-BR"/>
        </w:rPr>
        <w:t xml:space="preserve"> em sua página na rede mundial de computadores (</w:t>
      </w:r>
      <w:hyperlink r:id="rId31" w:history="1">
        <w:r>
          <w:rPr>
            <w:rStyle w:val="Hyperlink"/>
            <w:rFonts w:ascii="Arial" w:hAnsi="Arial"/>
            <w:sz w:val="20"/>
            <w:szCs w:val="20"/>
          </w:rPr>
          <w:t>www.simplificpavarini.com.br</w:t>
        </w:r>
      </w:hyperlink>
      <w:r>
        <w:rPr>
          <w:lang w:val="pt-BR"/>
        </w:rPr>
        <w:t>);</w:t>
      </w:r>
    </w:p>
    <w:p>
      <w:pPr>
        <w:pStyle w:val="Level4"/>
        <w:tabs>
          <w:tab w:val="clear" w:pos="2041"/>
          <w:tab w:val="num" w:pos="1361"/>
        </w:tabs>
        <w:ind w:left="1359"/>
        <w:rPr>
          <w:rFonts w:cs="Arial"/>
          <w:lang w:val="pt-BR"/>
        </w:rPr>
      </w:pPr>
      <w:bookmarkStart w:id="257" w:name="_DV_M313"/>
      <w:bookmarkStart w:id="258" w:name="_DV_M314"/>
      <w:bookmarkEnd w:id="257"/>
      <w:bookmarkEnd w:id="258"/>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pPr>
        <w:pStyle w:val="Level4"/>
        <w:tabs>
          <w:tab w:val="clear" w:pos="2041"/>
          <w:tab w:val="num" w:pos="1361"/>
        </w:tabs>
        <w:ind w:left="1359"/>
        <w:rPr>
          <w:rFonts w:cs="Arial"/>
          <w:lang w:val="pt-BR"/>
        </w:rPr>
      </w:pPr>
      <w:bookmarkStart w:id="259" w:name="_DV_M315"/>
      <w:bookmarkEnd w:id="259"/>
      <w:r>
        <w:rPr>
          <w:rFonts w:cs="Arial"/>
          <w:lang w:val="pt-BR"/>
        </w:rPr>
        <w:t>fiscalizar o cumprimento das Cláusulas constantes desta Escritura de Emissão e todas aquelas impositivas de obrigações de fazer e não fazer;</w:t>
      </w:r>
    </w:p>
    <w:p>
      <w:pPr>
        <w:pStyle w:val="Level4"/>
        <w:tabs>
          <w:tab w:val="clear" w:pos="2041"/>
          <w:tab w:val="num" w:pos="1361"/>
        </w:tabs>
        <w:ind w:left="1359"/>
        <w:rPr>
          <w:rFonts w:cs="Arial"/>
          <w:lang w:val="pt-BR"/>
        </w:rPr>
      </w:pPr>
      <w:bookmarkStart w:id="260" w:name="_DV_M316"/>
      <w:bookmarkEnd w:id="260"/>
      <w:r>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Pr>
          <w:rFonts w:cs="Arial"/>
          <w:lang w:val="pt-BR"/>
        </w:rPr>
        <w:t>; [</w:t>
      </w:r>
      <w:r>
        <w:rPr>
          <w:rFonts w:cs="Arial"/>
          <w:highlight w:val="yellow"/>
          <w:lang w:val="pt-BR"/>
        </w:rPr>
        <w:t>Nota PNA: art. 11, XXI, Resolução CVM 17</w:t>
      </w:r>
      <w:r>
        <w:rPr>
          <w:rFonts w:cs="Arial"/>
          <w:lang w:val="pt-BR"/>
        </w:rPr>
        <w:t>]</w:t>
      </w:r>
    </w:p>
    <w:p>
      <w:pPr>
        <w:pStyle w:val="Level4"/>
        <w:tabs>
          <w:tab w:val="clear" w:pos="2041"/>
          <w:tab w:val="num" w:pos="1361"/>
        </w:tabs>
        <w:ind w:left="1359"/>
        <w:rPr>
          <w:rFonts w:cs="Arial"/>
          <w:lang w:val="pt-BR"/>
        </w:rPr>
      </w:pPr>
      <w:bookmarkStart w:id="261" w:name="_DV_M317"/>
      <w:bookmarkEnd w:id="261"/>
      <w:r>
        <w:rPr>
          <w:rFonts w:cs="Arial"/>
          <w:lang w:val="pt-BR"/>
        </w:rPr>
        <w:t>emitir parecer sobre a suficiência das informações constantes de eventuais propostas de modificações nas condições das Debêntures;</w:t>
      </w:r>
    </w:p>
    <w:p>
      <w:pPr>
        <w:pStyle w:val="Level4"/>
        <w:tabs>
          <w:tab w:val="clear" w:pos="2041"/>
          <w:tab w:val="num" w:pos="1361"/>
        </w:tabs>
        <w:ind w:left="1359"/>
        <w:rPr>
          <w:rFonts w:cs="Arial"/>
          <w:lang w:val="pt-BR"/>
        </w:rPr>
      </w:pPr>
      <w:bookmarkStart w:id="262" w:name="_DV_M318"/>
      <w:bookmarkEnd w:id="262"/>
      <w:r>
        <w:rPr>
          <w:rStyle w:val="MquinadeescreverHTML"/>
          <w:rFonts w:ascii="Arial" w:hAnsi="Arial" w:cs="Arial"/>
        </w:rPr>
        <w:t xml:space="preserve">disponibilizar aos Debenturistas e demais participantes do mercado, em sua central de atendimento e/ou </w:t>
      </w:r>
      <w:r>
        <w:rPr>
          <w:rStyle w:val="MquinadeescreverHTML"/>
          <w:rFonts w:ascii="Arial" w:hAnsi="Arial" w:cs="Arial"/>
          <w:i/>
        </w:rPr>
        <w:t>website</w:t>
      </w:r>
      <w:r>
        <w:rPr>
          <w:rStyle w:val="DeltaViewInsertion"/>
          <w:rFonts w:cs="Arial"/>
          <w:color w:val="auto"/>
          <w:u w:val="none"/>
          <w:lang w:val="pt-BR"/>
        </w:rPr>
        <w:t>,</w:t>
      </w:r>
      <w:r>
        <w:rPr>
          <w:rStyle w:val="MquinadeescreverHTML"/>
          <w:rFonts w:ascii="Arial" w:hAnsi="Arial" w:cs="Arial"/>
        </w:rPr>
        <w:t xml:space="preserve"> o cálculo do Valor Nominal Unitário, da Atualização Monetária, conforme o caso, e da Remuneração, a ser calculado pelo Agente Fiduciário; </w:t>
      </w:r>
    </w:p>
    <w:p>
      <w:pPr>
        <w:pStyle w:val="Level4"/>
        <w:tabs>
          <w:tab w:val="clear" w:pos="2041"/>
          <w:tab w:val="num" w:pos="1361"/>
        </w:tabs>
        <w:ind w:left="1359"/>
        <w:rPr>
          <w:rFonts w:cs="Arial"/>
          <w:lang w:val="pt-BR"/>
        </w:rPr>
      </w:pPr>
      <w:bookmarkStart w:id="263" w:name="_DV_M319"/>
      <w:bookmarkEnd w:id="263"/>
      <w:r>
        <w:rPr>
          <w:rFonts w:cs="Arial"/>
          <w:lang w:val="pt-BR"/>
        </w:rPr>
        <w:t>acompanhar com o Banco Liquidante em cada data de pagamento, o integral e pontual pagamento dos valores devidos, conforme estipulado na presente Escritura de Emissão; e</w:t>
      </w:r>
    </w:p>
    <w:p>
      <w:pPr>
        <w:pStyle w:val="Level4"/>
        <w:tabs>
          <w:tab w:val="clear" w:pos="2041"/>
          <w:tab w:val="num" w:pos="1361"/>
        </w:tabs>
        <w:ind w:left="1359"/>
        <w:rPr>
          <w:rFonts w:cs="Arial"/>
          <w:lang w:val="pt-BR"/>
        </w:rPr>
      </w:pPr>
      <w:bookmarkStart w:id="264" w:name="_DV_M320"/>
      <w:bookmarkEnd w:id="264"/>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pPr>
        <w:pStyle w:val="Level2"/>
        <w:spacing w:before="140" w:after="0"/>
        <w:rPr>
          <w:lang w:val="pt-BR"/>
        </w:rPr>
      </w:pPr>
      <w:bookmarkStart w:id="265" w:name="_DV_M321"/>
      <w:bookmarkEnd w:id="265"/>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w:t>
      </w:r>
      <w:r>
        <w:rPr>
          <w:rStyle w:val="DeltaViewInsertion"/>
          <w:rFonts w:cs="Arial"/>
          <w:color w:val="auto"/>
          <w:szCs w:val="20"/>
          <w:u w:val="none"/>
          <w:lang w:val="pt-BR"/>
        </w:rPr>
        <w:lastRenderedPageBreak/>
        <w:t xml:space="preserve">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pPr>
        <w:pStyle w:val="Level2"/>
        <w:spacing w:before="140" w:after="0"/>
        <w:rPr>
          <w:rStyle w:val="DeltaViewInsertion"/>
          <w:color w:val="auto"/>
          <w:u w:val="none"/>
          <w:lang w:val="pt-BR"/>
        </w:rPr>
      </w:pPr>
      <w:bookmarkStart w:id="266" w:name="_DV_M322"/>
      <w:bookmarkStart w:id="267" w:name="_DV_M323"/>
      <w:bookmarkEnd w:id="266"/>
      <w:bookmarkEnd w:id="267"/>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pPr>
        <w:pStyle w:val="Level2"/>
        <w:spacing w:before="140" w:after="0"/>
        <w:rPr>
          <w:lang w:val="pt-BR"/>
        </w:rPr>
      </w:pPr>
      <w:bookmarkStart w:id="268" w:name="_DV_M324"/>
      <w:bookmarkEnd w:id="268"/>
      <w:r>
        <w:rPr>
          <w:rStyle w:val="DeltaViewInsertion"/>
          <w:rFonts w:cs="Arial"/>
          <w:color w:val="auto"/>
          <w:szCs w:val="20"/>
          <w:u w:val="none"/>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r>
        <w:rPr>
          <w:rStyle w:val="DeltaViewInsertion"/>
          <w:rFonts w:cs="Arial"/>
          <w:color w:val="auto"/>
          <w:szCs w:val="20"/>
          <w:highlight w:val="yellow"/>
          <w:u w:val="none"/>
          <w:lang w:val="pt-BR"/>
        </w:rPr>
        <w:t>Nota PNA: AF, favor confirmar manutenção. Exclusão solicitada pela CVM em oportunidades recentes em que CVM revisou a Escritura]</w:t>
      </w:r>
      <w:r>
        <w:rPr>
          <w:rStyle w:val="DeltaViewInsertion"/>
          <w:rFonts w:cs="Arial"/>
          <w:color w:val="auto"/>
          <w:szCs w:val="20"/>
          <w:u w:val="none"/>
          <w:lang w:val="pt-BR"/>
        </w:rPr>
        <w:t xml:space="preserve"> </w:t>
      </w:r>
      <w:bookmarkStart w:id="269" w:name="_DV_M325"/>
      <w:bookmarkStart w:id="270" w:name="_Ref459547597"/>
      <w:bookmarkEnd w:id="269"/>
    </w:p>
    <w:p>
      <w:pPr>
        <w:pStyle w:val="Level2"/>
        <w:spacing w:before="140" w:after="0"/>
        <w:rPr>
          <w:lang w:val="pt-BR"/>
        </w:rPr>
      </w:pPr>
      <w:r>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End w:id="270"/>
      <w:r>
        <w:rPr>
          <w:lang w:val="pt-BR"/>
        </w:rPr>
        <w:t xml:space="preserve"> [</w:t>
      </w:r>
      <w:r>
        <w:rPr>
          <w:highlight w:val="yellow"/>
          <w:lang w:val="pt-BR"/>
        </w:rPr>
        <w:t>Nota PNA: essa previsão foi excluída a partir da ICVM 583. Por isso ajustamos e replicamos cf. conteúdo do artigo 12 da Resolução CVM 17</w:t>
      </w:r>
      <w:r>
        <w:rPr>
          <w:lang w:val="pt-BR"/>
        </w:rPr>
        <w:t>]</w:t>
      </w:r>
      <w:bookmarkStart w:id="271" w:name="_DV_M326"/>
      <w:bookmarkStart w:id="272" w:name="_DV_M327"/>
      <w:bookmarkStart w:id="273" w:name="_DV_M328"/>
      <w:bookmarkStart w:id="274" w:name="_DV_M329"/>
      <w:bookmarkStart w:id="275" w:name="_DV_M330"/>
      <w:bookmarkStart w:id="276" w:name="_DV_M331"/>
      <w:bookmarkEnd w:id="271"/>
      <w:bookmarkEnd w:id="272"/>
      <w:bookmarkEnd w:id="273"/>
      <w:bookmarkEnd w:id="274"/>
      <w:bookmarkEnd w:id="275"/>
      <w:bookmarkEnd w:id="276"/>
    </w:p>
    <w:p>
      <w:pPr>
        <w:pStyle w:val="Level2"/>
        <w:spacing w:before="140" w:after="0"/>
        <w:rPr>
          <w:lang w:val="pt-BR"/>
        </w:rPr>
      </w:pPr>
      <w:bookmarkStart w:id="277" w:name="_DV_M332"/>
      <w:bookmarkEnd w:id="277"/>
      <w:r>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pPr>
        <w:pStyle w:val="Level3"/>
        <w:spacing w:before="140" w:after="0"/>
        <w:rPr>
          <w:lang w:val="pt-BR"/>
        </w:rPr>
      </w:pPr>
      <w:bookmarkStart w:id="278" w:name="_DV_M333"/>
      <w:bookmarkStart w:id="279" w:name="_DV_M334"/>
      <w:bookmarkEnd w:id="278"/>
      <w:bookmarkEnd w:id="279"/>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pPr>
        <w:pStyle w:val="Level3"/>
        <w:spacing w:before="140" w:after="0"/>
        <w:rPr>
          <w:lang w:val="pt-BR"/>
        </w:rPr>
      </w:pPr>
      <w:r>
        <w:rPr>
          <w:lang w:val="pt-BR"/>
        </w:rPr>
        <w:t xml:space="preserve">É facultado aos Debenturistas, após o encerramento do prazo para a subscrição e integralização da totalidade das Debêntures, proceder à substituição do Agente </w:t>
      </w:r>
      <w:r>
        <w:rPr>
          <w:lang w:val="pt-BR"/>
        </w:rPr>
        <w:lastRenderedPageBreak/>
        <w:t>Fiduciário e à indicação de seu substituto, em Assembleia Geral Debenturistas especialmente convocada para esse fim.</w:t>
      </w:r>
    </w:p>
    <w:p>
      <w:pPr>
        <w:pStyle w:val="Level3"/>
        <w:spacing w:before="140" w:after="0"/>
        <w:rPr>
          <w:lang w:val="pt-BR"/>
        </w:rPr>
      </w:pPr>
      <w:bookmarkStart w:id="280" w:name="_DV_M335"/>
      <w:bookmarkEnd w:id="280"/>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pStyle w:val="Level3"/>
        <w:spacing w:before="140" w:after="0"/>
        <w:rPr>
          <w:lang w:val="pt-BR"/>
        </w:rPr>
      </w:pPr>
      <w:bookmarkStart w:id="281" w:name="_DV_M336"/>
      <w:bookmarkEnd w:id="281"/>
      <w:r>
        <w:rPr>
          <w:lang w:val="pt-BR"/>
        </w:rPr>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Pr>
          <w:rFonts w:cs="Arial"/>
          <w:bCs/>
          <w:szCs w:val="20"/>
          <w:lang w:val="pt-BR"/>
        </w:rPr>
        <w:t>Resolução CVM 17</w:t>
      </w:r>
      <w:r>
        <w:rPr>
          <w:lang w:val="pt-BR"/>
        </w:rPr>
        <w:t>.</w:t>
      </w:r>
    </w:p>
    <w:p>
      <w:pPr>
        <w:pStyle w:val="Level3"/>
        <w:spacing w:before="140" w:after="0"/>
        <w:rPr>
          <w:lang w:val="pt-BR"/>
        </w:rPr>
      </w:pPr>
      <w:bookmarkStart w:id="282" w:name="_DV_M337"/>
      <w:bookmarkEnd w:id="282"/>
      <w:r>
        <w:rPr>
          <w:lang w:val="pt-BR"/>
        </w:rPr>
        <w:t xml:space="preserve">A substituição do Agente Fiduciário em caráter permanente deverá ser objeto de aditamento à Escritura de Emissão, que deverá ser registrado nos termos da </w:t>
      </w:r>
      <w:r>
        <w:rPr>
          <w:rFonts w:cs="Arial"/>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lang w:val="pt-BR"/>
        </w:rPr>
        <w:t>2.2.1</w:t>
      </w:r>
      <w:r>
        <w:rPr>
          <w:lang w:val="pt-BR"/>
        </w:rPr>
        <w:fldChar w:fldCharType="end"/>
      </w:r>
      <w:r>
        <w:rPr>
          <w:lang w:val="pt-BR"/>
        </w:rPr>
        <w:t xml:space="preserve"> acima.</w:t>
      </w:r>
    </w:p>
    <w:p>
      <w:pPr>
        <w:pStyle w:val="Level3"/>
        <w:spacing w:before="140" w:after="0"/>
        <w:rPr>
          <w:lang w:val="pt-BR"/>
        </w:rPr>
      </w:pPr>
      <w:bookmarkStart w:id="283" w:name="_DV_M338"/>
      <w:bookmarkEnd w:id="283"/>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Pr>
          <w:lang w:val="pt-BR"/>
        </w:rPr>
        <w:t>6.19</w:t>
      </w:r>
      <w:r>
        <w:rPr>
          <w:lang w:val="pt-BR"/>
        </w:rPr>
        <w:fldChar w:fldCharType="end"/>
      </w:r>
      <w:r>
        <w:rPr>
          <w:lang w:val="pt-BR"/>
        </w:rPr>
        <w:t xml:space="preserve"> acima.</w:t>
      </w:r>
    </w:p>
    <w:p>
      <w:pPr>
        <w:pStyle w:val="Level3"/>
        <w:spacing w:before="140" w:after="0"/>
        <w:rPr>
          <w:rFonts w:cs="Arial"/>
          <w:szCs w:val="20"/>
          <w:lang w:val="pt-BR"/>
        </w:rPr>
      </w:pPr>
      <w:bookmarkStart w:id="284" w:name="_DV_M339"/>
      <w:bookmarkEnd w:id="284"/>
      <w:r>
        <w:rPr>
          <w:rFonts w:cs="Arial"/>
          <w:szCs w:val="20"/>
          <w:lang w:val="pt-BR"/>
        </w:rPr>
        <w:t>Aplicam-se às hipóteses de substituição do Agente Fiduciário as normas e preceitos a este respeito promulgados por atos da CVM.</w:t>
      </w:r>
    </w:p>
    <w:p>
      <w:pPr>
        <w:pStyle w:val="Level1"/>
      </w:pPr>
      <w:bookmarkStart w:id="285" w:name="_DV_M340"/>
      <w:bookmarkStart w:id="286" w:name="_Ref427712773"/>
      <w:bookmarkEnd w:id="285"/>
      <w:r>
        <w:t>DA ASSEMBLEIA GERAL DE DEBENTURISTAS</w:t>
      </w:r>
      <w:bookmarkEnd w:id="286"/>
    </w:p>
    <w:p>
      <w:pPr>
        <w:pStyle w:val="Level2"/>
        <w:spacing w:before="140" w:after="0"/>
        <w:rPr>
          <w:lang w:val="pt-BR"/>
        </w:rPr>
      </w:pPr>
      <w:bookmarkStart w:id="287" w:name="_DV_M341"/>
      <w:bookmarkStart w:id="288" w:name="_DV_M353"/>
      <w:bookmarkStart w:id="289" w:name="_DV_M354"/>
      <w:bookmarkEnd w:id="287"/>
      <w:bookmarkEnd w:id="288"/>
      <w:bookmarkEnd w:id="289"/>
      <w:r>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Pr>
          <w:b/>
          <w:lang w:val="pt-BR"/>
        </w:rPr>
        <w:t>Assembleia Geral de Debenturistas</w:t>
      </w:r>
      <w:r>
        <w:rPr>
          <w:lang w:val="pt-BR"/>
        </w:rPr>
        <w:t>”):</w:t>
      </w:r>
    </w:p>
    <w:p>
      <w:pPr>
        <w:pStyle w:val="Level4"/>
        <w:tabs>
          <w:tab w:val="clear" w:pos="2041"/>
          <w:tab w:val="num" w:pos="1361"/>
        </w:tabs>
        <w:spacing w:before="140" w:after="0"/>
        <w:ind w:left="1360"/>
        <w:rPr>
          <w:lang w:val="pt-BR"/>
        </w:rPr>
      </w:pPr>
      <w:bookmarkStart w:id="290"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290"/>
      <w:r>
        <w:rPr>
          <w:lang w:val="pt-BR"/>
        </w:rPr>
        <w:t xml:space="preserve"> </w:t>
      </w:r>
    </w:p>
    <w:p>
      <w:pPr>
        <w:pStyle w:val="Level4"/>
        <w:tabs>
          <w:tab w:val="clear" w:pos="2041"/>
          <w:tab w:val="num" w:pos="1361"/>
        </w:tabs>
        <w:spacing w:before="140" w:after="0"/>
        <w:ind w:left="1360"/>
        <w:rPr>
          <w:lang w:val="pt-BR"/>
        </w:rPr>
      </w:pPr>
      <w:r>
        <w:rPr>
          <w:lang w:val="pt-BR"/>
        </w:rPr>
        <w:t xml:space="preserve">quando a matéria a ser deliberada </w:t>
      </w:r>
      <w:bookmarkStart w:id="291" w:name="_Hlk12959232"/>
      <w:r>
        <w:rPr>
          <w:lang w:val="pt-BR"/>
        </w:rPr>
        <w:t>abranger interesses de todas as séries</w:t>
      </w:r>
      <w:bookmarkEnd w:id="291"/>
      <w:r>
        <w:rPr>
          <w:lang w:val="pt-BR"/>
        </w:rPr>
        <w:t xml:space="preserve">, os Debenturistas, a qualquer tempo, reunir-se-ão em assembleia geral conjunta, a fim de deliberarem sobre matéria de interesse da comunhão dos Debenturistas de todas as séries. </w:t>
      </w:r>
    </w:p>
    <w:p>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pPr>
        <w:pStyle w:val="Level3"/>
        <w:spacing w:before="140" w:after="0"/>
        <w:rPr>
          <w:lang w:val="pt-BR"/>
        </w:rPr>
      </w:pPr>
      <w:bookmarkStart w:id="292" w:name="_Ref187755774"/>
      <w:r>
        <w:rPr>
          <w:lang w:val="pt-BR"/>
        </w:rPr>
        <w:lastRenderedPageBreak/>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2"/>
    </w:p>
    <w:p>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pPr>
        <w:pStyle w:val="Level2"/>
        <w:spacing w:before="140" w:after="0"/>
        <w:rPr>
          <w:lang w:val="pt-BR"/>
        </w:rPr>
      </w:pPr>
      <w:r>
        <w:rPr>
          <w:lang w:val="pt-BR"/>
        </w:rPr>
        <w:t>A presidência da Assembleia Geral de Debenturistas caberá ao Debenturista eleito pelos Debenturistas presentes ou àquele que for designado pela CVM.</w:t>
      </w:r>
    </w:p>
    <w:p>
      <w:pPr>
        <w:pStyle w:val="Level2"/>
        <w:spacing w:before="140" w:after="0"/>
        <w:rPr>
          <w:lang w:val="pt-BR"/>
        </w:rPr>
      </w:pPr>
      <w:r>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pPr>
        <w:pStyle w:val="Level2"/>
        <w:spacing w:before="140" w:after="0"/>
        <w:rPr>
          <w:lang w:val="pt-BR"/>
        </w:rPr>
      </w:pPr>
      <w:bookmarkStart w:id="293"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293"/>
    </w:p>
    <w:p>
      <w:pPr>
        <w:pStyle w:val="Level3"/>
        <w:spacing w:before="140" w:after="0"/>
        <w:rPr>
          <w:lang w:val="pt-BR"/>
        </w:rPr>
      </w:pPr>
      <w:r>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pPr>
        <w:pStyle w:val="Level3"/>
        <w:spacing w:before="140" w:after="0"/>
        <w:rPr>
          <w:lang w:val="pt-BR"/>
        </w:rPr>
      </w:pPr>
      <w:r>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pPr>
        <w:pStyle w:val="Level2"/>
        <w:spacing w:before="140" w:after="0"/>
        <w:rPr>
          <w:lang w:val="pt-BR"/>
        </w:rPr>
      </w:pPr>
      <w:r>
        <w:rPr>
          <w:lang w:val="pt-BR"/>
        </w:rPr>
        <w:t xml:space="preserve">Será obrigatória a presença dos representantes legais da Emissora na Assembleia Geral de Debenturistas convocadas pela Emissora, enquanto que nas assembleias convocadas pelos Debenturistas ou pelo Agente Fiduciário, a presença dos </w:t>
      </w:r>
      <w:r>
        <w:rPr>
          <w:lang w:val="pt-BR"/>
        </w:rPr>
        <w:lastRenderedPageBreak/>
        <w:t>representantes legais da Emissora será facultativa, a não ser quando ela seja solicitada pelos Debenturistas ou pelo Agente Fiduciário, conforme o caso, hipótese em que será obrigatória.</w:t>
      </w:r>
    </w:p>
    <w:p>
      <w:pPr>
        <w:pStyle w:val="Level2"/>
        <w:spacing w:before="140" w:after="0"/>
        <w:rPr>
          <w:lang w:val="pt-BR"/>
        </w:rPr>
      </w:pPr>
      <w:r>
        <w:rPr>
          <w:lang w:val="pt-BR"/>
        </w:rPr>
        <w:t>O Agente Fiduciário deverá comparecer à Assembleia Geral de Debenturistas para prestar aos Debenturistas as informações que lhe forem solicitadas.</w:t>
      </w:r>
    </w:p>
    <w:p>
      <w:pPr>
        <w:pStyle w:val="Level2"/>
        <w:spacing w:before="140"/>
        <w:rPr>
          <w:lang w:val="pt-BR"/>
        </w:rPr>
      </w:pPr>
      <w:bookmarkStart w:id="294" w:name="_Ref392020859"/>
      <w:bookmarkStart w:id="295" w:name="_Ref427710498"/>
      <w:bookmarkStart w:id="296" w:name="_Ref459667707"/>
      <w:bookmarkStart w:id="297"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serem tomadas em Assembleia Geral de Debenturista, instaladas em primeira convocação ou em segunda convocação, dependerão de aprovação de Debenturistas, em conjunto, representando, no mínimo, 2/3 (dois terços) das Debêntures em Circulação. </w:t>
      </w:r>
      <w:r>
        <w:rPr>
          <w:b/>
          <w:bCs/>
          <w:highlight w:val="yellow"/>
          <w:lang w:val="pt-BR"/>
        </w:rPr>
        <w:t xml:space="preserve">[Nota Lefosse: Redação e quórum pendente de validação pelos Coordenadores]. </w:t>
      </w:r>
    </w:p>
    <w:p>
      <w:pPr>
        <w:pStyle w:val="Level2"/>
        <w:rPr>
          <w:szCs w:val="20"/>
          <w:lang w:val="pt-BR"/>
        </w:rPr>
      </w:pPr>
      <w:bookmarkStart w:id="298" w:name="_Ref66297270"/>
      <w:bookmarkStart w:id="299"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298"/>
      <w:r>
        <w:rPr>
          <w:lang w:val="pt-BR"/>
        </w:rPr>
        <w:t xml:space="preserve"> </w:t>
      </w:r>
      <w:r>
        <w:rPr>
          <w:b/>
          <w:bCs/>
          <w:highlight w:val="yellow"/>
          <w:lang w:val="pt-BR"/>
        </w:rPr>
        <w:t>[Nota Lefosse: Redação e quórum pendente de validação pelos Coordenadores].</w:t>
      </w:r>
    </w:p>
    <w:p>
      <w:pPr>
        <w:pStyle w:val="Level4"/>
        <w:tabs>
          <w:tab w:val="clear" w:pos="2041"/>
          <w:tab w:val="num" w:pos="1361"/>
        </w:tabs>
        <w:ind w:left="1360"/>
        <w:rPr>
          <w:lang w:val="pt-BR"/>
        </w:rPr>
      </w:pPr>
      <w:bookmarkStart w:id="300"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299"/>
      <w:bookmarkEnd w:id="300"/>
      <w:r>
        <w:rPr>
          <w:lang w:val="pt-BR"/>
        </w:rPr>
        <w:t xml:space="preserve"> </w:t>
      </w:r>
    </w:p>
    <w:p>
      <w:pPr>
        <w:pStyle w:val="Level4"/>
        <w:tabs>
          <w:tab w:val="clear" w:pos="2041"/>
          <w:tab w:val="left" w:pos="1361"/>
        </w:tabs>
        <w:ind w:left="1360"/>
        <w:rPr>
          <w:lang w:val="pt-BR"/>
        </w:rPr>
      </w:pPr>
      <w:bookmarkStart w:id="301" w:name="_Ref66267984"/>
      <w:bookmarkStart w:id="302" w:name="_Ref66280278"/>
      <w:bookmarkStart w:id="303" w:name="_Ref66297942"/>
      <w:r>
        <w:rPr>
          <w:lang w:val="pt-BR"/>
        </w:rPr>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294"/>
      <w:bookmarkEnd w:id="295"/>
      <w:bookmarkEnd w:id="301"/>
      <w:r>
        <w:rPr>
          <w:lang w:val="pt-BR"/>
        </w:rPr>
        <w:t>em Circulação da referida série. No caso de deliberações a serem tomadas em Assembleia Geral de Debenturistas das Debêntures da Terceira Série em segunda convocação, os quóruns serão de, no mínimo, 50% (cinquenta por cento) mais uma das Debêntures em Circulação da referida série presentes na Assembleia Geral de Debenturistas, desde que estejam presentes na referida assembleia, no mínimo, 20% (vinte por cento) das Debêntures em Circulação</w:t>
      </w:r>
      <w:bookmarkStart w:id="304" w:name="_Ref392020841"/>
      <w:bookmarkEnd w:id="296"/>
      <w:bookmarkEnd w:id="297"/>
      <w:bookmarkEnd w:id="302"/>
      <w:r>
        <w:rPr>
          <w:lang w:val="pt-BR"/>
        </w:rPr>
        <w:t xml:space="preserve"> da referida série.</w:t>
      </w:r>
      <w:bookmarkEnd w:id="303"/>
    </w:p>
    <w:p>
      <w:pPr>
        <w:pStyle w:val="Level2"/>
        <w:rPr>
          <w:lang w:val="pt-BR"/>
        </w:rPr>
      </w:pPr>
      <w:bookmarkStart w:id="305"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 </w:t>
      </w:r>
      <w:r>
        <w:rPr>
          <w:b/>
          <w:bCs/>
          <w:highlight w:val="yellow"/>
          <w:lang w:val="pt-BR"/>
        </w:rPr>
        <w:t>[Nota Lefosse: Redação e quórum pendente de validação pelos Coordenadores].</w:t>
      </w:r>
    </w:p>
    <w:p>
      <w:pPr>
        <w:pStyle w:val="Level2"/>
        <w:rPr>
          <w:lang w:val="pt-BR"/>
        </w:rPr>
      </w:pPr>
      <w:r>
        <w:rPr>
          <w:lang w:val="pt-BR"/>
        </w:rPr>
        <w:lastRenderedPageBreak/>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Pr>
          <w:lang w:val="pt-BR"/>
        </w:rPr>
        <w:t>11</w:t>
      </w:r>
      <w:r>
        <w:rPr>
          <w:lang w:val="pt-BR"/>
        </w:rPr>
        <w:fldChar w:fldCharType="end"/>
      </w:r>
      <w:r>
        <w:rPr>
          <w:lang w:val="pt-BR"/>
        </w:rPr>
        <w:t xml:space="preserve">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304"/>
      <w:bookmarkEnd w:id="305"/>
      <w:r>
        <w:rPr>
          <w:b/>
          <w:bCs/>
          <w:highlight w:val="yellow"/>
          <w:lang w:val="pt-BR"/>
        </w:rPr>
        <w:t xml:space="preserve"> [Nota Lefosse: Redação e quórum pendente de validação pelos Coordenadores].</w:t>
      </w:r>
    </w:p>
    <w:p>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pPr>
        <w:pStyle w:val="Level1"/>
      </w:pPr>
      <w:r>
        <w:t>DAS DECLARAÇÕES DA EMISSORA</w:t>
      </w:r>
    </w:p>
    <w:p>
      <w:pPr>
        <w:pStyle w:val="Level2"/>
        <w:rPr>
          <w:lang w:val="pt-BR"/>
        </w:rPr>
      </w:pPr>
      <w:bookmarkStart w:id="306" w:name="_DV_M355"/>
      <w:bookmarkEnd w:id="306"/>
      <w:r>
        <w:rPr>
          <w:lang w:val="pt-BR"/>
        </w:rPr>
        <w:t xml:space="preserve">A Emissora declara e garante que, nesta data: </w:t>
      </w:r>
    </w:p>
    <w:p>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pPr>
        <w:pStyle w:val="Level5"/>
        <w:ind w:left="1360"/>
        <w:rPr>
          <w:lang w:val="pt-BR"/>
        </w:rPr>
      </w:pPr>
      <w:r>
        <w:rPr>
          <w:lang w:val="pt-BR"/>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pPr>
        <w:pStyle w:val="Level5"/>
        <w:ind w:left="1360"/>
        <w:rPr>
          <w:lang w:val="pt-BR"/>
        </w:rPr>
      </w:pPr>
      <w:r>
        <w:rPr>
          <w:lang w:val="pt-BR"/>
        </w:rPr>
        <w:t xml:space="preserve">as opiniões e as análises expressas pela Emissora no seu Formulário de Referência e no material de divulgação da Oferta em relação à Emissora até esta </w:t>
      </w:r>
      <w:r>
        <w:rPr>
          <w:lang w:val="pt-BR"/>
        </w:rPr>
        <w:lastRenderedPageBreak/>
        <w:t>data: (i) foram elaboradas de boa-fé e consideram toda as circunstâncias relevantes sobre a Emissora; e (ii) são verdadeiras, consistentes, corretas e suficientes;</w:t>
      </w:r>
    </w:p>
    <w:p>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registro das Debêntures na B3; e (f) </w:t>
      </w:r>
      <w:r>
        <w:rPr>
          <w:bCs/>
          <w:lang w:val="pt-BR"/>
        </w:rPr>
        <w:t>pela publicação, no Diário Oficial da União, das Portarias MME;</w:t>
      </w:r>
    </w:p>
    <w:p>
      <w:pPr>
        <w:pStyle w:val="Level5"/>
        <w:ind w:left="1360"/>
        <w:rPr>
          <w:lang w:val="pt-BR"/>
        </w:rPr>
      </w:pPr>
      <w:bookmarkStart w:id="307"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pPr>
        <w:pStyle w:val="Level5"/>
        <w:ind w:left="1360"/>
        <w:rPr>
          <w:lang w:val="pt-BR"/>
        </w:rPr>
      </w:pPr>
      <w:bookmarkStart w:id="308" w:name="_Hlk66300560"/>
      <w:bookmarkEnd w:id="307"/>
      <w:r>
        <w:rPr>
          <w:lang w:val="pt-BR"/>
        </w:rPr>
        <w:t xml:space="preserve">exceto se de outra forma apresentado no Formulário de Referência da Emissora, em fatos relevantes ou comunicados ao mercado, a Emissora cumpre todas as leis e regulamentos, normas administrativas e determinações relevantes dos órgãos governamentais, autarquias ou tribunais competentes, as regras, os </w:t>
      </w:r>
      <w:r>
        <w:rPr>
          <w:lang w:val="pt-BR"/>
        </w:rPr>
        <w:lastRenderedPageBreak/>
        <w:t>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esteja discutindo a aplicabilidade da lei, regra, regulamento ou ordem nas esferas administrativa ou judicial, desde que tal questionamento tenha efeito suspensivo;</w:t>
      </w:r>
    </w:p>
    <w:bookmarkEnd w:id="308"/>
    <w:p>
      <w:pPr>
        <w:pStyle w:val="Level5"/>
        <w:ind w:left="1360"/>
        <w:rPr>
          <w:lang w:val="pt-BR"/>
        </w:rPr>
      </w:pPr>
      <w:r>
        <w:rPr>
          <w:lang w:val="pt-BR"/>
        </w:rPr>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pPr>
        <w:pStyle w:val="Level5"/>
        <w:ind w:left="1360"/>
        <w:rPr>
          <w:lang w:val="pt-BR"/>
        </w:rPr>
      </w:pPr>
      <w:r>
        <w:rPr>
          <w:lang w:val="pt-BR"/>
        </w:rPr>
        <w:t xml:space="preserve">(i)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pPr>
        <w:pStyle w:val="Level5"/>
        <w:ind w:left="1360"/>
        <w:rPr>
          <w:lang w:val="pt-BR"/>
        </w:rPr>
      </w:pPr>
      <w:r>
        <w:rPr>
          <w:lang w:val="pt-BR"/>
        </w:rPr>
        <w:t xml:space="preserve">os documentos da Oferta (i) contêm, no mínimo, e sem prejuízo das disposições legais e regulamentares pertinentes, todas as informações relevantes necessárias ao conhecimento, pelos investidores, da Emissora, de suas </w:t>
      </w:r>
      <w:r>
        <w:rPr>
          <w:lang w:val="pt-BR"/>
        </w:rPr>
        <w:lastRenderedPageBreak/>
        <w:t>atividades e situação econômico-financeira, da Oferta, das Debêntures, dos riscos inerentes às atividades da Emissora e quaisquer outras informações relevantes; e (ii) foram elaborados nos termos da Instrução CVM 476 e demais leis e regulamentações aplicáveis;</w:t>
      </w:r>
    </w:p>
    <w:p>
      <w:pPr>
        <w:pStyle w:val="Level5"/>
        <w:ind w:left="1360"/>
        <w:rPr>
          <w:highlight w:val="yellow"/>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Pr>
          <w:lang w:val="pt-BR"/>
        </w:rPr>
        <w:t>2.5.2</w:t>
      </w:r>
      <w:r>
        <w:rPr>
          <w:lang w:val="pt-BR"/>
        </w:rPr>
        <w:fldChar w:fldCharType="end"/>
      </w:r>
      <w:r>
        <w:rPr>
          <w:lang w:val="pt-BR"/>
        </w:rPr>
        <w:t xml:space="preserve"> acima foram devidamente enquadrados nos termos da Lei n° 12.431/11 como prioritários pelo MME, nos termos das Portarias MME; [</w:t>
      </w:r>
      <w:r>
        <w:rPr>
          <w:highlight w:val="yellow"/>
          <w:lang w:val="pt-BR"/>
        </w:rPr>
        <w:t>Nota PNA: conforme os precedentes da Companhia. Já falamos da legislação ambiental // trabalhista nos demais itens</w:t>
      </w:r>
      <w:r>
        <w:rPr>
          <w:lang w:val="pt-BR"/>
        </w:rPr>
        <w:t>]</w:t>
      </w:r>
    </w:p>
    <w:p>
      <w:pPr>
        <w:pStyle w:val="Level5"/>
        <w:ind w:left="1360"/>
        <w:rPr>
          <w:lang w:val="pt-BR"/>
        </w:rPr>
      </w:pPr>
      <w:r>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pPr>
        <w:pStyle w:val="Level2"/>
        <w:rPr>
          <w:lang w:val="pt-BR"/>
        </w:rPr>
      </w:pPr>
      <w:r>
        <w:rPr>
          <w:u w:val="single"/>
          <w:lang w:val="pt-BR"/>
        </w:rPr>
        <w:t>Declarações Adicionais</w:t>
      </w:r>
      <w:r>
        <w:rPr>
          <w:lang w:val="pt-BR"/>
        </w:rPr>
        <w:t>: A Emissora declara, nesta data, que (i) cumpre e faz com que suas Subsidiárias Relevantes [</w:t>
      </w:r>
      <w:r>
        <w:rPr>
          <w:highlight w:val="yellow"/>
          <w:lang w:val="pt-BR"/>
        </w:rPr>
        <w:t>Nota PNA: redação da 5ª emissão</w:t>
      </w:r>
      <w:r>
        <w:rPr>
          <w:lang w:val="pt-BR"/>
        </w:rPr>
        <w:t>]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w:t>
      </w:r>
      <w:r>
        <w:rPr>
          <w:highlight w:val="yellow"/>
          <w:lang w:val="pt-BR"/>
        </w:rPr>
        <w:t>Nota PNA: redação da 5ª emissão</w:t>
      </w:r>
      <w:r>
        <w:rPr>
          <w:lang w:val="pt-BR"/>
        </w:rPr>
        <w:t>]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pPr>
        <w:pStyle w:val="Level2"/>
        <w:rPr>
          <w:lang w:val="pt-BR"/>
        </w:rPr>
      </w:pPr>
      <w:r>
        <w:rPr>
          <w:lang w:val="pt-BR"/>
        </w:rPr>
        <w:t xml:space="preserve"> [</w:t>
      </w:r>
      <w:r>
        <w:rPr>
          <w:highlight w:val="yellow"/>
          <w:lang w:val="pt-BR"/>
        </w:rPr>
        <w:t>Nota PNA: repetido com outros itens]</w:t>
      </w:r>
    </w:p>
    <w:p>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pPr>
        <w:pStyle w:val="Level2"/>
        <w:rPr>
          <w:lang w:val="pt-BR"/>
        </w:rPr>
      </w:pPr>
      <w:r>
        <w:rPr>
          <w:lang w:val="pt-BR"/>
        </w:rPr>
        <w:lastRenderedPageBreak/>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pPr>
        <w:pStyle w:val="Level1"/>
      </w:pPr>
      <w:bookmarkStart w:id="309" w:name="_DV_M356"/>
      <w:bookmarkStart w:id="310" w:name="_DV_M357"/>
      <w:bookmarkStart w:id="311" w:name="_DV_M358"/>
      <w:bookmarkStart w:id="312" w:name="_DV_M359"/>
      <w:bookmarkStart w:id="313" w:name="_DV_M360"/>
      <w:bookmarkStart w:id="314" w:name="_DV_M361"/>
      <w:bookmarkStart w:id="315" w:name="_DV_M362"/>
      <w:bookmarkStart w:id="316" w:name="_DV_M363"/>
      <w:bookmarkStart w:id="317" w:name="_DV_M364"/>
      <w:bookmarkStart w:id="318" w:name="_DV_M365"/>
      <w:bookmarkStart w:id="319" w:name="_DV_M366"/>
      <w:bookmarkStart w:id="320" w:name="_DV_M367"/>
      <w:bookmarkStart w:id="321" w:name="_DV_M368"/>
      <w:bookmarkStart w:id="322" w:name="_DV_M369"/>
      <w:bookmarkStart w:id="323" w:name="_DV_M370"/>
      <w:bookmarkStart w:id="324" w:name="_DV_M371"/>
      <w:bookmarkStart w:id="325" w:name="_DV_M372"/>
      <w:bookmarkStart w:id="326" w:name="_DV_M373"/>
      <w:bookmarkStart w:id="327" w:name="_DV_M374"/>
      <w:bookmarkStart w:id="328" w:name="_DV_M375"/>
      <w:bookmarkStart w:id="329" w:name="_DV_M376"/>
      <w:bookmarkStart w:id="330" w:name="_DV_M377"/>
      <w:bookmarkStart w:id="331" w:name="_DV_M378"/>
      <w:bookmarkStart w:id="332" w:name="_DV_M379"/>
      <w:bookmarkStart w:id="333" w:name="_DV_M380"/>
      <w:bookmarkStart w:id="334" w:name="_DV_M381"/>
      <w:bookmarkStart w:id="335" w:name="_DV_M382"/>
      <w:bookmarkStart w:id="336" w:name="_DV_M383"/>
      <w:bookmarkStart w:id="337" w:name="_DV_M384"/>
      <w:bookmarkStart w:id="338" w:name="_DV_M385"/>
      <w:bookmarkStart w:id="339" w:name="_DV_M386"/>
      <w:bookmarkStart w:id="340" w:name="_DV_M387"/>
      <w:bookmarkStart w:id="341" w:name="_DV_M388"/>
      <w:bookmarkStart w:id="342" w:name="_DV_M389"/>
      <w:bookmarkStart w:id="343" w:name="_DV_M390"/>
      <w:bookmarkStart w:id="344" w:name="_DV_M391"/>
      <w:bookmarkStart w:id="345" w:name="_DV_M392"/>
      <w:bookmarkStart w:id="346" w:name="_DV_M393"/>
      <w:bookmarkStart w:id="347" w:name="_DV_M394"/>
      <w:bookmarkStart w:id="348" w:name="_Ref475086807"/>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t>NOTIFICAÇÕES</w:t>
      </w:r>
      <w:bookmarkEnd w:id="348"/>
    </w:p>
    <w:p>
      <w:pPr>
        <w:pStyle w:val="Level2"/>
        <w:rPr>
          <w:lang w:val="pt-BR"/>
        </w:rPr>
      </w:pPr>
      <w:bookmarkStart w:id="349" w:name="_DV_M395"/>
      <w:bookmarkEnd w:id="349"/>
      <w:r>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pPr>
        <w:widowControl/>
        <w:suppressAutoHyphens/>
        <w:spacing w:after="140" w:line="290" w:lineRule="auto"/>
        <w:ind w:left="709"/>
        <w:rPr>
          <w:rFonts w:ascii="Arial" w:hAnsi="Arial" w:cs="Arial"/>
          <w:b/>
          <w:bCs/>
          <w:sz w:val="20"/>
          <w:szCs w:val="20"/>
        </w:rPr>
      </w:pPr>
      <w:bookmarkStart w:id="350" w:name="_DV_M396"/>
      <w:bookmarkEnd w:id="350"/>
      <w:r>
        <w:rPr>
          <w:rFonts w:ascii="Arial" w:hAnsi="Arial" w:cs="Arial"/>
          <w:b/>
          <w:bCs/>
          <w:sz w:val="20"/>
          <w:szCs w:val="20"/>
        </w:rPr>
        <w:t>Para a Emissora:</w:t>
      </w:r>
    </w:p>
    <w:p>
      <w:pPr>
        <w:spacing w:after="140" w:line="290" w:lineRule="auto"/>
        <w:ind w:left="709"/>
        <w:jc w:val="left"/>
        <w:rPr>
          <w:rFonts w:ascii="Arial" w:hAnsi="Arial" w:cs="Arial"/>
          <w:sz w:val="20"/>
          <w:szCs w:val="20"/>
        </w:rPr>
      </w:pPr>
      <w:bookmarkStart w:id="351" w:name="_DV_M397"/>
      <w:bookmarkStart w:id="352" w:name="_DV_M398"/>
      <w:bookmarkEnd w:id="351"/>
      <w:bookmarkEnd w:id="352"/>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 Rio de Janeiro, RJ</w:t>
      </w:r>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pPr>
        <w:spacing w:after="140" w:line="290" w:lineRule="auto"/>
        <w:ind w:left="709"/>
        <w:rPr>
          <w:rFonts w:ascii="Arial" w:hAnsi="Arial" w:cs="Arial"/>
          <w:b/>
          <w:bCs/>
          <w:sz w:val="20"/>
          <w:szCs w:val="20"/>
        </w:rPr>
      </w:pPr>
      <w:bookmarkStart w:id="353" w:name="_DV_M407"/>
      <w:bookmarkStart w:id="354" w:name="_DV_M408"/>
      <w:bookmarkStart w:id="355" w:name="_DV_M409"/>
      <w:bookmarkStart w:id="356" w:name="_DV_M410"/>
      <w:bookmarkStart w:id="357" w:name="_DV_M411"/>
      <w:bookmarkStart w:id="358" w:name="_DV_M412"/>
      <w:bookmarkStart w:id="359" w:name="_DV_M413"/>
      <w:bookmarkStart w:id="360" w:name="_DV_M414"/>
      <w:bookmarkEnd w:id="353"/>
      <w:bookmarkEnd w:id="354"/>
      <w:bookmarkEnd w:id="355"/>
      <w:bookmarkEnd w:id="356"/>
      <w:bookmarkEnd w:id="357"/>
      <w:bookmarkEnd w:id="358"/>
      <w:bookmarkEnd w:id="359"/>
      <w:bookmarkEnd w:id="360"/>
      <w:r>
        <w:rPr>
          <w:rFonts w:ascii="Arial" w:hAnsi="Arial" w:cs="Arial"/>
          <w:b/>
          <w:bCs/>
          <w:sz w:val="20"/>
          <w:szCs w:val="20"/>
        </w:rPr>
        <w:t xml:space="preserve">Para o Agente Fiduciário: </w:t>
      </w:r>
    </w:p>
    <w:p>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SIMPLIFIC PAVARINI DISTRIBUIDORA DE TÍTULOS E VALORES MOBILIÁRIOS 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At.: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t>Fax: (21) 2507-1949</w:t>
      </w:r>
      <w:r>
        <w:rPr>
          <w:rFonts w:ascii="Arial" w:eastAsia="Arial Unicode MS" w:hAnsi="Arial" w:cs="Arial"/>
          <w:bCs/>
          <w:color w:val="000000"/>
          <w:sz w:val="20"/>
          <w:szCs w:val="20"/>
        </w:rPr>
        <w:br/>
        <w:t>E-mail: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p>
    <w:p>
      <w:pPr>
        <w:spacing w:after="140" w:line="290" w:lineRule="auto"/>
        <w:ind w:left="709"/>
        <w:rPr>
          <w:rFonts w:ascii="Arial" w:hAnsi="Arial" w:cs="Arial"/>
          <w:b/>
          <w:bCs/>
          <w:sz w:val="20"/>
          <w:szCs w:val="20"/>
        </w:rPr>
      </w:pPr>
      <w:r>
        <w:rPr>
          <w:rFonts w:ascii="Arial" w:hAnsi="Arial" w:cs="Arial"/>
          <w:b/>
          <w:bCs/>
          <w:sz w:val="20"/>
          <w:szCs w:val="20"/>
        </w:rPr>
        <w:t>Para o Banco Liquidante ou para o Escriturador:</w:t>
      </w:r>
    </w:p>
    <w:p>
      <w:pPr>
        <w:spacing w:after="140" w:line="290" w:lineRule="auto"/>
        <w:ind w:left="709"/>
        <w:jc w:val="left"/>
        <w:rPr>
          <w:rFonts w:ascii="Arial" w:hAnsi="Arial" w:cs="Arial"/>
          <w:sz w:val="20"/>
          <w:szCs w:val="20"/>
        </w:rPr>
      </w:pPr>
      <w:r>
        <w:rPr>
          <w:rFonts w:ascii="Arial" w:eastAsia="Arial Unicode MS" w:hAnsi="Arial" w:cs="Arial"/>
          <w:b/>
          <w:bCs/>
          <w:color w:val="000000"/>
          <w:sz w:val="20"/>
          <w:szCs w:val="20"/>
        </w:rPr>
        <w:t>[BANCO BRADESCO S.A.</w:t>
      </w:r>
      <w:r>
        <w:rPr>
          <w:rFonts w:ascii="Arial" w:eastAsia="Arial Unicode MS" w:hAnsi="Arial" w:cs="Arial"/>
          <w:b/>
          <w:bCs/>
          <w:color w:val="000000"/>
          <w:sz w:val="20"/>
          <w:szCs w:val="20"/>
        </w:rPr>
        <w:br/>
      </w:r>
      <w:r>
        <w:rPr>
          <w:rFonts w:ascii="Arial" w:eastAsia="Arial Unicode MS" w:hAnsi="Arial" w:cs="Arial"/>
          <w:bCs/>
          <w:color w:val="000000"/>
          <w:sz w:val="20"/>
          <w:szCs w:val="20"/>
        </w:rPr>
        <w:t>Núcleo Cidade de Deus, s/n.º, Vila Yara</w:t>
      </w:r>
      <w:r>
        <w:rPr>
          <w:rFonts w:ascii="Arial" w:eastAsia="Arial Unicode MS" w:hAnsi="Arial" w:cs="Arial"/>
          <w:bCs/>
          <w:color w:val="000000"/>
          <w:sz w:val="20"/>
          <w:szCs w:val="20"/>
        </w:rPr>
        <w:br/>
        <w:t>Cidade de Osasco, Estado de São Paulo</w:t>
      </w:r>
      <w:r>
        <w:rPr>
          <w:rFonts w:ascii="Arial" w:eastAsia="Arial Unicode MS" w:hAnsi="Arial" w:cs="Arial"/>
          <w:bCs/>
          <w:color w:val="000000"/>
          <w:sz w:val="20"/>
          <w:szCs w:val="20"/>
        </w:rPr>
        <w:br/>
        <w:t>At.: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r>
        <w:rPr>
          <w:rFonts w:ascii="Arial" w:eastAsia="Arial Unicode MS" w:hAnsi="Arial" w:cs="Arial"/>
          <w:bCs/>
          <w:color w:val="000000"/>
          <w:sz w:val="20"/>
          <w:szCs w:val="20"/>
        </w:rPr>
        <w:br/>
        <w:t>Telefone: (11) 3684-9444</w:t>
      </w:r>
      <w:r>
        <w:rPr>
          <w:rFonts w:ascii="Arial" w:eastAsia="Arial Unicode MS" w:hAnsi="Arial" w:cs="Arial"/>
          <w:bCs/>
          <w:color w:val="000000"/>
          <w:sz w:val="20"/>
          <w:szCs w:val="20"/>
        </w:rPr>
        <w:br/>
        <w:t>Fax: (11) 3684-2714</w:t>
      </w:r>
      <w:r>
        <w:rPr>
          <w:rFonts w:ascii="Arial" w:eastAsia="Arial Unicode MS" w:hAnsi="Arial" w:cs="Arial"/>
          <w:bCs/>
          <w:color w:val="000000"/>
          <w:sz w:val="20"/>
          <w:szCs w:val="20"/>
        </w:rPr>
        <w:br/>
        <w:t>E-mail: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p>
    <w:p>
      <w:pPr>
        <w:pStyle w:val="Level2"/>
        <w:spacing w:before="140" w:after="0"/>
        <w:rPr>
          <w:lang w:val="pt-BR"/>
        </w:rPr>
      </w:pPr>
      <w:bookmarkStart w:id="361" w:name="_DV_M650"/>
      <w:bookmarkStart w:id="362" w:name="_DV_M651"/>
      <w:bookmarkStart w:id="363" w:name="_DV_M415"/>
      <w:bookmarkStart w:id="364" w:name="_DV_M416"/>
      <w:bookmarkStart w:id="365" w:name="_DV_M418"/>
      <w:bookmarkStart w:id="366" w:name="_DV_M419"/>
      <w:bookmarkStart w:id="367" w:name="_DV_M420"/>
      <w:bookmarkStart w:id="368" w:name="_DV_M421"/>
      <w:bookmarkStart w:id="369" w:name="_DV_M422"/>
      <w:bookmarkStart w:id="370" w:name="_DV_M423"/>
      <w:bookmarkStart w:id="371" w:name="_DV_M424"/>
      <w:bookmarkStart w:id="372" w:name="_DV_M425"/>
      <w:bookmarkStart w:id="373" w:name="_DV_M431"/>
      <w:bookmarkStart w:id="374" w:name="_DV_M432"/>
      <w:bookmarkStart w:id="375" w:name="_DV_M433"/>
      <w:bookmarkStart w:id="376" w:name="_DV_M434"/>
      <w:bookmarkStart w:id="377" w:name="_DV_M435"/>
      <w:bookmarkStart w:id="378" w:name="_DV_M436"/>
      <w:bookmarkStart w:id="379" w:name="_DV_M437"/>
      <w:bookmarkStart w:id="380" w:name="_DV_M438"/>
      <w:bookmarkStart w:id="381" w:name="_DV_M439"/>
      <w:bookmarkStart w:id="382" w:name="_DV_M44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w:t>
      </w:r>
      <w:r>
        <w:rPr>
          <w:lang w:val="pt-BR"/>
        </w:rPr>
        <w:lastRenderedPageBreak/>
        <w:t xml:space="preserve">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pPr>
        <w:pStyle w:val="Level1"/>
      </w:pPr>
      <w:bookmarkStart w:id="383" w:name="_DV_M441"/>
      <w:bookmarkEnd w:id="383"/>
      <w:r>
        <w:t>DAS DISPOSIÇÕES GERAIS</w:t>
      </w:r>
    </w:p>
    <w:p>
      <w:pPr>
        <w:pStyle w:val="Level2"/>
        <w:spacing w:before="140" w:after="0"/>
        <w:rPr>
          <w:lang w:val="pt-BR"/>
        </w:rPr>
      </w:pPr>
      <w:bookmarkStart w:id="384" w:name="_DV_M442"/>
      <w:bookmarkEnd w:id="384"/>
      <w:r>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spacing w:before="140" w:after="0"/>
        <w:rPr>
          <w:lang w:val="pt-BR"/>
        </w:rPr>
      </w:pPr>
      <w:bookmarkStart w:id="385" w:name="_DV_M443"/>
      <w:bookmarkEnd w:id="385"/>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Pr>
          <w:lang w:val="pt-BR"/>
        </w:rPr>
        <w:t>2</w:t>
      </w:r>
      <w:r>
        <w:rPr>
          <w:lang w:val="pt-BR"/>
        </w:rPr>
        <w:fldChar w:fldCharType="end"/>
      </w:r>
      <w:r>
        <w:rPr>
          <w:lang w:val="pt-BR"/>
        </w:rPr>
        <w:t xml:space="preserve"> acima, obrigando as partes por si e seus sucessores.</w:t>
      </w:r>
    </w:p>
    <w:p>
      <w:pPr>
        <w:pStyle w:val="Level2"/>
        <w:spacing w:before="140" w:after="0"/>
        <w:rPr>
          <w:lang w:val="pt-BR"/>
        </w:rPr>
      </w:pPr>
      <w:bookmarkStart w:id="386" w:name="_DV_M444"/>
      <w:bookmarkEnd w:id="386"/>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Pr>
          <w:lang w:val="pt-BR"/>
        </w:rPr>
        <w:t>8.3.2(ii)</w:t>
      </w:r>
      <w:r>
        <w:rPr>
          <w:lang w:val="pt-BR"/>
        </w:rPr>
        <w:fldChar w:fldCharType="end"/>
      </w:r>
      <w:r>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pPr>
        <w:pStyle w:val="Level2"/>
        <w:spacing w:before="140" w:after="0"/>
        <w:rPr>
          <w:lang w:val="pt-BR"/>
        </w:rPr>
      </w:pPr>
      <w:r>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spacing w:before="140" w:after="0"/>
        <w:rPr>
          <w:lang w:val="pt-BR"/>
        </w:rPr>
      </w:pPr>
      <w:bookmarkStart w:id="387" w:name="_DV_M445"/>
      <w:bookmarkEnd w:id="387"/>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pPr>
        <w:pStyle w:val="Level2"/>
        <w:spacing w:before="140" w:after="0"/>
        <w:rPr>
          <w:u w:val="single"/>
          <w:lang w:val="pt-BR"/>
        </w:rPr>
      </w:pPr>
      <w:bookmarkStart w:id="388" w:name="_DV_M446"/>
      <w:bookmarkStart w:id="389" w:name="_DV_M447"/>
      <w:bookmarkEnd w:id="388"/>
      <w:bookmarkEnd w:id="389"/>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pPr>
        <w:pStyle w:val="Level2"/>
        <w:spacing w:before="140" w:after="0"/>
        <w:rPr>
          <w:u w:val="single"/>
          <w:lang w:val="pt-BR"/>
        </w:rPr>
      </w:pPr>
      <w:bookmarkStart w:id="390" w:name="_DV_M448"/>
      <w:bookmarkEnd w:id="390"/>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pPr>
        <w:pStyle w:val="Level1"/>
      </w:pPr>
      <w:bookmarkStart w:id="391" w:name="_DV_M449"/>
      <w:bookmarkEnd w:id="391"/>
      <w:r>
        <w:lastRenderedPageBreak/>
        <w:t>DA LEI E DO FORO</w:t>
      </w:r>
    </w:p>
    <w:p>
      <w:pPr>
        <w:pStyle w:val="Level2"/>
        <w:tabs>
          <w:tab w:val="left" w:pos="8080"/>
        </w:tabs>
        <w:spacing w:before="140" w:after="0"/>
        <w:rPr>
          <w:lang w:val="pt-BR"/>
        </w:rPr>
      </w:pPr>
      <w:bookmarkStart w:id="392" w:name="_DV_M450"/>
      <w:bookmarkEnd w:id="392"/>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pPr>
        <w:widowControl/>
        <w:suppressAutoHyphens/>
        <w:spacing w:before="140" w:line="290" w:lineRule="auto"/>
        <w:rPr>
          <w:rFonts w:ascii="Arial" w:hAnsi="Arial" w:cs="Arial"/>
          <w:sz w:val="20"/>
          <w:szCs w:val="20"/>
        </w:rPr>
      </w:pPr>
      <w:bookmarkStart w:id="393" w:name="_DV_M451"/>
      <w:bookmarkEnd w:id="393"/>
      <w:r>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pPr>
        <w:widowControl/>
        <w:suppressAutoHyphens/>
        <w:spacing w:before="140" w:line="290" w:lineRule="auto"/>
        <w:jc w:val="center"/>
        <w:rPr>
          <w:rFonts w:ascii="Arial" w:hAnsi="Arial" w:cs="Arial"/>
          <w:sz w:val="20"/>
          <w:szCs w:val="20"/>
        </w:rPr>
      </w:pPr>
    </w:p>
    <w:p>
      <w:pPr>
        <w:widowControl/>
        <w:suppressAutoHyphens/>
        <w:spacing w:before="140" w:line="290" w:lineRule="auto"/>
        <w:jc w:val="center"/>
        <w:rPr>
          <w:rFonts w:ascii="Arial" w:hAnsi="Arial" w:cs="Arial"/>
          <w:sz w:val="20"/>
          <w:szCs w:val="20"/>
        </w:rPr>
      </w:pPr>
      <w:bookmarkStart w:id="394" w:name="_DV_M452"/>
      <w:bookmarkEnd w:id="394"/>
      <w:r>
        <w:rPr>
          <w:rFonts w:ascii="Arial" w:hAnsi="Arial" w:cs="Arial"/>
          <w:sz w:val="20"/>
          <w:szCs w:val="20"/>
        </w:rPr>
        <w:t xml:space="preserve">Rio de Janeiro, </w:t>
      </w:r>
      <w:bookmarkStart w:id="395" w:name="_DV_M453"/>
      <w:bookmarkStart w:id="396" w:name="_DV_M454"/>
      <w:bookmarkEnd w:id="395"/>
      <w:bookmarkEnd w:id="396"/>
      <w:r>
        <w:rPr>
          <w:rFonts w:ascii="Arial" w:hAnsi="Arial" w:cs="Arial"/>
          <w:sz w:val="20"/>
          <w:szCs w:val="20"/>
        </w:rPr>
        <w:t>[</w:t>
      </w:r>
      <w:r>
        <w:rPr>
          <w:rFonts w:ascii="Arial" w:hAnsi="Arial" w:cs="Arial"/>
          <w:sz w:val="20"/>
          <w:szCs w:val="20"/>
        </w:rPr>
        <w:sym w:font="Symbol" w:char="F0B7"/>
      </w:r>
      <w:r>
        <w:rPr>
          <w:rFonts w:ascii="Arial" w:hAnsi="Arial" w:cs="Arial"/>
          <w:sz w:val="20"/>
          <w:szCs w:val="20"/>
        </w:rPr>
        <w:t>] de [</w:t>
      </w:r>
      <w:r>
        <w:rPr>
          <w:rFonts w:ascii="Arial" w:hAnsi="Arial" w:cs="Arial"/>
          <w:sz w:val="20"/>
          <w:szCs w:val="20"/>
        </w:rPr>
        <w:sym w:font="Symbol" w:char="F0B7"/>
      </w:r>
      <w:r>
        <w:rPr>
          <w:rFonts w:ascii="Arial" w:hAnsi="Arial" w:cs="Arial"/>
          <w:sz w:val="20"/>
          <w:szCs w:val="20"/>
        </w:rPr>
        <w:t>] de 2021</w:t>
      </w:r>
    </w:p>
    <w:p>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pPr>
        <w:widowControl/>
        <w:autoSpaceDE/>
        <w:autoSpaceDN/>
        <w:adjustRightInd/>
        <w:spacing w:before="140" w:line="290" w:lineRule="auto"/>
        <w:jc w:val="left"/>
        <w:rPr>
          <w:rFonts w:ascii="Arial" w:hAnsi="Arial" w:cs="Arial"/>
          <w:sz w:val="20"/>
          <w:szCs w:val="20"/>
        </w:rPr>
      </w:pPr>
      <w:bookmarkStart w:id="397" w:name="_DV_M455"/>
      <w:bookmarkStart w:id="398" w:name="_DV_M456"/>
      <w:bookmarkEnd w:id="397"/>
      <w:bookmarkEnd w:id="398"/>
      <w:r>
        <w:rPr>
          <w:rFonts w:ascii="Arial" w:hAnsi="Arial" w:cs="Arial"/>
          <w:sz w:val="20"/>
          <w:szCs w:val="20"/>
        </w:rPr>
        <w:br w:type="page"/>
      </w:r>
    </w:p>
    <w:p>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pPr>
        <w:spacing w:before="140" w:line="290" w:lineRule="auto"/>
        <w:rPr>
          <w:rFonts w:ascii="Arial" w:hAnsi="Arial" w:cs="Arial"/>
          <w:sz w:val="20"/>
          <w:szCs w:val="20"/>
        </w:rPr>
      </w:pPr>
    </w:p>
    <w:p>
      <w:pPr>
        <w:spacing w:before="140" w:line="290" w:lineRule="auto"/>
        <w:rPr>
          <w:rFonts w:ascii="Arial" w:hAnsi="Arial" w:cs="Arial"/>
          <w:sz w:val="20"/>
          <w:szCs w:val="20"/>
        </w:rPr>
      </w:pPr>
    </w:p>
    <w:p>
      <w:pPr>
        <w:spacing w:before="140" w:line="290" w:lineRule="auto"/>
        <w:rPr>
          <w:rFonts w:ascii="Arial" w:hAnsi="Arial" w:cs="Arial"/>
          <w:sz w:val="20"/>
          <w:szCs w:val="20"/>
        </w:rPr>
      </w:pPr>
    </w:p>
    <w:p>
      <w:pPr>
        <w:widowControl/>
        <w:suppressAutoHyphens/>
        <w:spacing w:before="140" w:line="290" w:lineRule="auto"/>
        <w:jc w:val="center"/>
        <w:rPr>
          <w:rFonts w:ascii="Arial" w:hAnsi="Arial" w:cs="Arial"/>
          <w:b/>
          <w:bCs/>
          <w:sz w:val="20"/>
          <w:szCs w:val="20"/>
        </w:rPr>
      </w:pPr>
      <w:bookmarkStart w:id="399" w:name="_DV_M457"/>
      <w:bookmarkEnd w:id="399"/>
      <w:r>
        <w:rPr>
          <w:rFonts w:ascii="Arial" w:hAnsi="Arial" w:cs="Arial"/>
          <w:b/>
          <w:sz w:val="20"/>
          <w:szCs w:val="20"/>
        </w:rPr>
        <w:t>TRANSMISSORA ALIANÇA DE ENERGIA ELÉTRICA S.A.</w:t>
      </w:r>
    </w:p>
    <w:p>
      <w:pPr>
        <w:spacing w:before="140" w:line="290" w:lineRule="auto"/>
        <w:rPr>
          <w:rFonts w:ascii="Arial" w:hAnsi="Arial" w:cs="Arial"/>
          <w:sz w:val="20"/>
          <w:szCs w:val="20"/>
        </w:rPr>
      </w:pPr>
    </w:p>
    <w:p>
      <w:pPr>
        <w:spacing w:before="140" w:line="290" w:lineRule="auto"/>
        <w:rPr>
          <w:rFonts w:ascii="Arial" w:hAnsi="Arial" w:cs="Arial"/>
          <w:sz w:val="20"/>
          <w:szCs w:val="20"/>
        </w:rPr>
      </w:pPr>
    </w:p>
    <w:p>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trPr>
          <w:jc w:val="center"/>
        </w:trPr>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Cargo:</w:t>
            </w:r>
          </w:p>
        </w:tc>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Cargo:</w:t>
            </w:r>
          </w:p>
        </w:tc>
      </w:tr>
    </w:tbl>
    <w:p>
      <w:pPr>
        <w:widowControl/>
        <w:suppressAutoHyphens/>
        <w:spacing w:before="140" w:line="290" w:lineRule="auto"/>
        <w:rPr>
          <w:rFonts w:ascii="Arial" w:hAnsi="Arial" w:cs="Arial"/>
          <w:sz w:val="20"/>
          <w:szCs w:val="20"/>
        </w:rPr>
      </w:pPr>
      <w:bookmarkStart w:id="400" w:name="_DV_M458"/>
      <w:bookmarkEnd w:id="400"/>
    </w:p>
    <w:p>
      <w:pPr>
        <w:widowControl/>
        <w:suppressAutoHyphens/>
        <w:spacing w:before="140" w:line="290" w:lineRule="auto"/>
        <w:rPr>
          <w:rFonts w:ascii="Arial" w:hAnsi="Arial" w:cs="Arial"/>
          <w:sz w:val="20"/>
          <w:szCs w:val="20"/>
        </w:rPr>
      </w:pPr>
      <w:r>
        <w:rPr>
          <w:rFonts w:ascii="Arial" w:hAnsi="Arial" w:cs="Arial"/>
          <w:sz w:val="20"/>
          <w:szCs w:val="20"/>
        </w:rPr>
        <w:br w:type="page"/>
      </w:r>
    </w:p>
    <w:p>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trPr>
          <w:jc w:val="center"/>
        </w:trPr>
        <w:tc>
          <w:tcPr>
            <w:tcW w:w="4360"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Cargo:</w:t>
            </w:r>
          </w:p>
        </w:tc>
      </w:tr>
    </w:tbl>
    <w:p>
      <w:pPr>
        <w:widowControl/>
        <w:suppressAutoHyphens/>
        <w:spacing w:before="140" w:line="290" w:lineRule="auto"/>
        <w:rPr>
          <w:rFonts w:ascii="Arial" w:hAnsi="Arial" w:cs="Arial"/>
          <w:sz w:val="20"/>
          <w:szCs w:val="20"/>
        </w:rPr>
      </w:pPr>
      <w:bookmarkStart w:id="401" w:name="_DV_M460"/>
      <w:bookmarkEnd w:id="401"/>
      <w:r>
        <w:rPr>
          <w:rFonts w:ascii="Arial" w:hAnsi="Arial" w:cs="Arial"/>
          <w:sz w:val="20"/>
          <w:szCs w:val="20"/>
        </w:rPr>
        <w:br w:type="page"/>
      </w:r>
      <w:bookmarkStart w:id="402" w:name="_GoBack"/>
      <w:bookmarkEnd w:id="402"/>
    </w:p>
    <w:p>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b/>
          <w:bCs/>
          <w:sz w:val="20"/>
          <w:szCs w:val="20"/>
        </w:rPr>
      </w:pPr>
    </w:p>
    <w:p>
      <w:pPr>
        <w:pStyle w:val="Ttulo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trPr>
          <w:jc w:val="center"/>
        </w:trPr>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CPF:</w:t>
            </w:r>
          </w:p>
          <w:p>
            <w:pPr>
              <w:spacing w:before="140" w:line="290" w:lineRule="auto"/>
              <w:rPr>
                <w:rFonts w:ascii="Arial" w:hAnsi="Arial" w:cs="Arial"/>
                <w:sz w:val="20"/>
                <w:szCs w:val="20"/>
              </w:rPr>
            </w:pPr>
            <w:r>
              <w:rPr>
                <w:rFonts w:ascii="Arial" w:hAnsi="Arial" w:cs="Arial"/>
                <w:sz w:val="20"/>
                <w:szCs w:val="20"/>
              </w:rPr>
              <w:t>R.G:</w:t>
            </w:r>
          </w:p>
        </w:tc>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CPF:</w:t>
            </w:r>
          </w:p>
          <w:p>
            <w:pPr>
              <w:spacing w:before="140" w:line="290" w:lineRule="auto"/>
              <w:rPr>
                <w:rFonts w:ascii="Arial" w:hAnsi="Arial" w:cs="Arial"/>
                <w:sz w:val="20"/>
                <w:szCs w:val="20"/>
              </w:rPr>
            </w:pPr>
            <w:r>
              <w:rPr>
                <w:rFonts w:ascii="Arial" w:hAnsi="Arial" w:cs="Arial"/>
                <w:sz w:val="20"/>
                <w:szCs w:val="20"/>
              </w:rPr>
              <w:t>R.G:</w:t>
            </w:r>
          </w:p>
        </w:tc>
      </w:tr>
    </w:tbl>
    <w:p>
      <w:pPr>
        <w:pStyle w:val="DeltaViewTableBody"/>
        <w:widowControl/>
        <w:spacing w:before="140" w:line="290" w:lineRule="auto"/>
        <w:rPr>
          <w:b/>
          <w:sz w:val="20"/>
          <w:szCs w:val="20"/>
          <w:lang w:val="pt-BR"/>
        </w:rPr>
      </w:pPr>
    </w:p>
    <w:p>
      <w:pPr>
        <w:widowControl/>
        <w:autoSpaceDE/>
        <w:autoSpaceDN/>
        <w:adjustRightInd/>
        <w:spacing w:before="140" w:line="290" w:lineRule="auto"/>
        <w:jc w:val="left"/>
        <w:rPr>
          <w:rFonts w:ascii="Arial" w:hAnsi="Arial" w:cs="Arial"/>
          <w:b/>
          <w:sz w:val="20"/>
          <w:szCs w:val="20"/>
        </w:rPr>
      </w:pPr>
    </w:p>
    <w:sectPr>
      <w:headerReference w:type="even" r:id="rId32"/>
      <w:headerReference w:type="default" r:id="rId33"/>
      <w:footerReference w:type="even" r:id="rId34"/>
      <w:footerReference w:type="default" r:id="rId35"/>
      <w:headerReference w:type="first" r:id="rId36"/>
      <w:footerReference w:type="first" r:id="rId37"/>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widowControl/>
      </w:pPr>
      <w:r>
        <w:separator/>
      </w:r>
    </w:p>
  </w:endnote>
  <w:endnote w:type="continuationSeparator" w:id="0">
    <w:p>
      <w:pPr>
        <w:widowControl/>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Tahoma" w:hAnsi="Tahoma" w:cs="Tahoma"/>
        <w:sz w:val="12"/>
        <w:szCs w:val="20"/>
      </w:rPr>
    </w:pPr>
    <w:r>
      <w:fldChar w:fldCharType="begin"/>
    </w:r>
    <w:r>
      <w:instrText xml:space="preserve"> DOCPROPERTY iManageFooter \* MERGEFORMAT </w:instrText>
    </w:r>
    <w:r>
      <w:fldChar w:fldCharType="separate"/>
    </w:r>
    <w:r>
      <w:t>JUR_SP - 39932513v4 - 10638002.473080</w:t>
    </w:r>
    <w:r>
      <w:fldChar w:fldCharType="end"/>
    </w:r>
    <w:r>
      <w:fldChar w:fldCharType="begin"/>
    </w:r>
    <w:r>
      <w:instrText xml:space="preserve"> PAGE   \* MERGEFORMAT </w:instrText>
    </w:r>
    <w:r>
      <w:fldChar w:fldCharType="separate"/>
    </w:r>
    <w:r>
      <w:rPr>
        <w:rFonts w:ascii="Arial" w:hAnsi="Arial" w:cs="Arial"/>
        <w:noProof/>
        <w:sz w:val="20"/>
        <w:szCs w:val="20"/>
      </w:rPr>
      <w:t>64</w:t>
    </w:r>
    <w:r>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rPr>
        <w:noProof/>
        <w:lang w:eastAsia="pt-BR"/>
      </w:rPr>
      <mc:AlternateContent>
        <mc:Choice Requires="wps">
          <w:drawing>
            <wp:inline distT="0" distB="0" distL="0" distR="0">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pPr>
                      <w:rPr>
                        <w:rFonts w:ascii="Trebuchet MS" w:hAnsi="Trebuchet MS"/>
                        <w:sz w:val="16"/>
                      </w:rPr>
                    </w:pPr>
                    <w:r>
                      <w:rPr>
                        <w:rFonts w:ascii="Trebuchet MS" w:hAnsi="Trebuchet MS"/>
                        <w:sz w:val="16"/>
                      </w:rPr>
                      <w:t>DA #10016573 v12</w:t>
                    </w:r>
                  </w:p>
                </w:txbxContent>
              </v:textbox>
              <w10:anchorlock/>
            </v:shape>
          </w:pict>
        </mc:Fallback>
      </mc:AlternateContent>
    </w: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r>
      <w:rPr>
        <w:b/>
        <w:noProof/>
        <w:lang w:eastAsia="pt-BR"/>
      </w:rPr>
      <w:drawing>
        <wp:inline distT="0" distB="0" distL="0" distR="0">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7DD27ACE"/>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9"/>
  </w:num>
  <w:num w:numId="5">
    <w:abstractNumId w:val="8"/>
  </w:num>
  <w:num w:numId="6">
    <w:abstractNumId w:val="16"/>
  </w:num>
  <w:num w:numId="7">
    <w:abstractNumId w:val="23"/>
  </w:num>
  <w:num w:numId="8">
    <w:abstractNumId w:val="15"/>
  </w:num>
  <w:num w:numId="9">
    <w:abstractNumId w:val="14"/>
  </w:num>
  <w:num w:numId="10">
    <w:abstractNumId w:val="24"/>
  </w:num>
  <w:num w:numId="11">
    <w:abstractNumId w:val="20"/>
  </w:num>
  <w:num w:numId="12">
    <w:abstractNumId w:val="18"/>
  </w:num>
  <w:num w:numId="13">
    <w:abstractNumId w:val="5"/>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2"/>
  </w:num>
  <w:num w:numId="17">
    <w:abstractNumId w:val="13"/>
  </w:num>
  <w:num w:numId="18">
    <w:abstractNumId w:val="4"/>
  </w:num>
  <w:num w:numId="19">
    <w:abstractNumId w:val="9"/>
  </w:num>
  <w:num w:numId="20">
    <w:abstractNumId w:val="4"/>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Pr>
      <w:rFonts w:ascii="Cambria" w:hAnsi="Cambria"/>
      <w:b/>
      <w:bCs/>
      <w:i/>
      <w:iCs/>
      <w:sz w:val="28"/>
      <w:szCs w:val="28"/>
      <w:lang w:eastAsia="en-US"/>
    </w:rPr>
  </w:style>
  <w:style w:type="character" w:customStyle="1" w:styleId="Ttulo3Char">
    <w:name w:val="Título 3 Char"/>
    <w:aliases w:val="h3 Char"/>
    <w:link w:val="Ttulo3"/>
    <w:uiPriority w:val="9"/>
    <w:rPr>
      <w:rFonts w:ascii="Cambria" w:hAnsi="Cambria"/>
      <w:b/>
      <w:bCs/>
      <w:sz w:val="26"/>
      <w:szCs w:val="26"/>
      <w:lang w:eastAsia="en-US"/>
    </w:rPr>
  </w:style>
  <w:style w:type="character" w:customStyle="1" w:styleId="Ttulo4Char">
    <w:name w:val="Título 4 Char"/>
    <w:aliases w:val="h4 Char"/>
    <w:link w:val="Ttulo4"/>
    <w:uiPriority w:val="9"/>
    <w:rPr>
      <w:b/>
      <w:bCs/>
      <w:sz w:val="28"/>
      <w:szCs w:val="28"/>
    </w:rPr>
  </w:style>
  <w:style w:type="character" w:customStyle="1" w:styleId="Ttulo5Char">
    <w:name w:val="Título 5 Char"/>
    <w:aliases w:val="h5 Char"/>
    <w:link w:val="Ttulo5"/>
    <w:rPr>
      <w:b/>
      <w:bCs/>
      <w:i/>
      <w:iCs/>
      <w:sz w:val="26"/>
      <w:szCs w:val="26"/>
    </w:rPr>
  </w:style>
  <w:style w:type="character" w:customStyle="1" w:styleId="Ttulo6Char">
    <w:name w:val="Título 6 Char"/>
    <w:aliases w:val="h6 Char"/>
    <w:link w:val="Ttulo6"/>
    <w:rPr>
      <w:b/>
      <w:bCs/>
      <w:sz w:val="20"/>
      <w:szCs w:val="20"/>
      <w:lang w:eastAsia="en-US"/>
    </w:rPr>
  </w:style>
  <w:style w:type="character" w:customStyle="1" w:styleId="Ttulo7Char">
    <w:name w:val="Título 7 Char"/>
    <w:aliases w:val="h7 Char"/>
    <w:link w:val="Ttulo7"/>
  </w:style>
  <w:style w:type="character" w:customStyle="1" w:styleId="Ttulo8Char">
    <w:name w:val="Título 8 Char"/>
    <w:aliases w:val="h8 Char"/>
    <w:link w:val="Ttulo8"/>
    <w:rPr>
      <w:i/>
      <w:iCs/>
    </w:rPr>
  </w:style>
  <w:style w:type="character" w:customStyle="1" w:styleId="Ttulo9Char">
    <w:name w:val="Título 9 Char"/>
    <w:aliases w:val="h9 Char"/>
    <w:link w:val="Ttulo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34"/>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extodenotaderodapChar1">
    <w:name w:val="Texto de nota de rodapé Char1"/>
    <w:basedOn w:val="Fontepargpadr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3" /><Relationship Type="http://schemas.openxmlformats.org/officeDocument/2006/relationships/image" Target="media/image1.wmf" Id="rId18" /><Relationship Type="http://schemas.openxmlformats.org/officeDocument/2006/relationships/oleObject" Target="embeddings/oleObject3.bin" Id="rId26" /><Relationship Type="http://schemas.openxmlformats.org/officeDocument/2006/relationships/theme" Target="theme/theme1.xml" Id="rId39" /><Relationship Type="http://schemas.openxmlformats.org/officeDocument/2006/relationships/oleObject" Target="embeddings/oleObject1.bin" Id="rId21" /><Relationship Type="http://schemas.openxmlformats.org/officeDocument/2006/relationships/footer" Target="footer1.xml" Id="rId34"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yperlink" Target="https://ri.taesa.com.br/" TargetMode="External" Id="rId17" /><Relationship Type="http://schemas.openxmlformats.org/officeDocument/2006/relationships/image" Target="media/image6.wmf"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image" Target="media/image3.wmf" Id="rId20" /><Relationship Type="http://schemas.openxmlformats.org/officeDocument/2006/relationships/image" Target="media/image8.png"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oleObject" Target="embeddings/oleObject2.bin"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image" Target="media/image5.wmf" Id="rId23" /><Relationship Type="http://schemas.openxmlformats.org/officeDocument/2006/relationships/oleObject" Target="embeddings/oleObject4.bin" Id="rId28" /><Relationship Type="http://schemas.openxmlformats.org/officeDocument/2006/relationships/header" Target="header3.xml" Id="rId36" /><Relationship Type="http://schemas.openxmlformats.org/officeDocument/2006/relationships/customXml" Target="../customXml/item10.xml" Id="rId10" /><Relationship Type="http://schemas.openxmlformats.org/officeDocument/2006/relationships/image" Target="media/image2.emf" Id="rId19" /><Relationship Type="http://schemas.openxmlformats.org/officeDocument/2006/relationships/hyperlink" Target="http://www.simplificpavarini.com.br"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image" Target="media/image4.png" Id="rId22" /><Relationship Type="http://schemas.openxmlformats.org/officeDocument/2006/relationships/image" Target="media/image7.wmf" Id="rId27" /><Relationship Type="http://schemas.openxmlformats.org/officeDocument/2006/relationships/image" Target="media/image9.png" Id="rId30" /><Relationship Type="http://schemas.openxmlformats.org/officeDocument/2006/relationships/footer" Target="footer2.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 J U R _ S P ! 3 9 9 3 2 5 1 3 . 4 < / d o c u m e n t i d >  
     < s e n d e r i d > C I S < / s e n d e r i d >  
     < s e n d e r e m a i l > C D E R I S I O @ P N . C O M . B R < / s e n d e r e m a i l >  
     < l a s t m o d i f i e d > 2 0 2 1 - 0 3 - 1 6 T 1 0 : 0 4 : 0 0 . 0 0 0 0 0 0 0 - 0 3 : 0 0 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E4725D29-52C9-49BD-BE4D-257AF46C68C3}">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3"/>
    <ds:schemaRef ds:uri="http://schemas.openxmlformats.org/package/2006/metadata/core-properties"/>
    <ds:schemaRef ds:uri="e63af235-6539-4873-9a74-7e32b5cc1aee"/>
    <ds:schemaRef ds:uri="http://purl.org/dc/terms/"/>
    <ds:schemaRef ds:uri="http://purl.org/dc/elements/1.1/"/>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BD296A4D-4C7C-492B-9577-15760C16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66</Pages>
  <Words>26344</Words>
  <Characters>142260</Characters>
  <Application>Microsoft Office Word</Application>
  <DocSecurity>0</DocSecurity>
  <Lines>1185</Lines>
  <Paragraphs>336</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presente Escritura de Emissão é celebrada com base nas deliberações tomadas pe</vt:lpstr>
      <vt:lpstr>    e das demais disposições legais e regulamentares aplicáveis (“Oferta”).</vt:lpstr>
      <vt:lpstr>    A RCA de Emissão aprovou, dentre outras características da Emissão e da Oferta, </vt:lpstr>
      <vt:lpstr>REQUISITOS</vt:lpstr>
      <vt:lpstr>    A Emissão e a Oferta serão realizadas com observância dos seguintes requisitos:</vt:lpstr>
      <vt:lpstr>    Arquivamento e Publicação da RCA de Emissão</vt:lpstr>
      <vt:lpstr>        A ata da RCA de Emissão que deliberou a Emissão e a Oferta foi arquivada na JUCE</vt:lpstr>
      <vt:lpstr>    Inscrição desta Escritura de Emissão e seus eventuais aditamentos</vt:lpstr>
      <vt:lpstr>        Esta Escritura de Emissão e seus eventuais aditamentos serão inscritos na JUCERJ</vt:lpstr>
      <vt:lpstr>        Nos termos da Cláusula abaixo, esta Escritura de Emissão será objeto de aditamen</vt:lpstr>
      <vt:lpstr>        A Emissora deverá obter a inscrição da Escritura de Emissão na JUCERJA em até 10</vt:lpstr>
      <vt:lpstr>        A Emissora deverá entregar ao Agente Fiduciário 1 (uma) via eletrônica (formato </vt:lpstr>
      <vt:lpstr>    Dispensa de Registro na CVM e Registro na Associação Brasileira das Entidades do</vt:lpstr>
      <vt:lpstr>        A Oferta será realizada nos termos da Instrução CVM 476 e das demais disposições</vt:lpstr>
      <vt:lpstr>        Nos termos do Capítulo VIII do Código ANBIMA, a Oferta deverá ser registrada na </vt:lpstr>
      <vt:lpstr>    Distribuição, Negociação e Custódia Eletrônica</vt:lpstr>
      <vt:lpstr>        As Debêntures serão depositadas na B3 para:</vt:lpstr>
      <vt:lpstr>    Projetos de Infraestrutura Considerados como Prioritários pelo Ministério de Min</vt:lpstr>
      <vt:lpstr>        As Debêntures da Terceira Série contarão com o incentivo previsto no artigo 2º d</vt:lpstr>
      <vt:lpstr>        Nos termos da Lei nº 12.431/11, os Projetos estão devidamente enquadrados, em ca</vt:lpstr>
      <vt:lpstr>    Caracterização das Debêntures da Terceira Série como “Debêntures Verdes”</vt:lpstr>
      <vt:lpstr>        As Debêntures da Terceira Série serão caracterizadas como “Debêntures Verdes” co</vt:lpstr>
      <vt:lpstr>        O Parecer e todos os compromissos formais exigidos pela consultoria especializad</vt:lpstr>
      <vt:lpstr>        No prazo de 1 (um) ano a contar da Data de Emissão, a consultoria especializada </vt:lpstr>
      <vt:lpstr>OBJETO SOCIAL</vt:lpstr>
      <vt:lpstr>    Nos termos do artigo 3º do estatuto social da Emissora, as atividades abaixo ind</vt:lpstr>
      <vt:lpstr>    3.2	Afora as atividades mencionadas, bem como a realização de atividades inerent</vt:lpstr>
      <vt:lpstr>DESTINAÇÃO DOS RECURSOS</vt:lpstr>
      <vt:lpstr>    Os recursos captados com a Oferta serão utilizados da seguinte forma:</vt:lpstr>
      <vt:lpstr>        Os recursos captados pela Emissora por meio da integralização das Debêntures da </vt:lpstr>
      <vt:lpstr>        Nos termos do artigo 2º da Lei n  12.431/11, do Decreto 8.874, da Resolução CMN </vt:lpstr>
      <vt:lpstr>        Os recursos adicionais necessários para a conclusão dos Projetos poderão decorre</vt:lpstr>
      <vt:lpstr>CARACTERÍSTICAS DA EMISSÃO [Nota Lefosse: Cláusula sujeita a alterações adiciona</vt:lpstr>
      <vt:lpstr>    Valor Total da Emissão </vt:lpstr>
      <vt:lpstr>        O valor total da Emissão será de R$750.000.000,00 (setecentos e cinquenta milhõe</vt:lpstr>
      <vt:lpstr>    Número da Emissão </vt:lpstr>
      <vt:lpstr>        A presente Emissão representa a 10ª (décima) emissão de debêntures da Emissora. </vt:lpstr>
      <vt:lpstr>    Número de Séries</vt:lpstr>
      <vt:lpstr>        A Emissão será realizada em até 3 (três) séries. A alocação das Debêntures na pr</vt:lpstr>
      <vt:lpstr>        Ressalvadas as referências expressas às Debêntures da Primeira Série, às Debêntu</vt:lpstr>
      <vt:lpstr>    Banco Liquidante e Escriturador </vt:lpstr>
      <vt:lpstr>        O banco liquidante da Emissão e o escriturador das Debêntures será o [Banco Brad</vt:lpstr>
      <vt:lpstr>    Direito de Preferência </vt:lpstr>
      <vt:lpstr>        Não haverá direito de preferência dos atuais acionistas da Emissora na subscriçã</vt:lpstr>
      <vt:lpstr>    Fundo de Liquidez e Estabilização</vt:lpstr>
      <vt:lpstr>        Não será constituído fundo de manutenção de liquidez ou firmado contrato de gara</vt:lpstr>
      <vt:lpstr>    Fundo de Amortização</vt:lpstr>
      <vt:lpstr>        Não será constituído fundo de amortização para a presente Emissão. </vt:lpstr>
      <vt:lpstr>CARACTERÍSTICAS GERAIS DAS DEBÊNTURES</vt:lpstr>
      <vt:lpstr>    Data de Emissão </vt:lpstr>
      <vt:lpstr>        Para todos os fins e efeitos legais, a data de emissão das Debêntures será [15] </vt:lpstr>
      <vt:lpstr>    Data de Início da Rentabilidade</vt:lpstr>
      <vt:lpstr>        Para todos os fins e efeitos legais, a data de início da rentabilidade será a pr</vt:lpstr>
      <vt:lpstr>    Forma, Tipo e Comprovação de Titularidade</vt:lpstr>
      <vt:lpstr>        As Debêntures serão emitidas sob a forma nominativa e escritural, sem emissão de</vt:lpstr>
      <vt:lpstr>    Conversibilidade </vt:lpstr>
      <vt:lpstr>        As Debêntures serão simples, ou seja, não serão conversíveis em ações de emissão</vt:lpstr>
      <vt:lpstr>    Espécie </vt:lpstr>
      <vt:lpstr>        As Debêntures serão da espécie quirografária, nos termos do artigo 58, caput, da</vt:lpstr>
      <vt:lpstr>    Prazo e Data de Vencimento </vt:lpstr>
      <vt:lpstr>        Prazo e Data de Vencimento das Debêntures da Primeira Série. Observado o dispost</vt:lpstr>
      <vt:lpstr>        Prazo e Data de Vencimento das Debêntures da Segunda Série. Observado o disposto</vt:lpstr>
      <vt:lpstr>        Prazo e Data de Vencimento das Debêntures da Terceira Série. Observado o dispost</vt:lpstr>
      <vt:lpstr>    Valor Nominal Unitário </vt:lpstr>
      <vt:lpstr>        O valor nominal unitário das Debêntures, na Data de Emissão (conforme abaixo def</vt:lpstr>
      <vt:lpstr>    Quantidade de Debêntures Emitidas</vt:lpstr>
      <vt:lpstr>        Serão emitidas 750.000 (setecentos e cinquenta mil) Debêntures, sendo que a quan</vt:lpstr>
      <vt:lpstr>    Preço de Subscrição e Forma de Integralização</vt:lpstr>
      <vt:lpstr>        As Debêntures serão subscritas e integralizadas à vista, em moeda corrente nacio</vt:lpstr>
      <vt:lpstr>        As Debêntures poderão ser subscritas com ágio ou deságio, a ser definido, se fo</vt:lpstr>
      <vt:lpstr>        Para os fins desta Escritura de Emissão, define-se “Data de Integralização” a da</vt:lpstr>
      <vt:lpstr>    Atualização Monetária das Debêntures</vt:lpstr>
      <vt:lpstr>        O Valor Nominal Unitário das Debêntures da 1ª Série não será atualizado monetari</vt:lpstr>
      <vt:lpstr>        O Valor Nominal Unitário das Debêntures da 2ª Série (ou o saldo do Valor Nominal</vt:lpstr>
      <vt:lpstr>        dut = Número de Dias Úteis contados entre a última e a próxima data de aniversár</vt:lpstr>
      <vt:lpstr>        A aplicação do IGP-M incidirá no menor período permitido pela legislação em vigo</vt:lpstr>
      <vt:lpstr>        Na ausência de apuração e/ou não divulgação do IGP-M por prazo superior a 30 (tr</vt:lpstr>
      <vt:lpstr>        O Valor Nominal Unitário das Debêntures da 3ª Série (ou o saldo do Valor Nominal</vt:lpstr>
      <vt:lpstr>        dut = Número de Dias Úteis contados entre a última e a próxima data de aniversár</vt:lpstr>
      <vt:lpstr>        A aplicação do IPCA incidirá no menor período permitido pela legislação em vigor</vt:lpstr>
      <vt:lpstr>        No caso de indisponibilidade temporária do IPCA quando do pagamento de qualquer </vt:lpstr>
      <vt:lpstr>        Na ausência de apuração e/ou não divulgação do IPCA por prazo superior a 30 (tri</vt:lpstr>
      <vt:lpstr>        Caso o IPCA, venha a ser divulgado antes da realização da Assembleia Geral de De</vt:lpstr>
      <vt:lpstr>        Caso não haja acordo sobre a Taxa Substitutiva das Debêntures da 3ª Série entre </vt:lpstr>
      <vt:lpstr>    Remuneração</vt:lpstr>
      <vt:lpstr>        Remuneração das Debêntures da Primeira Série. Sobre o Valor Nominal Unitário das</vt:lpstr>
      <vt:lpstr>        A Remuneração das Debêntures da Primeira Série será calculada de forma exponenci</vt:lpstr>
      <vt:lpstr>        Efetua-se o produtório dos fatores diários, sendo que a cada fator diário acumul</vt:lpstr>
      <vt:lpstr>        Se os fatores diários estiverem acumulados, considerar-se-á o fator resultante "</vt:lpstr>
      <vt:lpstr>        O fator resultante da expressão (Fator DI x Fator Spread) é considerado com 9 (n</vt:lpstr>
      <vt:lpstr>        A Taxa DI deverá ser utilizada considerando idêntico número de casas decimais di</vt:lpstr>
      <vt:lpstr>        Observado o disposto no parágrafo abaixo, se, a qualquer tempo durante a vigênci</vt:lpstr>
      <vt:lpstr>        Caso a Taxa DI deixe de ser divulgada por prazo superior a 30 (trinta) dias, ou </vt:lpstr>
      <vt:lpstr>        O Período de Capitalização da Remuneração da 1ª Série (“Período de Capitalização</vt:lpstr>
      <vt:lpstr>        Remuneração das Debêntures da Segunda Série. Sobre o Valor Nominal Unitário Atua</vt:lpstr>
      <vt:lpstr>        Onde:</vt:lpstr>
      <vt:lpstr>        J = valor da Remuneração devida ao final do Período de Capitalização (conforme a</vt:lpstr>
      <vt:lpstr>        VNa = Valor Nominal Unitário Atualizado ou saldo do Valor Nominal Unitário Atual</vt:lpstr>
      <vt:lpstr>        /Fator Spread = fator de spread fixo, calculado com 9 (nove) casas decimais, com</vt:lpstr>
    </vt:vector>
  </TitlesOfParts>
  <Company>Fundação Getulio Vargas</Company>
  <LinksUpToDate>false</LinksUpToDate>
  <CharactersWithSpaces>168268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Pinheiro Neto Advogados</cp:lastModifiedBy>
  <cp:revision>8</cp:revision>
  <cp:lastPrinted>2018-05-29T19:06:00Z</cp:lastPrinted>
  <dcterms:created xsi:type="dcterms:W3CDTF">2021-03-16T12:45:00Z</dcterms:created>
  <dcterms:modified xsi:type="dcterms:W3CDTF">2021-03-16T13:04:00Z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iManageFooter">
    <vt:lpwstr>JUR_SP - 39932513v4 - 10638002.473080</vt:lpwstr>
  </property>
</Properties>
</file>