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bookmarkStart w:id="0" w:name="_GoBack"/>
      <w:bookmarkEnd w:id="0"/>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77777777" w:rsidR="004D6634" w:rsidRPr="009E6B2F" w:rsidRDefault="00130629" w:rsidP="004D6634">
      <w:pPr>
        <w:pStyle w:val="CM14"/>
        <w:spacing w:before="140" w:line="290" w:lineRule="auto"/>
        <w:jc w:val="center"/>
        <w:rPr>
          <w:rFonts w:ascii="Arial" w:hAnsi="Arial" w:cs="Arial"/>
          <w:b/>
          <w:bCs/>
          <w:color w:val="000000"/>
          <w:sz w:val="20"/>
          <w:szCs w:val="20"/>
        </w:rPr>
      </w:pPr>
      <w:r w:rsidRPr="00125E03">
        <w:rPr>
          <w:rFonts w:ascii="Arial" w:hAnsi="Arial" w:cs="Arial"/>
          <w:b/>
          <w:bCs/>
          <w:color w:val="000000"/>
          <w:sz w:val="20"/>
          <w:szCs w:val="20"/>
          <w:highlight w:val="yellow"/>
        </w:rPr>
        <w:t>[</w:t>
      </w:r>
      <w:r w:rsidRPr="00125E03">
        <w:rPr>
          <w:rFonts w:ascii="Arial" w:hAnsi="Arial" w:cs="Arial"/>
          <w:b/>
          <w:bCs/>
          <w:color w:val="000000"/>
          <w:sz w:val="20"/>
          <w:szCs w:val="20"/>
          <w:highlight w:val="yellow"/>
        </w:rPr>
        <w:sym w:font="Symbol" w:char="F0B7"/>
      </w:r>
      <w:r w:rsidRPr="00125E03">
        <w:rPr>
          <w:rFonts w:ascii="Arial" w:hAnsi="Arial" w:cs="Arial"/>
          <w:b/>
          <w:bCs/>
          <w:color w:val="000000"/>
          <w:sz w:val="20"/>
          <w:szCs w:val="20"/>
          <w:highlight w:val="yellow"/>
        </w:rPr>
        <w:t>]</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1" w:name="_DV_M1"/>
      <w:bookmarkEnd w:id="1"/>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inscrita no Cadastro Nacional da Pessoa Jurídica do Ministério da Fazenda (“</w:t>
      </w:r>
      <w:r w:rsidR="002A3E1E" w:rsidRPr="004752B9">
        <w:rPr>
          <w:b/>
        </w:rPr>
        <w:t>CNPJ/MF</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77777777" w:rsidR="002A3E1E" w:rsidRPr="00EC0049" w:rsidRDefault="00130629" w:rsidP="006A0F52">
      <w:pPr>
        <w:pStyle w:val="Parties"/>
        <w:spacing w:before="140"/>
      </w:pPr>
      <w:r w:rsidRPr="00125E03">
        <w:rPr>
          <w:b/>
          <w:caps/>
          <w:highlight w:val="yellow"/>
        </w:rPr>
        <w:t>[</w:t>
      </w:r>
      <w:r w:rsidRPr="00125E03">
        <w:rPr>
          <w:b/>
          <w:caps/>
          <w:highlight w:val="yellow"/>
        </w:rPr>
        <w:sym w:font="Symbol" w:char="F0B7"/>
      </w:r>
      <w:r w:rsidRPr="00125E03">
        <w:rPr>
          <w:b/>
          <w:caps/>
          <w:highlight w:val="yellow"/>
        </w:rPr>
        <w:t>]</w:t>
      </w:r>
      <w:r w:rsidR="004D6634" w:rsidRPr="009E6B2F">
        <w:t xml:space="preserve"> (“</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2" w:name="_DV_M8"/>
      <w:bookmarkEnd w:id="2"/>
      <w:r>
        <w:t>AUTORIZAÇÃO</w:t>
      </w:r>
    </w:p>
    <w:p w14:paraId="6F8FEEBB" w14:textId="2164D632" w:rsidR="00EE717B" w:rsidRPr="00CE03EB" w:rsidRDefault="00493AB6" w:rsidP="00EE717B">
      <w:pPr>
        <w:pStyle w:val="Level2"/>
        <w:rPr>
          <w:rFonts w:cs="Arial"/>
          <w:szCs w:val="20"/>
          <w:lang w:val="pt-BR"/>
        </w:rPr>
      </w:pPr>
      <w:bookmarkStart w:id="3" w:name="_DV_M9"/>
      <w:bookmarkEnd w:id="3"/>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w:t>
      </w:r>
      <w:r w:rsidR="00180A6C" w:rsidRPr="009E6B2F">
        <w:rPr>
          <w:lang w:val="pt-BR"/>
        </w:rPr>
        <w:lastRenderedPageBreak/>
        <w:t>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4" w:name="_DV_M10"/>
      <w:bookmarkEnd w:id="4"/>
    </w:p>
    <w:p w14:paraId="7AC09177" w14:textId="77777777" w:rsidR="00493AB6" w:rsidRPr="009E6B2F" w:rsidRDefault="00493AB6" w:rsidP="00396AAE">
      <w:pPr>
        <w:pStyle w:val="Level1"/>
      </w:pPr>
      <w:bookmarkStart w:id="5" w:name="_Ref475089583"/>
      <w:r w:rsidRPr="009E6B2F">
        <w:t>REQUISITOS</w:t>
      </w:r>
      <w:bookmarkEnd w:id="5"/>
    </w:p>
    <w:p w14:paraId="48996F40" w14:textId="77777777" w:rsidR="00493AB6" w:rsidRPr="009E6B2F" w:rsidRDefault="00493AB6" w:rsidP="006A0F52">
      <w:pPr>
        <w:pStyle w:val="Level2"/>
        <w:numPr>
          <w:ilvl w:val="0"/>
          <w:numId w:val="0"/>
        </w:numPr>
        <w:spacing w:before="140" w:after="0"/>
        <w:rPr>
          <w:lang w:val="pt-BR"/>
        </w:rPr>
      </w:pPr>
      <w:bookmarkStart w:id="6" w:name="_DV_M11"/>
      <w:bookmarkEnd w:id="6"/>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sidRPr="009E6B2F">
        <w:rPr>
          <w:rFonts w:cs="Arial"/>
          <w:b/>
          <w:lang w:val="pt-BR"/>
        </w:rPr>
        <w:t xml:space="preserve">Arquivamento e Publicação da Ata da </w:t>
      </w:r>
      <w:r w:rsidR="00380EB7">
        <w:rPr>
          <w:rFonts w:cs="Arial"/>
          <w:b/>
          <w:lang w:val="pt-BR"/>
        </w:rPr>
        <w:t>RCA</w:t>
      </w:r>
    </w:p>
    <w:p w14:paraId="6111E4E3" w14:textId="55CE4CDB" w:rsidR="00380EB7" w:rsidRPr="00662569" w:rsidRDefault="00493AB6" w:rsidP="00295F99">
      <w:pPr>
        <w:pStyle w:val="Level3"/>
        <w:spacing w:before="140"/>
        <w:ind w:left="1360"/>
        <w:rPr>
          <w:highlight w:val="yellow"/>
          <w:lang w:val="pt-BR"/>
        </w:rPr>
      </w:pPr>
      <w:bookmarkStart w:id="11" w:name="_DV_M16"/>
      <w:bookmarkEnd w:id="11"/>
      <w:r w:rsidRPr="009E4F54">
        <w:rPr>
          <w:lang w:val="pt-BR"/>
        </w:rPr>
        <w:t xml:space="preserve">A ata da </w:t>
      </w:r>
      <w:r w:rsidR="004157A1" w:rsidRPr="009E4F54">
        <w:rPr>
          <w:lang w:val="pt-BR"/>
        </w:rPr>
        <w:t>RCA</w:t>
      </w:r>
      <w:r w:rsidR="00263674">
        <w:rPr>
          <w:lang w:val="pt-BR"/>
        </w:rPr>
        <w:t xml:space="preserve"> </w:t>
      </w:r>
      <w:r w:rsidRPr="009E4F54">
        <w:rPr>
          <w:lang w:val="pt-BR"/>
        </w:rPr>
        <w:t>que deliberou a Emissão</w:t>
      </w:r>
      <w:r w:rsidR="008B0F6F" w:rsidRPr="009E4F54">
        <w:rPr>
          <w:lang w:val="pt-BR"/>
        </w:rPr>
        <w:t xml:space="preserve"> e a Oferta</w:t>
      </w:r>
      <w:r w:rsidRPr="009E4F54">
        <w:rPr>
          <w:lang w:val="pt-BR"/>
        </w:rPr>
        <w:t xml:space="preserve"> </w:t>
      </w:r>
      <w:r w:rsidR="0045650A" w:rsidRPr="009E4F54">
        <w:rPr>
          <w:lang w:val="pt-BR"/>
        </w:rPr>
        <w:t>foi</w:t>
      </w:r>
      <w:r w:rsidRPr="009E4F54">
        <w:rPr>
          <w:lang w:val="pt-BR"/>
        </w:rPr>
        <w:t xml:space="preserve"> arquivada na </w:t>
      </w:r>
      <w:r w:rsidR="00D3624A" w:rsidRPr="009E4F54">
        <w:rPr>
          <w:lang w:val="pt-BR"/>
        </w:rPr>
        <w:t>JUCE</w:t>
      </w:r>
      <w:r w:rsidR="00396AAE" w:rsidRPr="009E4F54">
        <w:rPr>
          <w:lang w:val="pt-BR"/>
        </w:rPr>
        <w:t>RJA</w:t>
      </w:r>
      <w:r w:rsidR="0045650A" w:rsidRPr="009E4F54">
        <w:rPr>
          <w:rFonts w:eastAsia="Calibri"/>
          <w:lang w:val="pt-BR"/>
        </w:rPr>
        <w:t xml:space="preserve"> em </w:t>
      </w:r>
      <w:r w:rsidR="00D1202E">
        <w:rPr>
          <w:rFonts w:eastAsia="Calibri"/>
          <w:lang w:val="pt-BR"/>
        </w:rPr>
        <w:t>01</w:t>
      </w:r>
      <w:r w:rsidR="00D1202E" w:rsidRPr="009E4F54">
        <w:rPr>
          <w:rFonts w:eastAsia="Calibri"/>
          <w:lang w:val="pt-BR"/>
        </w:rPr>
        <w:t xml:space="preserve"> </w:t>
      </w:r>
      <w:r w:rsidR="0045650A" w:rsidRPr="009E4F54">
        <w:rPr>
          <w:rFonts w:eastAsia="Calibri"/>
          <w:lang w:val="pt-BR"/>
        </w:rPr>
        <w:t xml:space="preserve">de </w:t>
      </w:r>
      <w:r w:rsidR="00D1202E">
        <w:rPr>
          <w:rFonts w:eastAsia="Calibri"/>
          <w:lang w:val="pt-BR"/>
        </w:rPr>
        <w:t>fevereiro</w:t>
      </w:r>
      <w:r w:rsidR="00D1202E" w:rsidRPr="009E4F54">
        <w:rPr>
          <w:rFonts w:eastAsia="Calibri"/>
          <w:lang w:val="pt-BR"/>
        </w:rPr>
        <w:t xml:space="preserve"> </w:t>
      </w:r>
      <w:r w:rsidR="0045650A" w:rsidRPr="009E4F54">
        <w:rPr>
          <w:rFonts w:eastAsia="Calibri"/>
          <w:lang w:val="pt-BR"/>
        </w:rPr>
        <w:t xml:space="preserve">de </w:t>
      </w:r>
      <w:r w:rsidR="003866D5">
        <w:rPr>
          <w:rFonts w:eastAsia="Calibri"/>
          <w:lang w:val="pt-BR"/>
        </w:rPr>
        <w:t>2019</w:t>
      </w:r>
      <w:r w:rsidR="003866D5" w:rsidRPr="009E4F54">
        <w:rPr>
          <w:rFonts w:eastAsia="Calibri"/>
          <w:lang w:val="pt-BR"/>
        </w:rPr>
        <w:t xml:space="preserve"> </w:t>
      </w:r>
      <w:r w:rsidR="0045650A" w:rsidRPr="009E4F54">
        <w:rPr>
          <w:rFonts w:eastAsia="Calibri"/>
          <w:lang w:val="pt-BR"/>
        </w:rPr>
        <w:t xml:space="preserve">sob o nº </w:t>
      </w:r>
      <w:bookmarkStart w:id="12" w:name="_DV_M17"/>
      <w:bookmarkStart w:id="13" w:name="_DV_M18"/>
      <w:bookmarkEnd w:id="12"/>
      <w:bookmarkEnd w:id="13"/>
      <w:r w:rsidR="00D1202E">
        <w:rPr>
          <w:rFonts w:eastAsia="Calibri"/>
          <w:lang w:val="pt-BR"/>
        </w:rPr>
        <w:t>00003501781</w:t>
      </w:r>
      <w:r w:rsidR="00D1202E" w:rsidRPr="00295F99">
        <w:rPr>
          <w:rFonts w:eastAsia="Calibri"/>
          <w:lang w:val="pt-BR"/>
        </w:rPr>
        <w:t xml:space="preserve"> </w:t>
      </w:r>
      <w:r w:rsidRPr="009E4F54">
        <w:rPr>
          <w:lang w:val="pt-BR"/>
        </w:rPr>
        <w:t xml:space="preserve">e publicada no </w:t>
      </w:r>
      <w:r w:rsidRPr="009E4F54">
        <w:rPr>
          <w:b/>
          <w:lang w:val="pt-BR"/>
        </w:rPr>
        <w:t>(i)</w:t>
      </w:r>
      <w:r w:rsidR="00FA64B5" w:rsidRPr="009E4F54">
        <w:rPr>
          <w:lang w:val="pt-BR"/>
        </w:rPr>
        <w:t xml:space="preserve"> Diário Oficial do Estado </w:t>
      </w:r>
      <w:r w:rsidR="00D3624A" w:rsidRPr="009E4F54">
        <w:rPr>
          <w:lang w:val="pt-BR"/>
        </w:rPr>
        <w:t xml:space="preserve">do </w:t>
      </w:r>
      <w:r w:rsidR="00396AAE" w:rsidRPr="009E4F54">
        <w:rPr>
          <w:lang w:val="pt-BR"/>
        </w:rPr>
        <w:t>Rio de Janeiro</w:t>
      </w:r>
      <w:r w:rsidR="000F366D" w:rsidRPr="009E4F54">
        <w:rPr>
          <w:lang w:val="pt-BR"/>
        </w:rPr>
        <w:t xml:space="preserve"> (“</w:t>
      </w:r>
      <w:r w:rsidR="00D3624A" w:rsidRPr="009E4F54">
        <w:rPr>
          <w:b/>
          <w:lang w:val="pt-BR"/>
        </w:rPr>
        <w:t>DOE</w:t>
      </w:r>
      <w:r w:rsidR="00396AAE" w:rsidRPr="009E4F54">
        <w:rPr>
          <w:b/>
          <w:lang w:val="pt-BR"/>
        </w:rPr>
        <w:t>RJ</w:t>
      </w:r>
      <w:r w:rsidR="000F366D" w:rsidRPr="009E4F54">
        <w:rPr>
          <w:lang w:val="pt-BR"/>
        </w:rPr>
        <w:t>”)</w:t>
      </w:r>
      <w:r w:rsidR="00FA64B5" w:rsidRPr="009E4F54">
        <w:rPr>
          <w:lang w:val="pt-BR"/>
        </w:rPr>
        <w:t xml:space="preserve"> e </w:t>
      </w:r>
      <w:r w:rsidR="00FA64B5" w:rsidRPr="009E4F54">
        <w:rPr>
          <w:b/>
          <w:lang w:val="pt-BR"/>
        </w:rPr>
        <w:t>(ii)</w:t>
      </w:r>
      <w:r w:rsidR="00FA64B5" w:rsidRPr="009E4F54">
        <w:rPr>
          <w:lang w:val="pt-BR"/>
        </w:rPr>
        <w:t xml:space="preserve"> </w:t>
      </w:r>
      <w:r w:rsidR="000E0171" w:rsidRPr="009E4F54">
        <w:rPr>
          <w:lang w:val="pt-BR"/>
        </w:rPr>
        <w:t>no jorna</w:t>
      </w:r>
      <w:r w:rsidR="00396AAE" w:rsidRPr="009E4F54">
        <w:rPr>
          <w:lang w:val="pt-BR"/>
        </w:rPr>
        <w:t>l</w:t>
      </w:r>
      <w:r w:rsidR="000E0171" w:rsidRPr="009E4F54">
        <w:rPr>
          <w:lang w:val="pt-BR"/>
        </w:rPr>
        <w:t xml:space="preserve"> </w:t>
      </w:r>
      <w:r w:rsidR="007E6602" w:rsidRPr="009E4F54">
        <w:rPr>
          <w:lang w:val="pt-BR"/>
        </w:rPr>
        <w:t>“</w:t>
      </w:r>
      <w:r w:rsidR="00396AAE" w:rsidRPr="009E4F54">
        <w:rPr>
          <w:color w:val="000000"/>
          <w:lang w:val="pt-BR"/>
        </w:rPr>
        <w:t>Valor Econômico</w:t>
      </w:r>
      <w:r w:rsidR="00D3624A" w:rsidRPr="009E4F54">
        <w:rPr>
          <w:color w:val="000000"/>
          <w:lang w:val="pt-BR"/>
        </w:rPr>
        <w:t>”</w:t>
      </w:r>
      <w:r w:rsidR="00FA64B5" w:rsidRPr="009E4F54">
        <w:rPr>
          <w:lang w:val="pt-BR"/>
        </w:rPr>
        <w:t xml:space="preserve">, </w:t>
      </w:r>
      <w:r w:rsidR="0045650A" w:rsidRPr="009E4F54">
        <w:rPr>
          <w:lang w:val="pt-BR"/>
        </w:rPr>
        <w:t xml:space="preserve">em </w:t>
      </w:r>
      <w:r w:rsidR="003866D5" w:rsidRPr="00125E03">
        <w:rPr>
          <w:highlight w:val="yellow"/>
          <w:lang w:val="pt-BR"/>
        </w:rPr>
        <w:t>[</w:t>
      </w:r>
      <w:r w:rsidR="003866D5" w:rsidRPr="00125E03">
        <w:rPr>
          <w:highlight w:val="yellow"/>
          <w:lang w:val="pt-BR"/>
        </w:rPr>
        <w:sym w:font="Symbol" w:char="F0B7"/>
      </w:r>
      <w:r w:rsidR="003866D5" w:rsidRPr="00125E03">
        <w:rPr>
          <w:highlight w:val="yellow"/>
          <w:lang w:val="pt-BR"/>
        </w:rPr>
        <w:t>]</w:t>
      </w:r>
      <w:r w:rsidR="003866D5" w:rsidRPr="009E4F54">
        <w:rPr>
          <w:lang w:val="pt-BR"/>
        </w:rPr>
        <w:t xml:space="preserve"> </w:t>
      </w:r>
      <w:r w:rsidR="004157A1" w:rsidRPr="009E4F54">
        <w:rPr>
          <w:lang w:val="pt-BR"/>
        </w:rPr>
        <w:t xml:space="preserve">de </w:t>
      </w:r>
      <w:r w:rsidR="003866D5" w:rsidRPr="00125E03">
        <w:rPr>
          <w:highlight w:val="yellow"/>
          <w:lang w:val="pt-BR"/>
        </w:rPr>
        <w:t>[</w:t>
      </w:r>
      <w:r w:rsidR="003866D5" w:rsidRPr="00125E03">
        <w:rPr>
          <w:highlight w:val="yellow"/>
          <w:lang w:val="pt-BR"/>
        </w:rPr>
        <w:sym w:font="Symbol" w:char="F0B7"/>
      </w:r>
      <w:r w:rsidR="003866D5" w:rsidRPr="00125E03">
        <w:rPr>
          <w:highlight w:val="yellow"/>
          <w:lang w:val="pt-BR"/>
        </w:rPr>
        <w:t>]</w:t>
      </w:r>
      <w:r w:rsidR="003866D5" w:rsidRPr="009E4F54">
        <w:rPr>
          <w:lang w:val="pt-BR"/>
        </w:rPr>
        <w:t xml:space="preserve"> </w:t>
      </w:r>
      <w:r w:rsidR="0045650A" w:rsidRPr="009E4F54">
        <w:rPr>
          <w:lang w:val="pt-BR"/>
        </w:rPr>
        <w:t xml:space="preserve">de </w:t>
      </w:r>
      <w:r w:rsidR="003866D5">
        <w:rPr>
          <w:lang w:val="pt-BR"/>
        </w:rPr>
        <w:t>2019</w:t>
      </w:r>
      <w:r w:rsidR="0045650A" w:rsidRPr="009E4F54">
        <w:rPr>
          <w:lang w:val="pt-BR"/>
        </w:rPr>
        <w:t xml:space="preserve">, </w:t>
      </w:r>
      <w:r w:rsidRPr="009E4F54">
        <w:rPr>
          <w:lang w:val="pt-BR"/>
        </w:rPr>
        <w:t>em atendimento ao disposto no inciso I</w:t>
      </w:r>
      <w:r w:rsidR="009C008C" w:rsidRPr="009E4F54">
        <w:rPr>
          <w:lang w:val="pt-BR"/>
        </w:rPr>
        <w:t xml:space="preserve"> </w:t>
      </w:r>
      <w:r w:rsidR="000239A5" w:rsidRPr="009E4F54">
        <w:rPr>
          <w:lang w:val="pt-BR"/>
        </w:rPr>
        <w:t>do</w:t>
      </w:r>
      <w:r w:rsidR="009C008C" w:rsidRPr="009E4F54">
        <w:rPr>
          <w:lang w:val="pt-BR"/>
        </w:rPr>
        <w:t xml:space="preserve"> </w:t>
      </w:r>
      <w:r w:rsidR="000239A5" w:rsidRPr="009E4F54">
        <w:rPr>
          <w:lang w:val="pt-BR"/>
        </w:rPr>
        <w:t xml:space="preserve">artigo 62 </w:t>
      </w:r>
      <w:r w:rsidR="00EF186F" w:rsidRPr="009E4F54">
        <w:rPr>
          <w:lang w:val="pt-BR"/>
        </w:rPr>
        <w:t xml:space="preserve">e no artigo 289 </w:t>
      </w:r>
      <w:r w:rsidRPr="009E4F54">
        <w:rPr>
          <w:lang w:val="pt-BR"/>
        </w:rPr>
        <w:t xml:space="preserve">da </w:t>
      </w:r>
      <w:r w:rsidR="00370799" w:rsidRPr="009E4F54">
        <w:rPr>
          <w:lang w:val="pt-BR"/>
        </w:rPr>
        <w:t>Lei das Sociedades por Ações.</w:t>
      </w:r>
      <w:r w:rsidR="00DA20D4">
        <w:rPr>
          <w:lang w:val="pt-BR"/>
        </w:rPr>
        <w:t xml:space="preserve"> </w:t>
      </w:r>
    </w:p>
    <w:p w14:paraId="0686B5C1" w14:textId="77777777" w:rsidR="00493AB6" w:rsidRPr="009E6B2F" w:rsidRDefault="002E4F0D">
      <w:pPr>
        <w:pStyle w:val="Level2"/>
        <w:spacing w:before="140" w:after="0"/>
        <w:rPr>
          <w:rFonts w:cs="Arial"/>
          <w:b/>
          <w:lang w:val="pt-BR"/>
        </w:rPr>
      </w:pPr>
      <w:bookmarkStart w:id="14" w:name="_DV_M20"/>
      <w:bookmarkStart w:id="15" w:name="_Ref427712429"/>
      <w:bookmarkEnd w:id="14"/>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5"/>
    </w:p>
    <w:p w14:paraId="78F7660E" w14:textId="77777777" w:rsidR="00493AB6" w:rsidRPr="009E6B2F" w:rsidRDefault="00493AB6">
      <w:pPr>
        <w:pStyle w:val="Level3"/>
        <w:spacing w:before="140" w:after="0"/>
        <w:rPr>
          <w:lang w:val="pt-BR"/>
        </w:rPr>
      </w:pPr>
      <w:bookmarkStart w:id="16" w:name="_DV_M21"/>
      <w:bookmarkStart w:id="17" w:name="_Ref427660038"/>
      <w:bookmarkEnd w:id="16"/>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7"/>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8"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9927F7">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9927F7">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9927F7">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8"/>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9" w:name="_DV_M22"/>
      <w:bookmarkEnd w:id="19"/>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20" w:name="_DV_M23"/>
      <w:bookmarkEnd w:id="20"/>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1" w:name="_DV_M24"/>
      <w:bookmarkEnd w:id="21"/>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 xml:space="preserve">MDA – Módulo de Distribuição de </w:t>
      </w:r>
      <w:r w:rsidR="001D1391" w:rsidRPr="009E6B2F">
        <w:rPr>
          <w:lang w:val="pt-BR"/>
        </w:rPr>
        <w:lastRenderedPageBreak/>
        <w:t>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1" w:name="_Ref475090616"/>
      <w:r w:rsidRPr="009E6B2F">
        <w:t>OBJETO SOCIAL</w:t>
      </w:r>
      <w:bookmarkEnd w:id="31"/>
    </w:p>
    <w:p w14:paraId="5B728504"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r w:rsidR="00E46D04">
        <w:rPr>
          <w:lang w:val="pt-BR"/>
        </w:rPr>
        <w:t xml:space="preserve"> </w:t>
      </w:r>
      <w:r w:rsidR="00E618A4">
        <w:rPr>
          <w:lang w:val="pt-BR"/>
        </w:rPr>
        <w:t>[</w:t>
      </w:r>
      <w:r w:rsidR="00E618A4" w:rsidRPr="00125E03">
        <w:rPr>
          <w:b/>
          <w:highlight w:val="yellow"/>
          <w:lang w:val="pt-BR"/>
        </w:rPr>
        <w:t>NOTA LEFOSSE:</w:t>
      </w:r>
      <w:r w:rsidR="00655C6F" w:rsidRPr="00125E03">
        <w:rPr>
          <w:b/>
          <w:highlight w:val="yellow"/>
          <w:lang w:val="pt-BR"/>
        </w:rPr>
        <w:t xml:space="preserve"> TIMES TAESA E DEMAREST, FV CONFIRMAR O OBJETO SOCIAL</w:t>
      </w:r>
      <w:r w:rsidR="00E618A4">
        <w:rPr>
          <w:lang w:val="pt-BR"/>
        </w:rPr>
        <w:t>]</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lastRenderedPageBreak/>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lastRenderedPageBreak/>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2" w:name="_Ref459767256"/>
      <w:r w:rsidRPr="00635EF9">
        <w:t>DESTINAÇÃO DOS RECURSOS</w:t>
      </w:r>
      <w:bookmarkEnd w:id="32"/>
    </w:p>
    <w:p w14:paraId="3C00F4D8" w14:textId="77777777" w:rsidR="006E1363" w:rsidRPr="00A544B4" w:rsidRDefault="00873A5D" w:rsidP="00125E03">
      <w:pPr>
        <w:pStyle w:val="Level2"/>
        <w:spacing w:before="140" w:after="0"/>
        <w:rPr>
          <w:lang w:val="pt-BR"/>
        </w:rPr>
      </w:pPr>
      <w:r w:rsidRPr="00635EF9">
        <w:rPr>
          <w:rFonts w:cs="Arial"/>
          <w:lang w:val="pt-BR"/>
        </w:rPr>
        <w:t>Os recur</w:t>
      </w:r>
      <w:r w:rsidR="00011D27" w:rsidRPr="00635EF9">
        <w:rPr>
          <w:rFonts w:cs="Arial"/>
          <w:lang w:val="pt-BR"/>
        </w:rPr>
        <w:t>s</w:t>
      </w:r>
      <w:r w:rsidRPr="00635EF9">
        <w:rPr>
          <w:rFonts w:cs="Arial"/>
          <w:lang w:val="pt-BR"/>
        </w:rPr>
        <w:t xml:space="preserve">os captados com a Oferta serão utilizados </w:t>
      </w:r>
      <w:r w:rsidR="00655C6F">
        <w:rPr>
          <w:rFonts w:cs="Arial"/>
          <w:lang w:val="pt-BR"/>
        </w:rPr>
        <w:t>para reforço de caixa da Emissora para aplicação no curso ordinário dos negócios da Emissora. [</w:t>
      </w:r>
      <w:r w:rsidR="00655C6F" w:rsidRPr="00125E03">
        <w:rPr>
          <w:rFonts w:cs="Arial"/>
          <w:b/>
          <w:highlight w:val="yellow"/>
          <w:lang w:val="pt-BR"/>
        </w:rPr>
        <w:t>NOTA LEFOSSE: COORDENADORES E TAESA, FV CONFIRMAR</w:t>
      </w:r>
      <w:r w:rsidR="00655C6F">
        <w:rPr>
          <w:rFonts w:cs="Arial"/>
          <w:lang w:val="pt-BR"/>
        </w:rPr>
        <w:t>]</w:t>
      </w:r>
      <w:bookmarkStart w:id="33" w:name="_Ref478463058"/>
      <w:r w:rsidR="006E1363" w:rsidRPr="00A544B4">
        <w:rPr>
          <w:lang w:val="pt-BR"/>
        </w:rPr>
        <w:t xml:space="preserve"> </w:t>
      </w:r>
      <w:bookmarkEnd w:id="33"/>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9E6B2F" w:rsidRDefault="004E1850" w:rsidP="006A0F52">
      <w:pPr>
        <w:pStyle w:val="Level2"/>
        <w:spacing w:before="140" w:after="0"/>
        <w:rPr>
          <w:rFonts w:cs="Arial"/>
          <w:b/>
        </w:rPr>
      </w:pPr>
      <w:r w:rsidRPr="009E6B2F">
        <w:rPr>
          <w:rFonts w:cs="Arial"/>
          <w:b/>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lastRenderedPageBreak/>
        <w:t>O valor total da Emissão será de</w:t>
      </w:r>
      <w:r w:rsidR="008E70BA">
        <w:rPr>
          <w:lang w:val="pt-BR"/>
        </w:rPr>
        <w:t xml:space="preserve"> </w:t>
      </w:r>
      <w:r w:rsidR="005F2021">
        <w:rPr>
          <w:lang w:val="pt-BR"/>
        </w:rPr>
        <w:t xml:space="preserve">R$ </w:t>
      </w:r>
      <w:r w:rsidR="00081D90">
        <w:rPr>
          <w:lang w:val="pt-BR"/>
        </w:rPr>
        <w:t>[</w:t>
      </w:r>
      <w:r w:rsidR="005F2021">
        <w:rPr>
          <w:lang w:val="pt-BR"/>
        </w:rPr>
        <w:t>850.000.000,00</w:t>
      </w:r>
      <w:r w:rsidR="00081D90">
        <w:rPr>
          <w:lang w:val="pt-BR"/>
        </w:rPr>
        <w:t>]</w:t>
      </w:r>
      <w:r w:rsidR="000E2095" w:rsidRPr="000E2095">
        <w:rPr>
          <w:lang w:val="pt-BR"/>
        </w:rPr>
        <w:t xml:space="preserve"> (</w:t>
      </w:r>
      <w:r w:rsidR="00081D90">
        <w:rPr>
          <w:lang w:val="pt-BR"/>
        </w:rPr>
        <w:t>[</w:t>
      </w:r>
      <w:r w:rsidR="005F2021">
        <w:rPr>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4" w:name="_Ref420335418"/>
      <w:r w:rsidRPr="009E6B2F">
        <w:rPr>
          <w:rFonts w:cs="Arial"/>
          <w:b/>
          <w:lang w:val="pt-BR"/>
        </w:rPr>
        <w:t>Data de Emissão</w:t>
      </w:r>
      <w:bookmarkEnd w:id="34"/>
      <w:r w:rsidRPr="009E6B2F">
        <w:rPr>
          <w:rFonts w:cs="Arial"/>
          <w:b/>
          <w:lang w:val="pt-BR"/>
        </w:rPr>
        <w:t xml:space="preserve"> </w:t>
      </w:r>
    </w:p>
    <w:p w14:paraId="4A7D802B"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00573F3A">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5" w:name="_Ref420334827"/>
      <w:r w:rsidRPr="009E6B2F">
        <w:rPr>
          <w:rFonts w:cs="Arial"/>
          <w:b/>
        </w:rPr>
        <w:t>Número de Séries</w:t>
      </w:r>
      <w:bookmarkEnd w:id="35"/>
    </w:p>
    <w:p w14:paraId="3A6F3938" w14:textId="77777777" w:rsidR="004E1850" w:rsidRPr="009E6B2F" w:rsidRDefault="006279C0" w:rsidP="00874A70">
      <w:pPr>
        <w:pStyle w:val="Level3"/>
        <w:rPr>
          <w:b/>
          <w:lang w:val="pt-BR"/>
        </w:rPr>
      </w:pPr>
      <w:bookmarkStart w:id="36" w:name="_Ref420334801"/>
      <w:bookmarkStart w:id="37" w:name="_Ref475552498"/>
      <w:r>
        <w:rPr>
          <w:lang w:val="pt-BR"/>
        </w:rPr>
        <w:t xml:space="preserve">As Debêntures serão </w:t>
      </w:r>
      <w:bookmarkEnd w:id="36"/>
      <w:bookmarkEnd w:id="37"/>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8" w:name="_Ref420335400"/>
      <w:r w:rsidRPr="009E6B2F">
        <w:rPr>
          <w:rFonts w:cs="Arial"/>
          <w:b/>
          <w:lang w:val="pt-BR"/>
        </w:rPr>
        <w:t>Quantidade de Debêntures</w:t>
      </w:r>
      <w:bookmarkEnd w:id="38"/>
    </w:p>
    <w:p w14:paraId="1F371A70" w14:textId="0DD0448C"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Pr>
          <w:lang w:val="pt-BR"/>
        </w:rPr>
        <w:t>850.000</w:t>
      </w:r>
      <w:r w:rsidR="00081D90">
        <w:rPr>
          <w:lang w:val="pt-BR"/>
        </w:rPr>
        <w:t>]</w:t>
      </w:r>
      <w:r w:rsidR="00AE33A7" w:rsidRPr="00AE33A7">
        <w:rPr>
          <w:lang w:val="pt-BR"/>
        </w:rPr>
        <w:t xml:space="preserve"> (</w:t>
      </w:r>
      <w:r w:rsidR="00655C6F">
        <w:rPr>
          <w:lang w:val="pt-BR"/>
        </w:rPr>
        <w:t>oitocentas e cinquenta mil</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227CF1EC"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573F3A" w:rsidRPr="00AB4F5B">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Liquidante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9" w:name="_DV_M70"/>
      <w:bookmarkEnd w:id="39"/>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40" w:name="_DV_M71"/>
      <w:bookmarkEnd w:id="40"/>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lastRenderedPageBreak/>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41" w:name="_Ref427685207"/>
      <w:r w:rsidRPr="00125E03">
        <w:rPr>
          <w:b/>
        </w:rPr>
        <w:t>Amortização Programada</w:t>
      </w:r>
      <w:bookmarkEnd w:id="41"/>
      <w:r w:rsidRPr="00125E03">
        <w:rPr>
          <w:b/>
        </w:rPr>
        <w:t xml:space="preserve"> </w:t>
      </w:r>
    </w:p>
    <w:p w14:paraId="30071F82" w14:textId="225D634C"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2" w:name="_Ref420335077"/>
      <w:r w:rsidRPr="009E6B2F">
        <w:rPr>
          <w:rFonts w:cs="Arial"/>
          <w:b/>
          <w:lang w:val="pt-BR"/>
        </w:rPr>
        <w:t>Remuneração das Debêntures e Pagamento da Remuneração</w:t>
      </w:r>
      <w:bookmarkEnd w:id="42"/>
    </w:p>
    <w:p w14:paraId="415D0189" w14:textId="77777777" w:rsidR="005B6B57" w:rsidRPr="00125E03" w:rsidRDefault="005B6B57" w:rsidP="00125E03">
      <w:pPr>
        <w:pStyle w:val="Level3"/>
        <w:spacing w:before="140"/>
        <w:ind w:left="1360"/>
        <w:rPr>
          <w:b/>
          <w:lang w:val="pt-BR"/>
        </w:rPr>
      </w:pPr>
      <w:bookmarkStart w:id="43" w:name="_Ref420335344"/>
      <w:r w:rsidRPr="00125E03">
        <w:rPr>
          <w:lang w:val="pt-BR"/>
        </w:rPr>
        <w:t xml:space="preserve">Sobre o Valor Nominal Unitário das Debêntures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lastRenderedPageBreak/>
        <w:t>VNe</w:t>
      </w:r>
      <w:r w:rsidRPr="006B6F2D">
        <w:rPr>
          <w:rFonts w:ascii="Arial" w:hAnsi="Arial" w:cs="Arial"/>
          <w:sz w:val="20"/>
          <w:szCs w:val="20"/>
        </w:rPr>
        <w:t xml:space="preserve"> = Valor Nominal Unitário das Debêntures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3"/>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w:t>
      </w:r>
      <w:r w:rsidRPr="00125E03">
        <w:rPr>
          <w:b w:val="0"/>
          <w:sz w:val="20"/>
        </w:rPr>
        <w:lastRenderedPageBreak/>
        <w:t xml:space="preserve">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4"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4"/>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9927F7">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5"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9927F7">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5"/>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9927F7">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t xml:space="preserve">Data de </w:t>
      </w:r>
      <w:r w:rsidR="00856BE8" w:rsidRPr="00040543">
        <w:rPr>
          <w:b/>
          <w:lang w:val="pt-BR"/>
        </w:rPr>
        <w:t>Pagamento da Remuneração</w:t>
      </w:r>
    </w:p>
    <w:p w14:paraId="50573509" w14:textId="10945F7A"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AB63CF">
        <w:rPr>
          <w:szCs w:val="20"/>
          <w:lang w:val="pt-BR"/>
        </w:rPr>
        <w:t>15</w:t>
      </w:r>
      <w:r w:rsidR="009E475F" w:rsidRPr="00125E03">
        <w:rPr>
          <w:szCs w:val="20"/>
          <w:lang w:val="pt-BR"/>
        </w:rPr>
        <w:t xml:space="preserve"> (</w:t>
      </w:r>
      <w:r w:rsidR="00AB63CF">
        <w:rPr>
          <w:szCs w:val="20"/>
          <w:lang w:val="pt-BR"/>
        </w:rPr>
        <w:t>quinze</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A5020F">
        <w:rPr>
          <w:szCs w:val="20"/>
          <w:lang w:val="pt-BR"/>
        </w:rPr>
        <w:t xml:space="preserve"> de cada ano</w:t>
      </w:r>
      <w:r w:rsidR="009E475F" w:rsidRPr="00125E03">
        <w:rPr>
          <w:szCs w:val="20"/>
          <w:lang w:val="pt-BR"/>
        </w:rPr>
        <w:t xml:space="preserve">, sendo o primeiro pagamento em </w:t>
      </w:r>
      <w:r w:rsidR="00AB63CF">
        <w:rPr>
          <w:szCs w:val="20"/>
          <w:lang w:val="pt-BR"/>
        </w:rPr>
        <w:t>15 (quinze)</w:t>
      </w:r>
      <w:r w:rsidR="009E475F" w:rsidRPr="00125E03">
        <w:rPr>
          <w:szCs w:val="20"/>
          <w:lang w:val="pt-BR"/>
        </w:rPr>
        <w:t xml:space="preserve">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lastRenderedPageBreak/>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77777777" w:rsidR="007A6F52" w:rsidRPr="009E6B2F" w:rsidRDefault="005B6B57">
      <w:pPr>
        <w:pStyle w:val="Level3"/>
        <w:spacing w:before="140" w:after="0"/>
        <w:rPr>
          <w:lang w:val="pt-BR"/>
        </w:rPr>
      </w:pPr>
      <w:bookmarkStart w:id="46"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6"/>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927F7">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77777777" w:rsidR="00011D27" w:rsidRPr="00BF5F50" w:rsidRDefault="00011D27" w:rsidP="00BF5F50">
      <w:pPr>
        <w:pStyle w:val="Level2"/>
        <w:rPr>
          <w:b/>
        </w:rPr>
      </w:pPr>
      <w:r w:rsidRPr="00BF5F50">
        <w:rPr>
          <w:b/>
        </w:rPr>
        <w:t>Amortização Antecipada Extraordinária</w:t>
      </w:r>
    </w:p>
    <w:p w14:paraId="432B0472" w14:textId="49913DAA"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9927F7">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1CBFB918" w:rsidR="00A92924" w:rsidRPr="00662569" w:rsidRDefault="00A92924" w:rsidP="00A92924">
      <w:pPr>
        <w:pStyle w:val="Level4"/>
        <w:rPr>
          <w:lang w:val="pt-BR"/>
        </w:rPr>
      </w:pPr>
      <w:r w:rsidRPr="00662569">
        <w:rPr>
          <w:lang w:val="pt-BR"/>
        </w:rPr>
        <w:t xml:space="preserve">por ocasião da Amortização Antecipada Facultativa, o Debenturista fará jus ao pagamento de (a) parcela do Valor Nominal Unitário,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w:t>
      </w:r>
      <w:r w:rsidRPr="00662569">
        <w:rPr>
          <w:lang w:val="pt-BR"/>
        </w:rPr>
        <w:lastRenderedPageBreak/>
        <w:t>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493E4C90"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r w:rsidR="003E417F" w:rsidRPr="00662569">
        <w:rPr>
          <w:b/>
          <w:highlight w:val="yellow"/>
          <w:lang w:val="pt-BR"/>
        </w:rPr>
        <w:t>[NOTA LEFOSSE: FÓRMULA A SER CONFIRMADA.]</w:t>
      </w:r>
    </w:p>
    <w:p w14:paraId="0872D634"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7CBDB4FA" w:rsidR="00A92924" w:rsidRPr="00662569" w:rsidRDefault="00A92924" w:rsidP="00A92924">
      <w:pPr>
        <w:pStyle w:val="Level3"/>
        <w:numPr>
          <w:ilvl w:val="0"/>
          <w:numId w:val="0"/>
        </w:numPr>
        <w:ind w:left="1361"/>
        <w:rPr>
          <w:lang w:val="pt-BR"/>
        </w:rPr>
      </w:pPr>
      <w:r w:rsidRPr="00662569">
        <w:rPr>
          <w:lang w:val="pt-BR"/>
        </w:rPr>
        <w:t xml:space="preserve">PUdebênture = a parcela do Valor Nominal Unitário,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15322397" w:rsidR="00A92924" w:rsidRPr="00662569" w:rsidRDefault="00A92924" w:rsidP="00A92924">
      <w:pPr>
        <w:pStyle w:val="Level3"/>
        <w:numPr>
          <w:ilvl w:val="0"/>
          <w:numId w:val="0"/>
        </w:numPr>
        <w:ind w:left="1361"/>
        <w:rPr>
          <w:lang w:val="pt-BR"/>
        </w:rPr>
      </w:pPr>
      <w:r w:rsidRPr="00662569">
        <w:rPr>
          <w:lang w:val="pt-BR"/>
        </w:rPr>
        <w:t xml:space="preserve">Prêmio =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xml:space="preserve"> por cento); e</w:t>
      </w:r>
    </w:p>
    <w:p w14:paraId="6298B294" w14:textId="77777777" w:rsidR="00A92924" w:rsidRPr="00662569"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11D2BDF5" w14:textId="4A431239" w:rsidR="00011D27" w:rsidRPr="007545CC" w:rsidRDefault="00011D27" w:rsidP="00BF5F50">
      <w:pPr>
        <w:pStyle w:val="Level3"/>
        <w:rPr>
          <w:lang w:val="pt-BR"/>
        </w:rPr>
      </w:pPr>
      <w:r w:rsidRPr="007545CC">
        <w:rPr>
          <w:lang w:val="pt-BR"/>
        </w:rPr>
        <w:t>.</w:t>
      </w:r>
      <w:r w:rsidR="005B6B57">
        <w:rPr>
          <w:lang w:val="pt-BR"/>
        </w:rPr>
        <w:t xml:space="preserve"> </w:t>
      </w:r>
    </w:p>
    <w:p w14:paraId="5CCE101B" w14:textId="77777777" w:rsidR="00BF5F50" w:rsidRPr="00BF5F50" w:rsidRDefault="00BF5F50" w:rsidP="00BF5F50">
      <w:pPr>
        <w:pStyle w:val="Level2"/>
        <w:rPr>
          <w:b/>
        </w:rPr>
      </w:pPr>
      <w:r w:rsidRPr="00BF5F50">
        <w:rPr>
          <w:b/>
        </w:rPr>
        <w:t>Resgate Antecipado Facultativo</w:t>
      </w:r>
    </w:p>
    <w:p w14:paraId="54AB9670" w14:textId="4F575FEB"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9927F7">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5F95D8B0" w:rsidR="00A92924" w:rsidRPr="00662569" w:rsidRDefault="00A92924" w:rsidP="00A92924">
      <w:pPr>
        <w:pStyle w:val="Level4"/>
        <w:rPr>
          <w:lang w:val="pt-BR"/>
        </w:rPr>
      </w:pPr>
      <w:r w:rsidRPr="00662569">
        <w:rPr>
          <w:lang w:val="pt-BR"/>
        </w:rPr>
        <w:t xml:space="preserve">por ocasião do Resgate Antecipado Facultativo, o Debenturista fará jus ao pagamento (a) do Valor Nominal Unitário,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1D8EC0CD"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r w:rsidR="003E417F" w:rsidRPr="00B46452">
        <w:rPr>
          <w:b/>
          <w:highlight w:val="yellow"/>
          <w:lang w:val="pt-BR"/>
        </w:rPr>
        <w:t>[NOTA LEFOSSE: FÓRMULA A SER CONFIRMADA.]</w:t>
      </w:r>
    </w:p>
    <w:p w14:paraId="46DC3630"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r w:rsidRPr="00662569">
        <w:rPr>
          <w:lang w:val="pt-BR"/>
        </w:rPr>
        <w:lastRenderedPageBreak/>
        <w:t xml:space="preserve">PUdebênture = o Valor Nominal Unitário das Debêntures ou o saldo do Valor Nominal Unitário,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E1B0A8C"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xml:space="preserve"> por cento); e</w:t>
      </w:r>
    </w:p>
    <w:p w14:paraId="5D295182" w14:textId="77777777" w:rsidR="00A92924" w:rsidRPr="00662569"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684CCD2C" w14:textId="0EBD54B7" w:rsidR="005B6B57" w:rsidRPr="00B06847" w:rsidRDefault="005B6B57" w:rsidP="00891139">
      <w:pPr>
        <w:pStyle w:val="Level3"/>
        <w:rPr>
          <w:lang w:val="pt-BR"/>
        </w:rPr>
      </w:pPr>
    </w:p>
    <w:p w14:paraId="65680A5E" w14:textId="77777777" w:rsidR="004E1850" w:rsidRPr="009E6B2F" w:rsidRDefault="004E1850">
      <w:pPr>
        <w:pStyle w:val="Level2"/>
        <w:spacing w:before="140" w:after="0"/>
        <w:rPr>
          <w:b/>
        </w:rPr>
      </w:pPr>
      <w:r w:rsidRPr="009E6B2F">
        <w:rPr>
          <w:b/>
        </w:rPr>
        <w:t>Local de Pagamento</w:t>
      </w:r>
    </w:p>
    <w:p w14:paraId="63629BE0" w14:textId="77777777" w:rsidR="004E1850" w:rsidRPr="009E6B2F" w:rsidRDefault="008E6E4F">
      <w:pPr>
        <w:pStyle w:val="Level3"/>
        <w:spacing w:before="140" w:after="0"/>
        <w:rPr>
          <w:lang w:val="pt-BR"/>
        </w:rPr>
      </w:pPr>
      <w:bookmarkStart w:id="47"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9927F7">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47"/>
    </w:p>
    <w:p w14:paraId="5902D783" w14:textId="77777777" w:rsidR="004E1850" w:rsidRPr="009E6B2F" w:rsidRDefault="004E1850">
      <w:pPr>
        <w:pStyle w:val="Level2"/>
        <w:spacing w:before="140" w:after="0"/>
        <w:rPr>
          <w:b/>
        </w:rPr>
      </w:pPr>
      <w:r w:rsidRPr="009E6B2F">
        <w:rPr>
          <w:b/>
        </w:rPr>
        <w:t xml:space="preserve">Prorrogação dos Prazos </w:t>
      </w:r>
    </w:p>
    <w:p w14:paraId="0E8367E1"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r w:rsidRPr="009E6B2F">
        <w:rPr>
          <w:b/>
        </w:rPr>
        <w:t>Encargos Moratórios</w:t>
      </w:r>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w:t>
      </w:r>
      <w:r w:rsidRPr="009E6B2F">
        <w:rPr>
          <w:lang w:val="pt-BR"/>
        </w:rPr>
        <w:lastRenderedPageBreak/>
        <w:t xml:space="preserve">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8" w:name="_Ref420336525"/>
      <w:r w:rsidRPr="009E6B2F">
        <w:rPr>
          <w:b/>
        </w:rPr>
        <w:t>Publicidade</w:t>
      </w:r>
      <w:bookmarkEnd w:id="48"/>
      <w:r w:rsidRPr="009E6B2F">
        <w:t xml:space="preserve"> </w:t>
      </w:r>
    </w:p>
    <w:p w14:paraId="0CFBEFEB" w14:textId="77777777" w:rsidR="009645D4" w:rsidRDefault="002435B6">
      <w:pPr>
        <w:pStyle w:val="Level3"/>
        <w:spacing w:before="140" w:after="0"/>
        <w:rPr>
          <w:lang w:val="pt-BR"/>
        </w:rPr>
      </w:pPr>
      <w:bookmarkStart w:id="49" w:name="_Ref478482311"/>
      <w:r w:rsidRPr="009E6B2F">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9"/>
    </w:p>
    <w:p w14:paraId="1BE35060" w14:textId="77777777" w:rsidR="004E1850" w:rsidRPr="009E6B2F" w:rsidRDefault="004E1850">
      <w:pPr>
        <w:pStyle w:val="Level2"/>
        <w:spacing w:before="140" w:after="0"/>
        <w:rPr>
          <w:b/>
        </w:rPr>
      </w:pPr>
      <w:r w:rsidRPr="009E6B2F">
        <w:rPr>
          <w:b/>
        </w:rPr>
        <w:t>Classificação de Risco</w:t>
      </w:r>
    </w:p>
    <w:p w14:paraId="7A8F3675" w14:textId="55D80FE0"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5B6B57" w:rsidRPr="00125E03">
        <w:rPr>
          <w:highlight w:val="yellow"/>
          <w:lang w:val="pt-BR"/>
        </w:rPr>
        <w:t>[</w:t>
      </w:r>
      <w:r w:rsidR="005B6B57" w:rsidRPr="00125E03">
        <w:rPr>
          <w:highlight w:val="yellow"/>
          <w:lang w:val="pt-BR"/>
        </w:rPr>
        <w:sym w:font="Symbol" w:char="F0B7"/>
      </w:r>
      <w:r w:rsidR="005B6B57" w:rsidRPr="00125E03">
        <w:rPr>
          <w:highlight w:val="yellow"/>
          <w:lang w:val="pt-BR"/>
        </w:rPr>
        <w:t>]</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005B6B57" w:rsidRPr="00662569">
        <w:rPr>
          <w:lang w:val="pt-BR"/>
        </w:rPr>
        <w:t xml:space="preserve"> Moody’s América Latina Ltda ou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9927F7">
        <w:rPr>
          <w:lang w:val="pt-BR"/>
        </w:rPr>
        <w:t>10.10 abaixo</w:t>
      </w:r>
      <w:r>
        <w:rPr>
          <w:lang w:val="pt-BR"/>
        </w:rPr>
        <w:fldChar w:fldCharType="end"/>
      </w:r>
      <w:r w:rsidRPr="009645D4">
        <w:rPr>
          <w:lang w:val="pt-BR"/>
        </w:rPr>
        <w:t xml:space="preserve">. Em qualquer caso, a nova agência passará a integrar a </w:t>
      </w:r>
      <w:r w:rsidRPr="009645D4">
        <w:rPr>
          <w:lang w:val="pt-BR"/>
        </w:rPr>
        <w:lastRenderedPageBreak/>
        <w:t>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Fundo de Amortização</w:t>
      </w:r>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50" w:name="_DV_M121"/>
      <w:bookmarkStart w:id="51" w:name="_DV_M122"/>
      <w:bookmarkStart w:id="52" w:name="_DV_M123"/>
      <w:bookmarkStart w:id="53" w:name="_DV_M124"/>
      <w:bookmarkStart w:id="54" w:name="_DV_M125"/>
      <w:bookmarkStart w:id="55" w:name="_DV_M126"/>
      <w:bookmarkStart w:id="56" w:name="_DV_M127"/>
      <w:bookmarkStart w:id="57" w:name="_DV_M128"/>
      <w:bookmarkStart w:id="58" w:name="_DV_M129"/>
      <w:bookmarkStart w:id="59" w:name="_DV_M130"/>
      <w:bookmarkStart w:id="60" w:name="_DV_M131"/>
      <w:bookmarkStart w:id="61" w:name="_DV_M132"/>
      <w:bookmarkStart w:id="62" w:name="_DV_M133"/>
      <w:bookmarkStart w:id="63" w:name="_DV_M134"/>
      <w:bookmarkStart w:id="64" w:name="_DV_M135"/>
      <w:bookmarkStart w:id="65" w:name="_DV_M136"/>
      <w:bookmarkStart w:id="66" w:name="_DV_M137"/>
      <w:bookmarkStart w:id="67" w:name="_DV_M139"/>
      <w:bookmarkStart w:id="68" w:name="_DV_M140"/>
      <w:bookmarkStart w:id="69" w:name="_DV_M141"/>
      <w:bookmarkStart w:id="70" w:name="_DV_M142"/>
      <w:bookmarkStart w:id="71" w:name="_DV_M143"/>
      <w:bookmarkStart w:id="72" w:name="_DV_M144"/>
      <w:bookmarkStart w:id="73" w:name="_DV_M145"/>
      <w:bookmarkStart w:id="74" w:name="_DV_M146"/>
      <w:bookmarkStart w:id="75" w:name="_DV_M147"/>
      <w:bookmarkStart w:id="76" w:name="_DV_M148"/>
      <w:bookmarkStart w:id="77" w:name="_DV_M149"/>
      <w:bookmarkStart w:id="78" w:name="_DV_M150"/>
      <w:bookmarkStart w:id="79" w:name="_DV_M151"/>
      <w:bookmarkStart w:id="80" w:name="_DV_M152"/>
      <w:bookmarkStart w:id="81" w:name="_DV_M153"/>
      <w:bookmarkStart w:id="82" w:name="_DV_M154"/>
      <w:bookmarkStart w:id="83" w:name="_DV_M155"/>
      <w:bookmarkStart w:id="84" w:name="_DV_M156"/>
      <w:bookmarkStart w:id="85" w:name="_DV_M157"/>
      <w:bookmarkStart w:id="86" w:name="_DV_M158"/>
      <w:bookmarkStart w:id="87" w:name="_DV_M159"/>
      <w:bookmarkStart w:id="88" w:name="_DV_M160"/>
      <w:bookmarkStart w:id="89" w:name="_DV_M161"/>
      <w:bookmarkStart w:id="90" w:name="_DV_M162"/>
      <w:bookmarkStart w:id="91" w:name="_DV_M163"/>
      <w:bookmarkStart w:id="92" w:name="_DV_M164"/>
      <w:bookmarkStart w:id="93" w:name="_DV_M165"/>
      <w:bookmarkStart w:id="94" w:name="_Ref47509114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9E6B2F">
        <w:t>VENCIMENTO ANTECIPADO</w:t>
      </w:r>
      <w:bookmarkEnd w:id="94"/>
      <w:r w:rsidR="0059055A">
        <w:t xml:space="preserve"> </w:t>
      </w:r>
    </w:p>
    <w:p w14:paraId="7E149629" w14:textId="77777777" w:rsidR="00753F1F" w:rsidRPr="009E6B2F" w:rsidRDefault="00753F1F">
      <w:pPr>
        <w:pStyle w:val="Level2"/>
        <w:spacing w:before="140" w:after="0"/>
        <w:rPr>
          <w:lang w:val="pt-BR"/>
        </w:rPr>
      </w:pPr>
      <w:bookmarkStart w:id="95" w:name="_DV_M268"/>
      <w:bookmarkStart w:id="96" w:name="_Ref392008548"/>
      <w:bookmarkEnd w:id="95"/>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9927F7">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9927F7">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9927F7">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9927F7">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6"/>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7" w:name="_Ref416256173"/>
      <w:bookmarkStart w:id="98"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9927F7">
        <w:rPr>
          <w:szCs w:val="20"/>
          <w:lang w:val="pt-BR"/>
        </w:rPr>
        <w:t>6.2 abaixo</w:t>
      </w:r>
      <w:r w:rsidR="007545CC">
        <w:rPr>
          <w:lang w:val="pt-BR"/>
        </w:rPr>
        <w:fldChar w:fldCharType="end"/>
      </w:r>
      <w:r w:rsidRPr="009E6B2F">
        <w:rPr>
          <w:lang w:val="pt-BR"/>
        </w:rPr>
        <w:t>:</w:t>
      </w:r>
      <w:bookmarkEnd w:id="97"/>
      <w:bookmarkEnd w:id="98"/>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w:t>
      </w:r>
      <w:r w:rsidRPr="0091283D">
        <w:rPr>
          <w:lang w:val="pt-BR"/>
        </w:rPr>
        <w:lastRenderedPageBreak/>
        <w:t xml:space="preserve">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9"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9927F7">
        <w:rPr>
          <w:lang w:val="pt-BR"/>
        </w:rPr>
        <w:t>6.3</w:t>
      </w:r>
      <w:r w:rsidRPr="009E6B2F">
        <w:fldChar w:fldCharType="end"/>
      </w:r>
      <w:r w:rsidRPr="00487D65">
        <w:rPr>
          <w:lang w:val="pt-BR"/>
        </w:rPr>
        <w:t xml:space="preserve"> abaixo, quaisquer dos seguintes eventos:</w:t>
      </w:r>
      <w:bookmarkEnd w:id="99"/>
    </w:p>
    <w:p w14:paraId="7970EB54" w14:textId="77777777" w:rsidR="00DF330E" w:rsidRDefault="00DF330E" w:rsidP="00DF330E">
      <w:pPr>
        <w:pStyle w:val="Level4"/>
        <w:spacing w:before="140" w:after="0"/>
        <w:ind w:left="2098"/>
        <w:rPr>
          <w:lang w:val="pt-BR"/>
        </w:rPr>
      </w:pPr>
      <w:bookmarkStart w:id="100"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00"/>
    </w:p>
    <w:p w14:paraId="4A5E36EB"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77777777"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 das Debêntures,</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 xml:space="preserve">se a operação for realizada com sociedades por ela controladas, direta ou indiretamente, e a Emissora seja a sociedade remanescente, ressalvado que a composição do controle final e a </w:t>
      </w:r>
      <w:r w:rsidRPr="001066F5">
        <w:rPr>
          <w:lang w:val="pt-BR"/>
        </w:rPr>
        <w:lastRenderedPageBreak/>
        <w:t>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F1E9CDE" w14:textId="77777777" w:rsidR="00DF330E" w:rsidRPr="00660195" w:rsidRDefault="00DF330E" w:rsidP="00DF330E">
      <w:pPr>
        <w:pStyle w:val="Level5"/>
        <w:rPr>
          <w:lang w:val="pt-BR"/>
        </w:rPr>
      </w:pPr>
      <w:r w:rsidRPr="001066F5">
        <w:rPr>
          <w:lang w:val="pt-BR"/>
        </w:rPr>
        <w:t xml:space="preserve">se a CEMIG permanecer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20B8118D" w14:textId="5CE5E628" w:rsidR="00DF330E" w:rsidRPr="00830237" w:rsidRDefault="00DF330E" w:rsidP="00DF330E">
      <w:pPr>
        <w:pStyle w:val="Level4"/>
        <w:rPr>
          <w:noProof/>
          <w:lang w:val="pt-BR"/>
        </w:rPr>
      </w:pPr>
      <w:r w:rsidRPr="00830237">
        <w:rPr>
          <w:lang w:val="pt-BR"/>
        </w:rPr>
        <w:t>caso a Companhia Energética de Minas Gerais – CEMIG</w:t>
      </w:r>
      <w:r w:rsidRPr="00C86A08">
        <w:rPr>
          <w:lang w:val="pt-BR"/>
        </w:rPr>
        <w:t xml:space="preserve"> (“</w:t>
      </w:r>
      <w:r w:rsidRPr="00830237">
        <w:rPr>
          <w:b/>
          <w:lang w:val="pt-BR"/>
        </w:rPr>
        <w:t>CEMIG</w:t>
      </w:r>
      <w:r w:rsidRPr="00C86A08">
        <w:rPr>
          <w:lang w:val="pt-BR"/>
        </w:rPr>
        <w:t>”)</w:t>
      </w:r>
      <w:r w:rsidRPr="00830237">
        <w:rPr>
          <w:lang w:val="pt-BR"/>
        </w:rPr>
        <w:t xml:space="preserve"> </w:t>
      </w:r>
      <w:r w:rsidR="00DE14FF" w:rsidRPr="00A01AB2">
        <w:rPr>
          <w:lang w:val="pt-BR"/>
        </w:rPr>
        <w:t>e/ou a ou ISA Investimentos e Participações do Brasil S.A. (“</w:t>
      </w:r>
      <w:r w:rsidR="00DE14FF" w:rsidRPr="00A01AB2">
        <w:rPr>
          <w:b/>
          <w:lang w:val="pt-BR"/>
        </w:rPr>
        <w:t>ISA</w:t>
      </w:r>
      <w:r w:rsidR="00DE14FF" w:rsidRPr="00A01AB2">
        <w:rPr>
          <w:lang w:val="pt-BR"/>
        </w:rPr>
        <w:t>” e em conjunto com a CEMIG, “</w:t>
      </w:r>
      <w:r w:rsidR="00DE14FF" w:rsidRPr="00A01AB2">
        <w:rPr>
          <w:b/>
          <w:lang w:val="pt-BR"/>
        </w:rPr>
        <w:t>Controladores Finais</w:t>
      </w:r>
      <w:r w:rsidR="00DE14FF" w:rsidRPr="00A01AB2">
        <w:rPr>
          <w:lang w:val="pt-BR"/>
        </w:rPr>
        <w:t xml:space="preserve">”) </w:t>
      </w:r>
      <w:r w:rsidR="00A419A6">
        <w:rPr>
          <w:lang w:val="pt-BR"/>
        </w:rPr>
        <w:t>[</w:t>
      </w:r>
      <w:r w:rsidRPr="00662569">
        <w:rPr>
          <w:highlight w:val="yellow"/>
          <w:lang w:val="pt-BR"/>
        </w:rPr>
        <w:t>deixe</w:t>
      </w:r>
      <w:r w:rsidR="00DE14FF" w:rsidRPr="00662569">
        <w:rPr>
          <w:highlight w:val="yellow"/>
          <w:lang w:val="pt-BR"/>
        </w:rPr>
        <w:t>m</w:t>
      </w:r>
      <w:r w:rsidRPr="00662569">
        <w:rPr>
          <w:highlight w:val="yellow"/>
          <w:lang w:val="pt-BR"/>
        </w:rPr>
        <w:t xml:space="preserve"> de participar do bloco de controle direto ou indireto da Emissora ficando expressamente excepcionados os casos em que </w:t>
      </w:r>
      <w:r w:rsidR="00DE14FF" w:rsidRPr="00662569">
        <w:rPr>
          <w:highlight w:val="yellow"/>
          <w:lang w:val="pt-BR"/>
        </w:rPr>
        <w:t>os Controladores Finais</w:t>
      </w:r>
      <w:r w:rsidRPr="00662569">
        <w:rPr>
          <w:highlight w:val="yellow"/>
          <w:lang w:val="pt-BR"/>
        </w:rPr>
        <w:t xml:space="preserve"> perca</w:t>
      </w:r>
      <w:r w:rsidR="00DE14FF" w:rsidRPr="00662569">
        <w:rPr>
          <w:highlight w:val="yellow"/>
          <w:lang w:val="pt-BR"/>
        </w:rPr>
        <w:t>m</w:t>
      </w:r>
      <w:r w:rsidRPr="00662569">
        <w:rPr>
          <w:highlight w:val="yellow"/>
          <w:lang w:val="pt-BR"/>
        </w:rPr>
        <w:t xml:space="preserve"> o controle direto da Emissora, mantendo, no entanto, seu controle indireto</w:t>
      </w:r>
      <w:r w:rsidR="00A419A6">
        <w:rPr>
          <w:lang w:val="pt-BR"/>
        </w:rPr>
        <w:t>]</w:t>
      </w:r>
      <w:r w:rsidRPr="00830237">
        <w:rPr>
          <w:lang w:val="pt-BR"/>
        </w:rPr>
        <w:t>; e</w:t>
      </w:r>
      <w:r>
        <w:rPr>
          <w:lang w:val="pt-BR"/>
        </w:rPr>
        <w:t xml:space="preserve"> </w:t>
      </w:r>
      <w:r w:rsidR="00406649">
        <w:rPr>
          <w:lang w:val="pt-BR"/>
        </w:rPr>
        <w:t xml:space="preserve"> </w:t>
      </w:r>
      <w:r w:rsidR="00406649">
        <w:rPr>
          <w:b/>
          <w:lang w:val="pt-BR"/>
        </w:rPr>
        <w:t>[</w:t>
      </w:r>
      <w:r w:rsidR="00406649" w:rsidRPr="00662569">
        <w:rPr>
          <w:b/>
          <w:highlight w:val="yellow"/>
          <w:lang w:val="pt-BR"/>
        </w:rPr>
        <w:t xml:space="preserve">NOTA </w:t>
      </w:r>
      <w:r w:rsidR="00A419A6">
        <w:rPr>
          <w:b/>
          <w:highlight w:val="yellow"/>
          <w:lang w:val="pt-BR"/>
        </w:rPr>
        <w:t>COORDENADORES</w:t>
      </w:r>
      <w:r w:rsidR="00406649" w:rsidRPr="00662569">
        <w:rPr>
          <w:b/>
          <w:highlight w:val="yellow"/>
          <w:lang w:val="pt-BR"/>
        </w:rPr>
        <w:t xml:space="preserve">: </w:t>
      </w:r>
      <w:r w:rsidR="00A419A6" w:rsidRPr="00A419A6">
        <w:rPr>
          <w:b/>
          <w:highlight w:val="yellow"/>
          <w:lang w:val="pt-BR"/>
        </w:rPr>
        <w:t>CLÁUSULA EM DISCUSSÃO EM JANAÚBA</w:t>
      </w:r>
      <w:r w:rsidR="00406649">
        <w:rPr>
          <w:b/>
          <w:lang w:val="pt-BR"/>
        </w:rPr>
        <w:t>]</w:t>
      </w:r>
    </w:p>
    <w:p w14:paraId="50860691" w14:textId="77777777" w:rsidR="00956B14" w:rsidRPr="00DF330E" w:rsidRDefault="00DF330E" w:rsidP="0014285E">
      <w:pPr>
        <w:pStyle w:val="Level4"/>
        <w:spacing w:before="140"/>
        <w:rPr>
          <w:lang w:val="pt-BR"/>
        </w:rPr>
      </w:pPr>
      <w:r w:rsidRPr="00DF330E">
        <w:rPr>
          <w:noProof/>
          <w:lang w:val="pt-BR"/>
        </w:rPr>
        <w:t xml:space="preserve">não obtenção, não renovação, cancelamento, revogação ou suspensão das autorizações, subvenções, alvarás ou licenças, inclusive as ambientais, necessárias para o regular exercício das atividades desenvolvidas pela Emissora, exceto se, dentro do prazo de 15 (quinze) </w:t>
      </w:r>
      <w:r w:rsidRPr="00DF330E">
        <w:rPr>
          <w:noProof/>
          <w:lang w:val="pt-BR"/>
        </w:rPr>
        <w:lastRenderedPageBreak/>
        <w:t>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Pr="00DF330E">
        <w:rPr>
          <w:lang w:val="pt-BR"/>
        </w:rPr>
        <w:t>.</w:t>
      </w:r>
    </w:p>
    <w:p w14:paraId="40B6D94B" w14:textId="77777777" w:rsidR="00753F1F" w:rsidRPr="009E6B2F" w:rsidRDefault="00753F1F" w:rsidP="006A0F52">
      <w:pPr>
        <w:pStyle w:val="Level2"/>
        <w:spacing w:before="140" w:after="0"/>
        <w:rPr>
          <w:rFonts w:cs="Arial"/>
          <w:szCs w:val="20"/>
          <w:lang w:val="pt-BR"/>
        </w:rPr>
      </w:pPr>
      <w:bookmarkStart w:id="101" w:name="_Ref391996822"/>
      <w:bookmarkStart w:id="102"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9927F7">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01"/>
      <w:bookmarkEnd w:id="102"/>
      <w:r w:rsidRPr="009E6B2F">
        <w:rPr>
          <w:lang w:val="pt-BR"/>
        </w:rPr>
        <w:t xml:space="preserve"> </w:t>
      </w:r>
    </w:p>
    <w:p w14:paraId="41BAEC4F" w14:textId="09F5288E" w:rsidR="00753F1F" w:rsidRDefault="00753F1F" w:rsidP="005020A7">
      <w:pPr>
        <w:pStyle w:val="Level2"/>
        <w:spacing w:before="140" w:after="0"/>
        <w:rPr>
          <w:lang w:val="pt-BR"/>
        </w:rPr>
      </w:pPr>
      <w:bookmarkStart w:id="103"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9927F7">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9927F7">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3"/>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4"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9927F7">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4"/>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(ii)</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5" w:name="_Ref416258031"/>
      <w:bookmarkStart w:id="106"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9927F7">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9927F7">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5"/>
      <w:bookmarkEnd w:id="106"/>
    </w:p>
    <w:p w14:paraId="4F4BF8A3" w14:textId="77777777" w:rsidR="009605FA" w:rsidRDefault="009605FA" w:rsidP="006A0F52">
      <w:pPr>
        <w:pStyle w:val="Level2"/>
        <w:spacing w:before="140" w:after="0"/>
        <w:rPr>
          <w:lang w:val="pt-BR"/>
        </w:rPr>
      </w:pPr>
      <w:bookmarkStart w:id="107" w:name="_Ref420336801"/>
      <w:bookmarkStart w:id="108" w:name="_Ref474506393"/>
      <w:bookmarkStart w:id="109"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9927F7">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w:t>
      </w:r>
      <w:r w:rsidRPr="00830237">
        <w:rPr>
          <w:lang w:val="pt-BR"/>
        </w:rPr>
        <w:lastRenderedPageBreak/>
        <w:t>(i)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7"/>
      <w:bookmarkEnd w:id="108"/>
      <w:r w:rsidRPr="009605FA">
        <w:rPr>
          <w:lang w:val="pt-BR"/>
        </w:rPr>
        <w:t xml:space="preserve"> </w:t>
      </w:r>
    </w:p>
    <w:p w14:paraId="308E6CC4" w14:textId="5533C03E" w:rsidR="009605FA" w:rsidRPr="009605FA" w:rsidRDefault="00753F1F" w:rsidP="009605FA">
      <w:pPr>
        <w:pStyle w:val="Level2"/>
        <w:spacing w:before="140"/>
        <w:rPr>
          <w:lang w:val="pt-BR"/>
        </w:rPr>
      </w:pPr>
      <w:bookmarkStart w:id="110"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10"/>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11"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9927F7">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9"/>
      <w:bookmarkEnd w:id="111"/>
    </w:p>
    <w:p w14:paraId="179236DC" w14:textId="44964C99" w:rsidR="009605FA" w:rsidRPr="009605FA" w:rsidRDefault="00891139" w:rsidP="009605FA">
      <w:pPr>
        <w:pStyle w:val="Level3"/>
        <w:spacing w:before="140"/>
        <w:ind w:left="1360"/>
        <w:rPr>
          <w:lang w:val="pt-BR"/>
        </w:rPr>
      </w:pPr>
      <w:bookmarkStart w:id="112"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9927F7">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12"/>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3" w:name="_DV_M194"/>
      <w:bookmarkEnd w:id="113"/>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4"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9927F7">
        <w:rPr>
          <w:szCs w:val="20"/>
          <w:lang w:val="pt-BR"/>
        </w:rPr>
        <w:t>7.1.3</w:t>
      </w:r>
      <w:r>
        <w:rPr>
          <w:szCs w:val="20"/>
          <w:lang w:val="pt-BR"/>
        </w:rPr>
        <w:fldChar w:fldCharType="end"/>
      </w:r>
      <w:r>
        <w:rPr>
          <w:szCs w:val="20"/>
          <w:lang w:val="pt-BR"/>
        </w:rPr>
        <w:t>.</w:t>
      </w:r>
      <w:bookmarkEnd w:id="114"/>
    </w:p>
    <w:p w14:paraId="3227FF7D" w14:textId="55055C14" w:rsidR="005B6B57" w:rsidRPr="0014104D" w:rsidRDefault="005B6B57">
      <w:pPr>
        <w:pStyle w:val="Level3"/>
        <w:spacing w:before="140" w:after="0"/>
        <w:rPr>
          <w:lang w:val="pt-BR"/>
        </w:rPr>
      </w:pPr>
      <w:bookmarkStart w:id="115" w:name="_Ref536532482"/>
      <w:r w:rsidRPr="00125E03">
        <w:rPr>
          <w:szCs w:val="20"/>
          <w:lang w:val="pt-BR"/>
        </w:rPr>
        <w:lastRenderedPageBreak/>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9927F7">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(conforme abaixo definido)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5"/>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6" w:name="_Ref434432135"/>
      <w:r w:rsidRPr="009E6B2F">
        <w:rPr>
          <w:b/>
          <w:lang w:val="pt-BR"/>
        </w:rPr>
        <w:t>Público Alvo da Oferta</w:t>
      </w:r>
      <w:bookmarkEnd w:id="116"/>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7"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7"/>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9927F7">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 xml:space="preserve">serão atendidos os clientes Investidores Profissionais dos Coordenadores que desejarem efetuar investimentos nas Debêntures, tendo em vista a </w:t>
      </w:r>
      <w:r w:rsidRPr="00125E03">
        <w:rPr>
          <w:lang w:val="pt-BR"/>
        </w:rPr>
        <w:lastRenderedPageBreak/>
        <w:t>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8" w:name="_Ref427712341"/>
      <w:bookmarkStart w:id="119"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18"/>
      <w:r w:rsidRPr="009E6B2F">
        <w:rPr>
          <w:b/>
          <w:lang w:val="pt-BR"/>
        </w:rPr>
        <w:t xml:space="preserve"> </w:t>
      </w:r>
      <w:bookmarkEnd w:id="119"/>
    </w:p>
    <w:p w14:paraId="72CBBB38" w14:textId="77777777" w:rsidR="007A0642" w:rsidRPr="00CF72AB" w:rsidRDefault="00A43E79">
      <w:pPr>
        <w:pStyle w:val="Level3"/>
        <w:spacing w:before="140" w:after="0"/>
        <w:rPr>
          <w:lang w:val="pt-BR"/>
        </w:rPr>
      </w:pPr>
      <w:bookmarkStart w:id="120"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21" w:name="_Ref515972495"/>
      <w:bookmarkStart w:id="122" w:name="_Ref516587774"/>
      <w:bookmarkStart w:id="123" w:name="_Ref459766486"/>
      <w:bookmarkStart w:id="124" w:name="_Ref427711719"/>
      <w:bookmarkEnd w:id="120"/>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21"/>
      <w:bookmarkEnd w:id="122"/>
      <w:r w:rsidR="001027D0">
        <w:rPr>
          <w:lang w:val="pt-BR"/>
        </w:rPr>
        <w:t xml:space="preserve"> </w:t>
      </w:r>
    </w:p>
    <w:p w14:paraId="2FC0E83A" w14:textId="77777777" w:rsidR="00493AB6" w:rsidRPr="009E6B2F" w:rsidRDefault="00493AB6" w:rsidP="00D95AE5">
      <w:pPr>
        <w:pStyle w:val="Level1"/>
      </w:pPr>
      <w:bookmarkStart w:id="125" w:name="_DV_C150"/>
      <w:bookmarkEnd w:id="123"/>
      <w:bookmarkEnd w:id="124"/>
      <w:bookmarkEnd w:id="125"/>
      <w:r w:rsidRPr="009E6B2F">
        <w:t>OBRIGAÇÕES ADICIONAIS DA EMISSORA</w:t>
      </w:r>
    </w:p>
    <w:p w14:paraId="1699C80C" w14:textId="77777777" w:rsidR="00227D5D" w:rsidRPr="00465D29" w:rsidRDefault="00A43E79" w:rsidP="00660195">
      <w:pPr>
        <w:pStyle w:val="Level2"/>
        <w:rPr>
          <w:lang w:val="pt-BR"/>
        </w:rPr>
      </w:pPr>
      <w:bookmarkStart w:id="126"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6"/>
    </w:p>
    <w:p w14:paraId="249C3912" w14:textId="77777777" w:rsidR="00A43E79" w:rsidRPr="00125E03" w:rsidRDefault="00A43E79" w:rsidP="00125E03">
      <w:pPr>
        <w:pStyle w:val="Level3"/>
        <w:rPr>
          <w:lang w:val="pt-BR"/>
        </w:rPr>
      </w:pPr>
      <w:bookmarkStart w:id="127"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8" w:name="_Ref528695463"/>
      <w:r w:rsidRPr="00125E03">
        <w:rPr>
          <w:lang w:val="pt-BR"/>
        </w:rPr>
        <w:t xml:space="preserve">dentro de, no máximo, 45 (quarenta e cinco) dias após o término dos 3 (três) primeiros trimestres de cada exercício social observado o disposto na alínea (iii) abaixo, cópia de suas informações trimestrais (ITR) completas relativas ao respectivo trimestre acompanhadas de notas </w:t>
      </w:r>
      <w:r w:rsidRPr="00125E03">
        <w:rPr>
          <w:lang w:val="pt-BR"/>
        </w:rPr>
        <w:lastRenderedPageBreak/>
        <w:t>explicativas e relatório de revisão especial;</w:t>
      </w:r>
      <w:bookmarkEnd w:id="128"/>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9"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9"/>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 xml:space="preserve">enviar os atos societários, os dados financeiros da Emissora e o organograma de seu grupo societário, o qual deverá conter, inclusive, os </w:t>
      </w:r>
      <w:r w:rsidRPr="00125E03">
        <w:rPr>
          <w:lang w:val="pt-BR"/>
        </w:rPr>
        <w:lastRenderedPageBreak/>
        <w:t>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9927F7">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9927F7">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9927F7">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9927F7">
        <w:rPr>
          <w:lang w:val="pt-BR"/>
        </w:rPr>
        <w:t>(ii)</w:t>
      </w:r>
      <w:r w:rsidRPr="008167F9">
        <w:fldChar w:fldCharType="end"/>
      </w:r>
      <w:r w:rsidRPr="00125E03">
        <w:rPr>
          <w:lang w:val="pt-BR"/>
        </w:rPr>
        <w:t xml:space="preserve"> acima; </w:t>
      </w:r>
    </w:p>
    <w:bookmarkEnd w:id="127"/>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9927F7">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lastRenderedPageBreak/>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9927F7">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30"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30"/>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9927F7">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4934AD93" w:rsidR="009A0391" w:rsidRPr="00125E03" w:rsidRDefault="00A43E79" w:rsidP="00125E03">
      <w:pPr>
        <w:pStyle w:val="Level3"/>
        <w:rPr>
          <w:lang w:val="pt-BR"/>
        </w:rPr>
      </w:pPr>
      <w:r w:rsidRPr="00125E03">
        <w:rPr>
          <w:lang w:val="pt-BR"/>
        </w:rPr>
        <w:t xml:space="preserve">cumprir </w:t>
      </w:r>
      <w:r w:rsidR="008F74B0">
        <w:rPr>
          <w:lang w:val="pt-BR"/>
        </w:rPr>
        <w:t xml:space="preserve">e fazer com que suas controladas cumpram </w:t>
      </w:r>
      <w:r w:rsidR="00891139">
        <w:rPr>
          <w:lang w:val="pt-BR"/>
        </w:rPr>
        <w:t xml:space="preserve">integralmente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w:t>
      </w:r>
      <w:r w:rsidR="00891139">
        <w:rPr>
          <w:lang w:val="pt-BR"/>
        </w:rPr>
        <w:t xml:space="preserve">bem como a legislação e demais normas ambientais e trabalhistas em vigor, relativa à saúde e segurança ocupacional, </w:t>
      </w:r>
      <w:r w:rsidRPr="00125E03">
        <w:rPr>
          <w:lang w:val="pt-BR"/>
        </w:rPr>
        <w:t>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7E4FFD" w:rsidRPr="00662569">
        <w:rPr>
          <w:lang w:val="pt-BR"/>
        </w:rPr>
        <w:t xml:space="preserve">assim como não </w:t>
      </w:r>
      <w:r w:rsidR="007E4FFD" w:rsidRPr="007E4FFD">
        <w:rPr>
          <w:lang w:val="pt-BR"/>
        </w:rPr>
        <w:t>adotando</w:t>
      </w:r>
      <w:r w:rsidR="007E4FFD" w:rsidRPr="00662569">
        <w:rPr>
          <w:lang w:val="pt-BR"/>
        </w:rPr>
        <w:t xml:space="preserve">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Pr="00125E03">
        <w:rPr>
          <w:lang w:val="pt-BR"/>
        </w:rPr>
        <w:t xml:space="preserve"> (“</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3FC608F6" w:rsidR="00E760CC" w:rsidRPr="00662569" w:rsidRDefault="007E4FFD" w:rsidP="00125E03">
      <w:pPr>
        <w:pStyle w:val="Level3"/>
        <w:rPr>
          <w:b/>
          <w:lang w:val="pt-BR"/>
        </w:rPr>
      </w:pPr>
      <w:r>
        <w:rPr>
          <w:lang w:val="pt-BR"/>
        </w:rPr>
        <w:t xml:space="preserve">observar, </w:t>
      </w:r>
      <w:r w:rsidR="00A43E79" w:rsidRPr="00125E03">
        <w:rPr>
          <w:lang w:val="pt-BR"/>
        </w:rPr>
        <w:t xml:space="preserve">cumprir e </w:t>
      </w:r>
      <w:r>
        <w:rPr>
          <w:lang w:val="pt-BR"/>
        </w:rPr>
        <w:t xml:space="preserve">fazer com que a </w:t>
      </w:r>
      <w:r w:rsidR="00A43E79" w:rsidRPr="00125E03">
        <w:rPr>
          <w:lang w:val="pt-BR"/>
        </w:rPr>
        <w:t xml:space="preserve">Emissora e/ou </w:t>
      </w:r>
      <w:r>
        <w:rPr>
          <w:lang w:val="pt-BR"/>
        </w:rPr>
        <w:t xml:space="preserve">seus controladores, </w:t>
      </w:r>
      <w:r w:rsidR="005B3EC6">
        <w:rPr>
          <w:lang w:val="pt-BR"/>
        </w:rPr>
        <w:t>controladas</w:t>
      </w:r>
      <w:r>
        <w:rPr>
          <w:lang w:val="pt-BR"/>
        </w:rPr>
        <w:t>, coligadas, sociedades sob controle com</w:t>
      </w:r>
      <w:r w:rsidR="00E760CC">
        <w:rPr>
          <w:lang w:val="pt-BR"/>
        </w:rPr>
        <w:t>um,</w:t>
      </w:r>
      <w:r>
        <w:rPr>
          <w:lang w:val="pt-BR"/>
        </w:rPr>
        <w:t xml:space="preserve"> seus acionistas</w:t>
      </w:r>
      <w:r w:rsidR="005B3EC6">
        <w:rPr>
          <w:lang w:val="pt-BR"/>
        </w:rPr>
        <w:t xml:space="preserve"> </w:t>
      </w:r>
      <w:r w:rsidR="00E760CC">
        <w:rPr>
          <w:lang w:val="pt-BR"/>
        </w:rPr>
        <w:t>(“</w:t>
      </w:r>
      <w:r w:rsidR="00E760CC" w:rsidRPr="00662569">
        <w:rPr>
          <w:b/>
          <w:lang w:val="pt-BR"/>
        </w:rPr>
        <w:t>Afiliadas</w:t>
      </w:r>
      <w:r w:rsidR="00E760CC">
        <w:rPr>
          <w:lang w:val="pt-BR"/>
        </w:rPr>
        <w:t xml:space="preserve">”) </w:t>
      </w:r>
      <w:r w:rsidR="005B3EC6">
        <w:rPr>
          <w:lang w:val="pt-BR"/>
        </w:rPr>
        <w:t>e seus</w:t>
      </w:r>
      <w:r>
        <w:rPr>
          <w:lang w:val="pt-BR"/>
        </w:rPr>
        <w:t xml:space="preserve"> diretores, funcionários e membros do conselho de administração observem e </w:t>
      </w:r>
      <w:r w:rsidR="006E44AF">
        <w:rPr>
          <w:lang w:val="pt-BR"/>
        </w:rPr>
        <w:t xml:space="preserve">cumpram </w:t>
      </w:r>
      <w:r w:rsidR="00A43E79" w:rsidRPr="00125E03">
        <w:rPr>
          <w:lang w:val="pt-BR"/>
        </w:rPr>
        <w:t>as leis ou regulamentos</w:t>
      </w:r>
      <w:r w:rsidR="006E44AF">
        <w:rPr>
          <w:lang w:val="pt-BR"/>
        </w:rPr>
        <w:t xml:space="preserve"> em geral</w:t>
      </w:r>
      <w:r w:rsidR="00A43E79" w:rsidRPr="00125E03">
        <w:rPr>
          <w:lang w:val="pt-BR"/>
        </w:rPr>
        <w:t xml:space="preserve">, nacionais ou estrangeiros, contra prática de corrupção ou atos lesivos à administração </w:t>
      </w:r>
      <w:r w:rsidR="00A43E79" w:rsidRPr="00125E03">
        <w:rPr>
          <w:lang w:val="pt-BR"/>
        </w:rPr>
        <w:lastRenderedPageBreak/>
        <w:t xml:space="preserve">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2F8E6FDB" w14:textId="6052CDB2" w:rsidR="001E5040" w:rsidRPr="00125E03" w:rsidRDefault="005B3EC6" w:rsidP="00125E03">
      <w:pPr>
        <w:pStyle w:val="Level3"/>
        <w:rPr>
          <w:b/>
          <w:lang w:val="pt-BR"/>
        </w:rPr>
      </w:pPr>
      <w:r w:rsidRPr="00E760CC">
        <w:rPr>
          <w:lang w:val="pt-BR"/>
        </w:rPr>
        <w:t xml:space="preserve">(i) manter políticas e procedimentos internos que assegurem o integral cumprimento das </w:t>
      </w:r>
      <w:r w:rsidR="00E760CC" w:rsidRPr="00662569">
        <w:rPr>
          <w:lang w:val="pt-BR"/>
        </w:rPr>
        <w:t>Leis</w:t>
      </w:r>
      <w:r w:rsidRPr="00E760CC">
        <w:rPr>
          <w:lang w:val="pt-BR"/>
        </w:rPr>
        <w:t xml:space="preserve"> Anticorrupção; (ii) dar pleno conhecimento das </w:t>
      </w:r>
      <w:r w:rsidR="00E760CC" w:rsidRPr="00662569">
        <w:rPr>
          <w:lang w:val="pt-BR"/>
        </w:rPr>
        <w:t>Leis</w:t>
      </w:r>
      <w:r w:rsidRPr="00E760CC">
        <w:rPr>
          <w:lang w:val="pt-BR"/>
        </w:rPr>
        <w:t xml:space="preserve"> Anticorrupção a todos os profissionais que venham a se relacionar, previamente ao início de sua atuação no âmbito deste documento; (iii) 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w:t>
      </w:r>
      <w:r w:rsidRPr="00EF3298">
        <w:rPr>
          <w:lang w:val="pt-BR"/>
        </w:rPr>
        <w:t>2 (dois)</w:t>
      </w:r>
      <w:r w:rsidRPr="00081D90">
        <w:rPr>
          <w:lang w:val="pt-BR"/>
        </w:rPr>
        <w:t xml:space="preserve"> Dias Úteis contados do conhecimento de tal ato ou fato, ao Agente Fiduciário;</w:t>
      </w:r>
    </w:p>
    <w:p w14:paraId="0665E10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864A7A" w:rsidRPr="00125E03">
        <w:rPr>
          <w:lang w:val="pt-BR"/>
        </w:rPr>
        <w:t>[fevereiro]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31"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31"/>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2" w:name="_Ref528344748"/>
      <w:r w:rsidRPr="00125E03">
        <w:rPr>
          <w:w w:val="0"/>
          <w:lang w:val="pt-BR"/>
        </w:rPr>
        <w:lastRenderedPageBreak/>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2"/>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9927F7">
        <w:rPr>
          <w:w w:val="0"/>
          <w:lang w:val="pt-BR"/>
        </w:rPr>
        <w:t>(iv)</w:t>
      </w:r>
      <w:r w:rsidR="00864A7A">
        <w:rPr>
          <w:w w:val="0"/>
          <w:lang w:val="pt-BR"/>
        </w:rPr>
        <w:fldChar w:fldCharType="end"/>
      </w:r>
      <w:r w:rsidRPr="00125E03">
        <w:rPr>
          <w:w w:val="0"/>
          <w:lang w:val="pt-BR"/>
        </w:rPr>
        <w:t xml:space="preserve"> acima</w:t>
      </w:r>
    </w:p>
    <w:p w14:paraId="601FBD40" w14:textId="77777777" w:rsidR="00493AB6" w:rsidRPr="009E6B2F" w:rsidRDefault="00493AB6" w:rsidP="002F510A">
      <w:pPr>
        <w:pStyle w:val="Level1"/>
      </w:pPr>
      <w:bookmarkStart w:id="133" w:name="_DV_M195"/>
      <w:bookmarkStart w:id="134" w:name="_DV_M196"/>
      <w:bookmarkStart w:id="135" w:name="_DV_M197"/>
      <w:bookmarkStart w:id="136" w:name="_DV_M198"/>
      <w:bookmarkStart w:id="137" w:name="_DV_M199"/>
      <w:bookmarkStart w:id="138" w:name="_DV_M200"/>
      <w:bookmarkStart w:id="139" w:name="_DV_M201"/>
      <w:bookmarkStart w:id="140" w:name="_DV_M202"/>
      <w:bookmarkStart w:id="141" w:name="_DV_M203"/>
      <w:bookmarkStart w:id="142" w:name="_DV_M204"/>
      <w:bookmarkStart w:id="143" w:name="_DV_M205"/>
      <w:bookmarkStart w:id="144" w:name="_DV_M206"/>
      <w:bookmarkStart w:id="145" w:name="_DV_M207"/>
      <w:bookmarkStart w:id="146" w:name="_DV_M208"/>
      <w:bookmarkStart w:id="147" w:name="_DV_M209"/>
      <w:bookmarkStart w:id="148" w:name="_DV_M210"/>
      <w:bookmarkStart w:id="149" w:name="_DV_M211"/>
      <w:bookmarkStart w:id="150" w:name="_DV_M212"/>
      <w:bookmarkStart w:id="151" w:name="_DV_M213"/>
      <w:bookmarkStart w:id="152" w:name="_DV_M214"/>
      <w:bookmarkStart w:id="153" w:name="_DV_M215"/>
      <w:bookmarkStart w:id="154" w:name="_DV_M216"/>
      <w:bookmarkStart w:id="155" w:name="_DV_M217"/>
      <w:bookmarkStart w:id="156" w:name="_DV_M218"/>
      <w:bookmarkStart w:id="157" w:name="_DV_M219"/>
      <w:bookmarkStart w:id="158" w:name="_DV_M220"/>
      <w:bookmarkStart w:id="159" w:name="_DV_M221"/>
      <w:bookmarkStart w:id="160" w:name="_DV_M222"/>
      <w:bookmarkStart w:id="161" w:name="_DV_M223"/>
      <w:bookmarkStart w:id="162" w:name="_DV_M224"/>
      <w:bookmarkStart w:id="163" w:name="_DV_M225"/>
      <w:bookmarkStart w:id="164" w:name="_DV_M226"/>
      <w:bookmarkStart w:id="165" w:name="_DV_M227"/>
      <w:bookmarkStart w:id="166" w:name="_DV_M228"/>
      <w:bookmarkStart w:id="167" w:name="_DV_M229"/>
      <w:bookmarkStart w:id="168" w:name="_DV_M230"/>
      <w:bookmarkStart w:id="169" w:name="_DV_M231"/>
      <w:bookmarkStart w:id="170" w:name="_DV_M232"/>
      <w:bookmarkStart w:id="171" w:name="_DV_M233"/>
      <w:bookmarkStart w:id="172" w:name="_DV_M234"/>
      <w:bookmarkStart w:id="173" w:name="_DV_M235"/>
      <w:bookmarkStart w:id="174" w:name="_DV_M236"/>
      <w:bookmarkStart w:id="175" w:name="_DV_M237"/>
      <w:bookmarkStart w:id="176" w:name="_DV_M238"/>
      <w:bookmarkStart w:id="177" w:name="_DV_M239"/>
      <w:bookmarkStart w:id="178" w:name="_DV_M240"/>
      <w:bookmarkStart w:id="179" w:name="_DV_M241"/>
      <w:bookmarkStart w:id="180" w:name="_DV_M242"/>
      <w:bookmarkStart w:id="181" w:name="_DV_M243"/>
      <w:bookmarkStart w:id="182" w:name="_DV_M244"/>
      <w:bookmarkStart w:id="183" w:name="_DV_M245"/>
      <w:bookmarkStart w:id="184" w:name="_DV_M246"/>
      <w:bookmarkStart w:id="185" w:name="_DV_M247"/>
      <w:bookmarkStart w:id="186" w:name="_DV_M248"/>
      <w:bookmarkStart w:id="187" w:name="_DV_M24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E6B2F">
        <w:t>DO AGENTE FIDUCIÁRIO</w:t>
      </w:r>
      <w:r w:rsidR="00125E03">
        <w:t xml:space="preserve"> [</w:t>
      </w:r>
      <w:r w:rsidR="00125E03" w:rsidRPr="00125E03">
        <w:rPr>
          <w:highlight w:val="yellow"/>
        </w:rPr>
        <w:t>NOTA LEFOSSE: A SER AJUSTADO/REVISADO APÓS CONTRATAÇÃO DO AGENTE FIDUCIÁRIO</w:t>
      </w:r>
      <w:r w:rsidR="00125E03">
        <w:t>]</w:t>
      </w:r>
    </w:p>
    <w:p w14:paraId="3CAC269A" w14:textId="77777777" w:rsidR="00044418" w:rsidRPr="002F510A" w:rsidRDefault="00044418" w:rsidP="002F510A">
      <w:pPr>
        <w:pStyle w:val="Level2"/>
        <w:rPr>
          <w:lang w:val="pt-BR"/>
        </w:rPr>
      </w:pPr>
      <w:bookmarkStart w:id="188" w:name="_DV_M250"/>
      <w:bookmarkEnd w:id="188"/>
      <w:r w:rsidRPr="002F510A">
        <w:rPr>
          <w:lang w:val="pt-BR"/>
        </w:rPr>
        <w:t>A Emissora nomeia e constitui como Agente Fiduciário da Emissão</w:t>
      </w:r>
      <w:r w:rsidR="002F510A">
        <w:rPr>
          <w:lang w:val="pt-BR"/>
        </w:rPr>
        <w:t xml:space="preserve"> </w:t>
      </w:r>
      <w:r w:rsidR="002F510A" w:rsidRPr="002F510A">
        <w:rPr>
          <w:lang w:val="pt-BR"/>
        </w:rPr>
        <w:t xml:space="preserve">Simplific Pavarini Distribuidora </w:t>
      </w:r>
      <w:r w:rsidR="002F510A">
        <w:rPr>
          <w:lang w:val="pt-BR"/>
        </w:rPr>
        <w:t>d</w:t>
      </w:r>
      <w:r w:rsidR="002F510A" w:rsidRPr="002F510A">
        <w:rPr>
          <w:lang w:val="pt-BR"/>
        </w:rPr>
        <w:t xml:space="preserve">e Títulos </w:t>
      </w:r>
      <w:r w:rsidR="002F510A">
        <w:rPr>
          <w:lang w:val="pt-BR"/>
        </w:rPr>
        <w:t>e</w:t>
      </w:r>
      <w:r w:rsidR="002F510A" w:rsidRPr="002F510A">
        <w:rPr>
          <w:lang w:val="pt-BR"/>
        </w:rPr>
        <w:t xml:space="preserve"> Valores Mobiliários Ltda.</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9927F7">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3D9BD504" w14:textId="77777777" w:rsidR="0015139D" w:rsidRPr="0015139D" w:rsidRDefault="006B2BCF" w:rsidP="0015139D">
      <w:pPr>
        <w:widowControl/>
        <w:numPr>
          <w:ilvl w:val="0"/>
          <w:numId w:val="2"/>
        </w:numPr>
        <w:tabs>
          <w:tab w:val="clear" w:pos="1080"/>
        </w:tabs>
        <w:suppressAutoHyphens/>
        <w:spacing w:before="140" w:line="290" w:lineRule="auto"/>
        <w:ind w:left="1418" w:hanging="708"/>
        <w:rPr>
          <w:rFonts w:ascii="Arial" w:hAnsi="Arial" w:cs="Arial"/>
          <w:sz w:val="20"/>
          <w:szCs w:val="20"/>
        </w:rPr>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r w:rsidR="00125E03">
        <w:rPr>
          <w:rFonts w:ascii="Arial" w:hAnsi="Arial" w:cs="Arial"/>
          <w:sz w:val="20"/>
          <w:szCs w:val="20"/>
        </w:rPr>
        <w:t>[</w:t>
      </w:r>
      <w:r w:rsidR="00125E03" w:rsidRPr="00125E03">
        <w:rPr>
          <w:rFonts w:ascii="Arial" w:hAnsi="Arial" w:cs="Arial"/>
          <w:b/>
          <w:sz w:val="20"/>
          <w:szCs w:val="20"/>
          <w:highlight w:val="yellow"/>
        </w:rPr>
        <w:t>Nota Lefosse: a ser inserido após contratação do agente fiduciário</w:t>
      </w:r>
      <w:r w:rsidR="00125E03">
        <w:rPr>
          <w:rFonts w:ascii="Arial" w:hAnsi="Arial" w:cs="Arial"/>
          <w:sz w:val="20"/>
          <w:szCs w:val="20"/>
        </w:rPr>
        <w:t>]</w:t>
      </w: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89" w:name="_DV_M251"/>
      <w:bookmarkStart w:id="190" w:name="_DV_M252"/>
      <w:bookmarkStart w:id="191" w:name="_DV_M253"/>
      <w:bookmarkStart w:id="192" w:name="_DV_M254"/>
      <w:bookmarkStart w:id="193" w:name="_DV_M255"/>
      <w:bookmarkStart w:id="194" w:name="_DV_M256"/>
      <w:bookmarkStart w:id="195" w:name="_DV_M257"/>
      <w:bookmarkStart w:id="196" w:name="_DV_M258"/>
      <w:bookmarkStart w:id="197" w:name="_DV_M259"/>
      <w:bookmarkStart w:id="198" w:name="_DV_M260"/>
      <w:bookmarkStart w:id="199" w:name="_DV_M261"/>
      <w:bookmarkStart w:id="200" w:name="_DV_M262"/>
      <w:bookmarkStart w:id="201" w:name="_DV_M263"/>
      <w:bookmarkStart w:id="202" w:name="_DV_M264"/>
      <w:bookmarkStart w:id="203" w:name="_DV_M270"/>
      <w:bookmarkStart w:id="204" w:name="_DV_M271"/>
      <w:bookmarkStart w:id="205" w:name="_DV_M272"/>
      <w:bookmarkStart w:id="206" w:name="_DV_M273"/>
      <w:bookmarkStart w:id="207" w:name="_DV_M274"/>
      <w:bookmarkStart w:id="208" w:name="_DV_M275"/>
      <w:bookmarkStart w:id="209" w:name="_DV_M276"/>
      <w:bookmarkStart w:id="210" w:name="_DV_M27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77777777" w:rsidR="00BC67EB" w:rsidRPr="00174AD1" w:rsidRDefault="00125E03" w:rsidP="00BC67EB">
      <w:pPr>
        <w:pStyle w:val="Level2"/>
        <w:spacing w:before="140" w:after="0"/>
        <w:rPr>
          <w:b/>
          <w:lang w:val="pt-BR"/>
        </w:rPr>
      </w:pPr>
      <w:r w:rsidRPr="00125E03">
        <w:rPr>
          <w:b/>
          <w:lang w:val="pt-BR"/>
        </w:rPr>
        <w:t>[</w:t>
      </w:r>
      <w:r w:rsidR="00BC67EB" w:rsidRPr="00ED5956">
        <w:rPr>
          <w:lang w:val="pt-BR"/>
        </w:rPr>
        <w:t>Será devido pela Emissora ao Agente Fiduciário, a título de honorários pelos deveres e atribuições que lhe competem, nos termos da legislação e regulamentação aplicáveis e desta Escritura de Emissão, parcelas anuais de R$</w:t>
      </w:r>
      <w:r w:rsidR="0015139D">
        <w:rPr>
          <w:lang w:val="pt-BR"/>
        </w:rPr>
        <w:t xml:space="preserve"> 1</w:t>
      </w:r>
      <w:r w:rsidR="008238B7">
        <w:rPr>
          <w:lang w:val="pt-BR"/>
        </w:rPr>
        <w:t>0</w:t>
      </w:r>
      <w:r w:rsidR="0015139D">
        <w:rPr>
          <w:lang w:val="pt-BR"/>
        </w:rPr>
        <w:t>.000,00</w:t>
      </w:r>
      <w:r w:rsidR="00BC67EB" w:rsidRPr="00ED5956">
        <w:rPr>
          <w:lang w:val="pt-BR"/>
        </w:rPr>
        <w:t xml:space="preserve"> (</w:t>
      </w:r>
      <w:r w:rsidR="008238B7">
        <w:rPr>
          <w:lang w:val="pt-BR"/>
        </w:rPr>
        <w:t>dez</w:t>
      </w:r>
      <w:r w:rsidR="00BC67EB" w:rsidRPr="00ED5956">
        <w:rPr>
          <w:lang w:val="pt-BR"/>
        </w:rPr>
        <w:t xml:space="preserve"> mil reais), sendo a primeira parcela devida </w:t>
      </w:r>
      <w:r w:rsidR="00BA6C76">
        <w:rPr>
          <w:lang w:val="pt-BR"/>
        </w:rPr>
        <w:t>em</w:t>
      </w:r>
      <w:r w:rsidR="00BC67EB" w:rsidRPr="00ED5956">
        <w:rPr>
          <w:lang w:val="pt-BR"/>
        </w:rPr>
        <w:t xml:space="preserve"> </w:t>
      </w:r>
      <w:r w:rsidR="0053654F">
        <w:rPr>
          <w:noProof/>
          <w:color w:val="000000"/>
          <w:lang w:val="pt-BR"/>
        </w:rPr>
        <w:t>15</w:t>
      </w:r>
      <w:r w:rsidR="0053654F" w:rsidRPr="00ED5956">
        <w:rPr>
          <w:noProof/>
          <w:color w:val="000000"/>
          <w:lang w:val="pt-BR"/>
        </w:rPr>
        <w:t xml:space="preserve"> </w:t>
      </w:r>
      <w:r w:rsidR="00BC67EB" w:rsidRPr="00ED5956">
        <w:rPr>
          <w:noProof/>
          <w:color w:val="000000"/>
          <w:lang w:val="pt-BR"/>
        </w:rPr>
        <w:t>(</w:t>
      </w:r>
      <w:r w:rsidR="0053654F" w:rsidRPr="00ED5956">
        <w:rPr>
          <w:noProof/>
          <w:color w:val="000000"/>
          <w:lang w:val="pt-BR"/>
        </w:rPr>
        <w:t>quin</w:t>
      </w:r>
      <w:r w:rsidR="0053654F">
        <w:rPr>
          <w:noProof/>
          <w:color w:val="000000"/>
          <w:lang w:val="pt-BR"/>
        </w:rPr>
        <w:t>ze</w:t>
      </w:r>
      <w:r w:rsidR="00BC67EB" w:rsidRPr="00ED5956">
        <w:rPr>
          <w:noProof/>
          <w:color w:val="000000"/>
          <w:lang w:val="pt-BR"/>
        </w:rPr>
        <w:t>) dia</w:t>
      </w:r>
      <w:r w:rsidR="0053654F">
        <w:rPr>
          <w:noProof/>
          <w:color w:val="000000"/>
          <w:lang w:val="pt-BR"/>
        </w:rPr>
        <w:t>s</w:t>
      </w:r>
      <w:r w:rsidR="00BC67EB" w:rsidRPr="00ED5956">
        <w:rPr>
          <w:noProof/>
          <w:color w:val="000000"/>
          <w:lang w:val="pt-BR"/>
        </w:rPr>
        <w:t xml:space="preserve"> após a </w:t>
      </w:r>
      <w:r w:rsidR="0053654F">
        <w:rPr>
          <w:noProof/>
          <w:color w:val="000000"/>
          <w:lang w:val="pt-BR"/>
        </w:rPr>
        <w:t xml:space="preserve">data de </w:t>
      </w:r>
      <w:r w:rsidR="00BC67EB" w:rsidRPr="00ED5956">
        <w:rPr>
          <w:noProof/>
          <w:color w:val="000000"/>
          <w:lang w:val="pt-BR"/>
        </w:rPr>
        <w:t>assinatura da Escritura</w:t>
      </w:r>
      <w:r w:rsidR="00BC67EB" w:rsidRPr="00ED5956">
        <w:rPr>
          <w:lang w:val="pt-BR"/>
        </w:rPr>
        <w:t xml:space="preserve"> de Emissão e as próximas parcelas no mesmo dia dos anos subsequentes, até o vencimento das Debêntures, observado a</w:t>
      </w:r>
      <w:r w:rsidR="00BC67EB" w:rsidRPr="00ED5956">
        <w:rPr>
          <w:rFonts w:cs="Arial"/>
          <w:szCs w:val="20"/>
          <w:lang w:val="pt-BR"/>
        </w:rPr>
        <w:t xml:space="preserve"> Cláusula</w:t>
      </w:r>
      <w:r w:rsidR="00BC67EB" w:rsidRPr="00ED5956">
        <w:rPr>
          <w:lang w:val="pt-BR"/>
        </w:rPr>
        <w:t xml:space="preserve"> </w:t>
      </w:r>
      <w:r w:rsidR="006C119A">
        <w:rPr>
          <w:lang w:val="pt-BR"/>
        </w:rPr>
        <w:fldChar w:fldCharType="begin"/>
      </w:r>
      <w:r w:rsidR="006C119A">
        <w:rPr>
          <w:lang w:val="pt-BR"/>
        </w:rPr>
        <w:instrText xml:space="preserve"> REF _Ref410864342 \r \h </w:instrText>
      </w:r>
      <w:r w:rsidR="006C119A">
        <w:rPr>
          <w:lang w:val="pt-BR"/>
        </w:rPr>
      </w:r>
      <w:r w:rsidR="006C119A">
        <w:rPr>
          <w:lang w:val="pt-BR"/>
        </w:rPr>
        <w:fldChar w:fldCharType="separate"/>
      </w:r>
      <w:r w:rsidR="009927F7">
        <w:rPr>
          <w:lang w:val="pt-BR"/>
        </w:rPr>
        <w:t>9.4.3</w:t>
      </w:r>
      <w:r w:rsidR="006C119A">
        <w:rPr>
          <w:lang w:val="pt-BR"/>
        </w:rPr>
        <w:fldChar w:fldCharType="end"/>
      </w:r>
      <w:r w:rsidR="006C119A">
        <w:rPr>
          <w:lang w:val="pt-BR"/>
        </w:rPr>
        <w:t xml:space="preserve"> </w:t>
      </w:r>
      <w:r w:rsidR="00BC67EB" w:rsidRPr="00ED5956">
        <w:rPr>
          <w:lang w:val="pt-BR"/>
        </w:rPr>
        <w:t>abaixo</w:t>
      </w:r>
      <w:r w:rsidR="00BC67EB">
        <w:rPr>
          <w:lang w:val="pt-BR"/>
        </w:rPr>
        <w:t>. A primeira parcela será devida ainda que a operação não seja integralizada, a título de estruturação e implantação</w:t>
      </w:r>
      <w:r w:rsidR="00BC67EB" w:rsidRPr="00174AD1" w:rsidDel="003F288D">
        <w:rPr>
          <w:lang w:val="pt-BR"/>
        </w:rPr>
        <w:t xml:space="preserve"> </w:t>
      </w:r>
      <w:r w:rsidR="00BC67EB" w:rsidRPr="00174AD1">
        <w:rPr>
          <w:rStyle w:val="DeltaViewInsertion"/>
          <w:rFonts w:cs="Arial"/>
          <w:color w:val="auto"/>
          <w:szCs w:val="20"/>
          <w:u w:val="none"/>
          <w:lang w:val="pt-BR"/>
        </w:rPr>
        <w:t>(“</w:t>
      </w:r>
      <w:r w:rsidR="001B7204">
        <w:rPr>
          <w:b/>
          <w:lang w:val="pt-BR"/>
        </w:rPr>
        <w:t>Remuneração do Agente Fiduciário</w:t>
      </w:r>
      <w:r w:rsidR="001B7204" w:rsidRPr="001B7204">
        <w:rPr>
          <w:lang w:val="pt-BR"/>
        </w:rPr>
        <w:t>”</w:t>
      </w:r>
      <w:r w:rsidR="00BC67EB" w:rsidRPr="00174AD1">
        <w:rPr>
          <w:lang w:val="pt-BR"/>
        </w:rPr>
        <w:t>).</w:t>
      </w:r>
      <w:r w:rsidRPr="00125E03">
        <w:rPr>
          <w:b/>
          <w:lang w:val="pt-BR"/>
        </w:rPr>
        <w:t>]</w:t>
      </w:r>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3D398BBD" w14:textId="77777777" w:rsidR="00BC67EB" w:rsidRPr="009E6B2F" w:rsidRDefault="00BC67EB" w:rsidP="00BC67EB">
      <w:pPr>
        <w:pStyle w:val="Level3"/>
        <w:spacing w:before="140" w:after="0"/>
        <w:rPr>
          <w:b/>
          <w:lang w:val="pt-BR"/>
        </w:rPr>
      </w:pPr>
      <w:r w:rsidRPr="009E6B2F">
        <w:rPr>
          <w:lang w:val="pt-BR"/>
        </w:rPr>
        <w:t xml:space="preserve">As parcelas referidas 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1"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w:t>
      </w:r>
      <w:r>
        <w:rPr>
          <w:lang w:val="pt-BR"/>
        </w:rPr>
        <w:lastRenderedPageBreak/>
        <w:t xml:space="preserve">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1"/>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3D770F05" w14:textId="77777777" w:rsidR="0053654F" w:rsidRPr="0001694C" w:rsidRDefault="00125E03" w:rsidP="00747765">
      <w:pPr>
        <w:pStyle w:val="Level3"/>
        <w:spacing w:before="140"/>
        <w:ind w:left="1360"/>
        <w:rPr>
          <w:lang w:val="pt-BR"/>
        </w:rPr>
      </w:pPr>
      <w:r w:rsidRPr="00125E03">
        <w:rPr>
          <w:b/>
          <w:lang w:val="pt-BR"/>
        </w:rPr>
        <w:t>[</w:t>
      </w:r>
      <w:r w:rsidR="0053654F" w:rsidRPr="008F0C96">
        <w:rPr>
          <w:lang w:val="pt-BR"/>
        </w:rPr>
        <w:t xml:space="preserve">Em caso de inadimplemento, pecuniário ou não, pela Emissora, no âmbito da </w:t>
      </w:r>
      <w:r w:rsidR="00992721">
        <w:rPr>
          <w:lang w:val="pt-BR"/>
        </w:rPr>
        <w:t>E</w:t>
      </w:r>
      <w:r w:rsidR="0053654F" w:rsidRPr="008F0C96">
        <w:rPr>
          <w:lang w:val="pt-BR"/>
        </w:rPr>
        <w:t xml:space="preserve">missão, será devida </w:t>
      </w:r>
      <w:r w:rsidR="00992721">
        <w:rPr>
          <w:lang w:val="pt-BR"/>
        </w:rPr>
        <w:t>ao Agente Fiduciário</w:t>
      </w:r>
      <w:r w:rsidR="0053654F" w:rsidRPr="008F0C96">
        <w:rPr>
          <w:lang w:val="pt-BR"/>
        </w:rPr>
        <w:t xml:space="preserve"> uma remuneração adicional equivalente a R$ 500,00 (quinhentos reais) por hora-homem de trabalho dedicado às atividades relacionadas à Emissão, a ser paga no prazo de 5 (cinco) dias após</w:t>
      </w:r>
      <w:r w:rsidR="0053654F">
        <w:rPr>
          <w:lang w:val="pt-BR"/>
        </w:rPr>
        <w:t xml:space="preserve"> </w:t>
      </w:r>
      <w:r w:rsidR="00992721">
        <w:rPr>
          <w:lang w:val="pt-BR"/>
        </w:rPr>
        <w:t>comprovação da entrega, pelo</w:t>
      </w:r>
      <w:r w:rsidR="0053654F" w:rsidRPr="008F0C96">
        <w:rPr>
          <w:lang w:val="pt-BR"/>
        </w:rPr>
        <w:t xml:space="preserve"> </w:t>
      </w:r>
      <w:r w:rsidR="00992721">
        <w:rPr>
          <w:lang w:val="pt-BR"/>
        </w:rPr>
        <w:t>Agente Fiduciário</w:t>
      </w:r>
      <w:r w:rsidR="0053654F" w:rsidRPr="008F0C96">
        <w:rPr>
          <w:lang w:val="pt-BR"/>
        </w:rPr>
        <w:t xml:space="preserve"> à Emissora d</w:t>
      </w:r>
      <w:r w:rsidR="00992721">
        <w:rPr>
          <w:lang w:val="pt-BR"/>
        </w:rPr>
        <w:t>o</w:t>
      </w:r>
      <w:r w:rsidR="0053654F" w:rsidRPr="008F0C96">
        <w:rPr>
          <w:lang w:val="pt-BR"/>
        </w:rPr>
        <w:t xml:space="preserve"> “Relatório de Horas”.</w:t>
      </w:r>
      <w:r w:rsidRPr="00125E03">
        <w:rPr>
          <w:b/>
          <w:lang w:val="pt-BR"/>
        </w:rPr>
        <w:t>]</w:t>
      </w:r>
    </w:p>
    <w:p w14:paraId="1B881A98" w14:textId="77777777" w:rsidR="00493AB6" w:rsidRPr="009E6B2F" w:rsidRDefault="00493AB6">
      <w:pPr>
        <w:pStyle w:val="Level2"/>
        <w:spacing w:before="140" w:after="0"/>
        <w:rPr>
          <w:lang w:val="pt-BR"/>
        </w:rPr>
      </w:pPr>
      <w:bookmarkStart w:id="212" w:name="_Ref491137801"/>
      <w:r w:rsidRPr="009E6B2F">
        <w:rPr>
          <w:lang w:val="pt-BR"/>
        </w:rPr>
        <w:t>Além de outros previstos em lei, em ato normativo da CVM ou nesta Escritura de Emissão, constituem deveres e atribuições do Agente Fiduciário:</w:t>
      </w:r>
      <w:bookmarkEnd w:id="212"/>
    </w:p>
    <w:p w14:paraId="4F7102A6" w14:textId="77777777" w:rsidR="00445AFC" w:rsidRDefault="00445AFC">
      <w:pPr>
        <w:pStyle w:val="Level5"/>
        <w:tabs>
          <w:tab w:val="clear" w:pos="2721"/>
          <w:tab w:val="left" w:pos="1361"/>
        </w:tabs>
        <w:spacing w:before="140" w:after="0"/>
        <w:ind w:left="1360"/>
        <w:rPr>
          <w:lang w:val="pt-BR"/>
        </w:rPr>
      </w:pPr>
      <w:bookmarkStart w:id="213" w:name="_DV_M278"/>
      <w:bookmarkEnd w:id="213"/>
      <w:r>
        <w:rPr>
          <w:lang w:val="pt-BR"/>
        </w:rPr>
        <w:lastRenderedPageBreak/>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4" w:name="_DV_M279"/>
      <w:bookmarkEnd w:id="214"/>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5" w:name="_DV_M280"/>
      <w:bookmarkEnd w:id="215"/>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16" w:name="_DV_M281"/>
      <w:bookmarkEnd w:id="216"/>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17" w:name="_DV_M282"/>
      <w:bookmarkEnd w:id="217"/>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18" w:name="_DV_M283"/>
      <w:bookmarkEnd w:id="218"/>
      <w:r w:rsidRPr="009E6B2F">
        <w:rPr>
          <w:lang w:val="pt-BR"/>
        </w:rPr>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19" w:name="_DV_M284"/>
      <w:bookmarkEnd w:id="219"/>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0" w:name="_DV_M285"/>
      <w:bookmarkEnd w:id="220"/>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1" w:name="_DV_M286"/>
      <w:bookmarkEnd w:id="221"/>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2" w:name="_DV_M287"/>
      <w:bookmarkEnd w:id="222"/>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3" w:name="_DV_M288"/>
      <w:bookmarkStart w:id="224" w:name="_Ref459547205"/>
      <w:bookmarkEnd w:id="223"/>
      <w:r w:rsidRPr="009E6B2F">
        <w:rPr>
          <w:lang w:val="pt-BR"/>
        </w:rPr>
        <w:t xml:space="preserve">elaborar relatórios anuais destinados aos </w:t>
      </w:r>
      <w:r w:rsidR="000E0171" w:rsidRPr="009E6B2F">
        <w:rPr>
          <w:lang w:val="pt-BR"/>
        </w:rPr>
        <w:t>Debenturistas</w:t>
      </w:r>
      <w:r w:rsidRPr="009E6B2F">
        <w:rPr>
          <w:lang w:val="pt-BR"/>
        </w:rPr>
        <w:t xml:space="preserve">, nos termos da alínea (b) do parágrafo 1º do artigo 68 da Lei das Sociedades por Ações, relativos aos </w:t>
      </w:r>
      <w:r w:rsidRPr="009E6B2F">
        <w:rPr>
          <w:lang w:val="pt-BR"/>
        </w:rPr>
        <w:lastRenderedPageBreak/>
        <w:t>exercícios sociais da Emissora, os quais deverão conter, ao menos, as seguintes informações:</w:t>
      </w:r>
      <w:bookmarkEnd w:id="224"/>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5" w:name="_DV_M289"/>
      <w:bookmarkEnd w:id="225"/>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26" w:name="_DV_M290"/>
      <w:bookmarkStart w:id="227" w:name="_DV_M291"/>
      <w:bookmarkStart w:id="228" w:name="_DV_M292"/>
      <w:bookmarkStart w:id="229" w:name="_DV_M293"/>
      <w:bookmarkStart w:id="230" w:name="_DV_M294"/>
      <w:bookmarkStart w:id="231" w:name="_DV_M296"/>
      <w:bookmarkStart w:id="232" w:name="_DV_M297"/>
      <w:bookmarkStart w:id="233" w:name="_Ref459547197"/>
      <w:bookmarkEnd w:id="226"/>
      <w:bookmarkEnd w:id="227"/>
      <w:bookmarkEnd w:id="228"/>
      <w:bookmarkEnd w:id="229"/>
      <w:bookmarkEnd w:id="230"/>
      <w:bookmarkEnd w:id="231"/>
      <w:bookmarkEnd w:id="232"/>
      <w:r>
        <w:rPr>
          <w:rFonts w:ascii="Arial" w:hAnsi="Arial" w:cs="Arial"/>
          <w:sz w:val="20"/>
          <w:szCs w:val="20"/>
        </w:rPr>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3"/>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4" w:name="_DV_M298"/>
      <w:bookmarkEnd w:id="234"/>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5" w:name="_DV_M299"/>
      <w:bookmarkEnd w:id="235"/>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6" w:name="_DV_M300"/>
      <w:bookmarkEnd w:id="236"/>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7" w:name="_DV_M301"/>
      <w:bookmarkEnd w:id="237"/>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302"/>
      <w:bookmarkEnd w:id="238"/>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303"/>
      <w:bookmarkStart w:id="240" w:name="_DV_M304"/>
      <w:bookmarkEnd w:id="239"/>
      <w:bookmarkEnd w:id="240"/>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1" w:name="_DV_M305"/>
      <w:bookmarkEnd w:id="241"/>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2" w:name="_DV_M306"/>
      <w:bookmarkEnd w:id="242"/>
      <w:r w:rsidRPr="009E6B2F">
        <w:rPr>
          <w:lang w:val="pt-BR"/>
        </w:rPr>
        <w:lastRenderedPageBreak/>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9927F7">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927F7">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3" w:name="_DV_M307"/>
      <w:bookmarkStart w:id="244" w:name="_Ref460949229"/>
      <w:bookmarkEnd w:id="243"/>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9927F7">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927F7">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4"/>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5" w:name="_DV_M313"/>
      <w:bookmarkStart w:id="246" w:name="_DV_M314"/>
      <w:bookmarkEnd w:id="245"/>
      <w:bookmarkEnd w:id="246"/>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47" w:name="_DV_M315"/>
      <w:bookmarkEnd w:id="247"/>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48" w:name="_DV_M316"/>
      <w:bookmarkEnd w:id="248"/>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9927F7">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49" w:name="_DV_M317"/>
      <w:bookmarkEnd w:id="249"/>
      <w:r w:rsidRPr="009E6B2F">
        <w:rPr>
          <w:rFonts w:cs="Arial"/>
          <w:lang w:val="pt-BR"/>
        </w:rPr>
        <w:t>emitir parecer sobre a suficiência das informações constantes de eventuais propostas de modificações nas condições das Debêntures;</w:t>
      </w:r>
    </w:p>
    <w:p w14:paraId="0B70BC75" w14:textId="77777777" w:rsidR="00493AB6" w:rsidRPr="009E6B2F" w:rsidRDefault="00500C6F">
      <w:pPr>
        <w:pStyle w:val="Level5"/>
        <w:tabs>
          <w:tab w:val="clear" w:pos="2721"/>
          <w:tab w:val="left" w:pos="1361"/>
        </w:tabs>
        <w:spacing w:before="140" w:after="0"/>
        <w:ind w:left="1360"/>
        <w:rPr>
          <w:rFonts w:cs="Arial"/>
          <w:lang w:val="pt-BR"/>
        </w:rPr>
      </w:pPr>
      <w:bookmarkStart w:id="250" w:name="_DV_M318"/>
      <w:bookmarkEnd w:id="250"/>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pelo</w:t>
      </w:r>
      <w:r w:rsidR="000E0171" w:rsidRPr="009E6B2F">
        <w:rPr>
          <w:rStyle w:val="HTMLTypewriter"/>
          <w:rFonts w:ascii="Arial" w:hAnsi="Arial" w:cs="Arial"/>
        </w:rPr>
        <w:t xml:space="preserve"> Agente Fiduciário</w:t>
      </w:r>
      <w:r w:rsidR="00493AB6" w:rsidRPr="009E6B2F">
        <w:rPr>
          <w:rStyle w:val="HTMLTypewriter"/>
          <w:rFonts w:ascii="Arial" w:hAnsi="Arial" w:cs="Arial"/>
        </w:rPr>
        <w:t xml:space="preserve">; </w:t>
      </w:r>
    </w:p>
    <w:p w14:paraId="7EFA83C8" w14:textId="77777777" w:rsidR="00493AB6" w:rsidRPr="009E6B2F" w:rsidRDefault="00493AB6">
      <w:pPr>
        <w:pStyle w:val="Level5"/>
        <w:tabs>
          <w:tab w:val="clear" w:pos="2721"/>
          <w:tab w:val="left" w:pos="1361"/>
        </w:tabs>
        <w:spacing w:before="140" w:after="0"/>
        <w:ind w:left="1360"/>
        <w:rPr>
          <w:rFonts w:cs="Arial"/>
          <w:lang w:val="pt-BR"/>
        </w:rPr>
      </w:pPr>
      <w:bookmarkStart w:id="251" w:name="_DV_M319"/>
      <w:bookmarkEnd w:id="251"/>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2" w:name="_DV_M320"/>
      <w:bookmarkEnd w:id="252"/>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3" w:name="_DV_M321"/>
      <w:bookmarkEnd w:id="253"/>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4" w:name="_DV_M322"/>
      <w:bookmarkStart w:id="255" w:name="_DV_M323"/>
      <w:bookmarkEnd w:id="254"/>
      <w:bookmarkEnd w:id="255"/>
      <w:r w:rsidRPr="009E6B2F">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Pr="009E6B2F">
        <w:rPr>
          <w:rStyle w:val="DeltaViewInsertion"/>
          <w:rFonts w:cs="Arial"/>
          <w:color w:val="auto"/>
          <w:szCs w:val="20"/>
          <w:u w:val="none"/>
          <w:lang w:val="pt-BR"/>
        </w:rPr>
        <w:lastRenderedPageBreak/>
        <w:t>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9927F7">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56" w:name="_DV_M324"/>
      <w:bookmarkEnd w:id="256"/>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57" w:name="_DV_M325"/>
      <w:bookmarkStart w:id="258" w:name="_Ref459547597"/>
      <w:bookmarkEnd w:id="257"/>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58"/>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59" w:name="_DV_M326"/>
      <w:bookmarkStart w:id="260" w:name="_Ref459547583"/>
      <w:bookmarkEnd w:id="259"/>
      <w:r w:rsidRPr="009E6B2F">
        <w:rPr>
          <w:rFonts w:ascii="Arial" w:hAnsi="Arial" w:cs="Arial"/>
          <w:sz w:val="20"/>
          <w:szCs w:val="20"/>
        </w:rPr>
        <w:t>declarar antecipadamente vencidas as Debêntures e cobrar seu principal e acessórios, observadas as condições da presente Escritura de Emissão;</w:t>
      </w:r>
      <w:bookmarkEnd w:id="260"/>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1" w:name="_DV_M327"/>
      <w:bookmarkStart w:id="262" w:name="_Ref459547586"/>
      <w:bookmarkEnd w:id="261"/>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2"/>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3" w:name="_DV_M328"/>
      <w:bookmarkStart w:id="264" w:name="_Ref459547589"/>
      <w:bookmarkEnd w:id="263"/>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4"/>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5" w:name="_DV_M329"/>
      <w:bookmarkStart w:id="266" w:name="_Ref459547591"/>
      <w:bookmarkEnd w:id="265"/>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66"/>
    </w:p>
    <w:p w14:paraId="41579BB9" w14:textId="77777777" w:rsidR="00493AB6" w:rsidRPr="009E6B2F" w:rsidRDefault="00493AB6">
      <w:pPr>
        <w:pStyle w:val="Level2"/>
        <w:spacing w:before="140" w:after="0"/>
        <w:rPr>
          <w:lang w:val="pt-BR"/>
        </w:rPr>
      </w:pPr>
      <w:bookmarkStart w:id="267" w:name="_DV_M330"/>
      <w:bookmarkStart w:id="268" w:name="_DV_M331"/>
      <w:bookmarkEnd w:id="267"/>
      <w:bookmarkEnd w:id="268"/>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9927F7">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9927F7">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9927F7">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9927F7">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9927F7">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9927F7">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9927F7">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9927F7">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69" w:name="_DV_M332"/>
      <w:bookmarkEnd w:id="269"/>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0" w:name="_DV_M333"/>
      <w:bookmarkStart w:id="271" w:name="_DV_M334"/>
      <w:bookmarkEnd w:id="270"/>
      <w:bookmarkEnd w:id="271"/>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 xml:space="preserve">É facultado aos Debenturistas, após o encerramento do prazo para a subscrição e integralização da totalidade das Debêntures, proceder à substituição do Agente </w:t>
      </w:r>
      <w:r w:rsidRPr="009E6B2F">
        <w:rPr>
          <w:lang w:val="pt-BR"/>
        </w:rPr>
        <w:lastRenderedPageBreak/>
        <w:t>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2" w:name="_DV_M335"/>
      <w:bookmarkEnd w:id="272"/>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3" w:name="_DV_M336"/>
      <w:bookmarkEnd w:id="273"/>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4" w:name="_DV_M337"/>
      <w:bookmarkEnd w:id="274"/>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927F7">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5" w:name="_DV_M338"/>
      <w:bookmarkEnd w:id="275"/>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927F7">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76" w:name="_DV_M339"/>
      <w:bookmarkEnd w:id="276"/>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77" w:name="_DV_M340"/>
      <w:bookmarkStart w:id="278" w:name="_Ref427712773"/>
      <w:bookmarkEnd w:id="277"/>
      <w:r w:rsidRPr="009E6B2F">
        <w:t>DA ASSEMBLEIA GERAL DE DEBENTURISTAS</w:t>
      </w:r>
      <w:bookmarkEnd w:id="278"/>
    </w:p>
    <w:p w14:paraId="11AC8DF3" w14:textId="77777777" w:rsidR="001B7204" w:rsidRPr="009E6B2F" w:rsidRDefault="00B7577E" w:rsidP="001B7204">
      <w:pPr>
        <w:pStyle w:val="Level2"/>
        <w:spacing w:before="140" w:after="0"/>
        <w:rPr>
          <w:lang w:val="pt-BR"/>
        </w:rPr>
      </w:pPr>
      <w:bookmarkStart w:id="279" w:name="_DV_M341"/>
      <w:bookmarkStart w:id="280" w:name="_DV_M353"/>
      <w:bookmarkStart w:id="281" w:name="_DV_M354"/>
      <w:bookmarkEnd w:id="279"/>
      <w:bookmarkEnd w:id="280"/>
      <w:bookmarkEnd w:id="281"/>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2"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9927F7">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2"/>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 xml:space="preserve">A Assembleia Geral de Debenturistas deverá ser realizada no prazo de 15 (quinze) dias, contados da primeira publicação do edital de convocação ou, caso não se verifique quórum para realização da Assembleia Geral de Debenturistas em primeira convocação, </w:t>
      </w:r>
      <w:r w:rsidRPr="009E6B2F">
        <w:rPr>
          <w:lang w:val="pt-BR"/>
        </w:rPr>
        <w:lastRenderedPageBreak/>
        <w:t>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3"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3"/>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4" w:name="_Ref392020859"/>
      <w:bookmarkStart w:id="285" w:name="_Ref427710498"/>
      <w:bookmarkStart w:id="286" w:name="_Ref459667707"/>
      <w:bookmarkStart w:id="287"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9927F7">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4"/>
      <w:bookmarkEnd w:id="285"/>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86"/>
      <w:bookmarkEnd w:id="287"/>
    </w:p>
    <w:p w14:paraId="25306A40" w14:textId="77777777" w:rsidR="002426EA" w:rsidRPr="00003C8E" w:rsidRDefault="002426EA" w:rsidP="00EC753C">
      <w:pPr>
        <w:pStyle w:val="Level2"/>
        <w:spacing w:before="140"/>
        <w:rPr>
          <w:lang w:val="pt-BR"/>
        </w:rPr>
      </w:pPr>
      <w:bookmarkStart w:id="288"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9927F7">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9927F7">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288"/>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289" w:name="_DV_M355"/>
      <w:bookmarkEnd w:id="289"/>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lastRenderedPageBreak/>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9927F7">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0"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 xml:space="preserve">listados acima ou da existência de processo administrativo que tenha por objeto a revogação, </w:t>
      </w:r>
      <w:r w:rsidR="00B256A5" w:rsidRPr="00AE33A7">
        <w:rPr>
          <w:lang w:val="pt-BR"/>
        </w:rPr>
        <w:lastRenderedPageBreak/>
        <w:t>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0"/>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lastRenderedPageBreak/>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1" w:name="_DV_M356"/>
      <w:bookmarkStart w:id="292" w:name="_DV_M357"/>
      <w:bookmarkStart w:id="293" w:name="_DV_M358"/>
      <w:bookmarkStart w:id="294" w:name="_DV_M359"/>
      <w:bookmarkStart w:id="295" w:name="_DV_M360"/>
      <w:bookmarkStart w:id="296" w:name="_DV_M361"/>
      <w:bookmarkStart w:id="297" w:name="_DV_M362"/>
      <w:bookmarkStart w:id="298" w:name="_DV_M363"/>
      <w:bookmarkStart w:id="299" w:name="_DV_M364"/>
      <w:bookmarkStart w:id="300" w:name="_DV_M365"/>
      <w:bookmarkStart w:id="301" w:name="_DV_M366"/>
      <w:bookmarkStart w:id="302" w:name="_DV_M367"/>
      <w:bookmarkStart w:id="303" w:name="_DV_M368"/>
      <w:bookmarkStart w:id="304" w:name="_DV_M369"/>
      <w:bookmarkStart w:id="305" w:name="_DV_M370"/>
      <w:bookmarkStart w:id="306" w:name="_DV_M371"/>
      <w:bookmarkStart w:id="307" w:name="_DV_M372"/>
      <w:bookmarkStart w:id="308" w:name="_DV_M373"/>
      <w:bookmarkStart w:id="309" w:name="_DV_M374"/>
      <w:bookmarkStart w:id="310" w:name="_DV_M375"/>
      <w:bookmarkStart w:id="311" w:name="_DV_M376"/>
      <w:bookmarkStart w:id="312" w:name="_DV_M377"/>
      <w:bookmarkStart w:id="313" w:name="_DV_M378"/>
      <w:bookmarkStart w:id="314" w:name="_DV_M379"/>
      <w:bookmarkStart w:id="315" w:name="_DV_M380"/>
      <w:bookmarkStart w:id="316" w:name="_DV_M381"/>
      <w:bookmarkStart w:id="317" w:name="_DV_M382"/>
      <w:bookmarkStart w:id="318" w:name="_DV_M383"/>
      <w:bookmarkStart w:id="319" w:name="_DV_M384"/>
      <w:bookmarkStart w:id="320" w:name="_DV_M385"/>
      <w:bookmarkStart w:id="321" w:name="_DV_M386"/>
      <w:bookmarkStart w:id="322" w:name="_DV_M387"/>
      <w:bookmarkStart w:id="323" w:name="_DV_M388"/>
      <w:bookmarkStart w:id="324" w:name="_DV_M389"/>
      <w:bookmarkStart w:id="325" w:name="_DV_M390"/>
      <w:bookmarkStart w:id="326" w:name="_DV_M391"/>
      <w:bookmarkStart w:id="327" w:name="_DV_M392"/>
      <w:bookmarkStart w:id="328" w:name="_DV_M393"/>
      <w:bookmarkStart w:id="329" w:name="_DV_M394"/>
      <w:bookmarkStart w:id="330" w:name="_Ref47508680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E6B2F">
        <w:t>NOTIFICAÇÕES</w:t>
      </w:r>
      <w:bookmarkEnd w:id="330"/>
    </w:p>
    <w:p w14:paraId="5ABED4B3" w14:textId="77777777" w:rsidR="00493AB6" w:rsidRPr="00AE33A7" w:rsidRDefault="00493AB6" w:rsidP="00896AEF">
      <w:pPr>
        <w:pStyle w:val="Level2"/>
        <w:rPr>
          <w:lang w:val="pt-BR"/>
        </w:rPr>
      </w:pPr>
      <w:bookmarkStart w:id="331" w:name="_DV_M395"/>
      <w:bookmarkEnd w:id="331"/>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2" w:name="_DV_M396"/>
      <w:bookmarkEnd w:id="332"/>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3" w:name="_DV_M397"/>
      <w:bookmarkStart w:id="334" w:name="_DV_M398"/>
      <w:bookmarkEnd w:id="333"/>
      <w:bookmarkEnd w:id="334"/>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35" w:name="_DV_M407"/>
      <w:bookmarkStart w:id="336" w:name="_DV_M408"/>
      <w:bookmarkStart w:id="337" w:name="_DV_M409"/>
      <w:bookmarkStart w:id="338" w:name="_DV_M410"/>
      <w:bookmarkStart w:id="339" w:name="_DV_M411"/>
      <w:bookmarkStart w:id="340" w:name="_DV_M412"/>
      <w:bookmarkStart w:id="341" w:name="_DV_M413"/>
      <w:bookmarkStart w:id="342" w:name="_DV_M414"/>
      <w:bookmarkEnd w:id="335"/>
      <w:bookmarkEnd w:id="336"/>
      <w:bookmarkEnd w:id="337"/>
      <w:bookmarkEnd w:id="338"/>
      <w:bookmarkEnd w:id="339"/>
      <w:bookmarkEnd w:id="340"/>
      <w:bookmarkEnd w:id="341"/>
      <w:bookmarkEnd w:id="342"/>
      <w:r w:rsidRPr="009E6B2F">
        <w:rPr>
          <w:rFonts w:ascii="Arial" w:hAnsi="Arial" w:cs="Arial"/>
          <w:b/>
          <w:bCs/>
          <w:sz w:val="20"/>
          <w:szCs w:val="20"/>
        </w:rPr>
        <w:t xml:space="preserve">Para o Agente Fiduciário: </w:t>
      </w:r>
    </w:p>
    <w:p w14:paraId="1D871F2F" w14:textId="77777777" w:rsidR="00442AE4" w:rsidRPr="00125E03" w:rsidRDefault="003867D8" w:rsidP="00896AEF">
      <w:pPr>
        <w:spacing w:after="140" w:line="290" w:lineRule="auto"/>
        <w:ind w:left="709"/>
        <w:jc w:val="left"/>
        <w:rPr>
          <w:rFonts w:ascii="Arial" w:eastAsia="Arial Unicode MS" w:hAnsi="Arial" w:cs="Arial"/>
          <w:bCs/>
          <w:color w:val="000000"/>
          <w:sz w:val="20"/>
          <w:szCs w:val="20"/>
          <w:highlight w:val="yellow"/>
        </w:rPr>
      </w:pPr>
      <w:r w:rsidRPr="00125E03">
        <w:rPr>
          <w:rFonts w:ascii="Arial" w:hAnsi="Arial" w:cs="Arial"/>
          <w:b/>
          <w:sz w:val="20"/>
          <w:szCs w:val="20"/>
          <w:highlight w:val="yellow"/>
        </w:rPr>
        <w:lastRenderedPageBreak/>
        <w:t>[</w:t>
      </w:r>
      <w:r w:rsidRPr="00125E03">
        <w:rPr>
          <w:rFonts w:ascii="Arial" w:hAnsi="Arial" w:cs="Arial"/>
          <w:b/>
          <w:sz w:val="20"/>
          <w:szCs w:val="20"/>
          <w:highlight w:val="yellow"/>
        </w:rPr>
        <w:sym w:font="Symbol" w:char="F0B7"/>
      </w:r>
      <w:r w:rsidRPr="00125E03">
        <w:rPr>
          <w:rFonts w:ascii="Arial" w:hAnsi="Arial" w:cs="Arial"/>
          <w:b/>
          <w:sz w:val="20"/>
          <w:szCs w:val="20"/>
          <w:highlight w:val="yellow"/>
        </w:rPr>
        <w:t>]</w:t>
      </w:r>
    </w:p>
    <w:p w14:paraId="63C40AEA" w14:textId="77777777" w:rsidR="00CC1188" w:rsidRPr="009E6B2F" w:rsidRDefault="00CC1188" w:rsidP="00896AEF">
      <w:pPr>
        <w:spacing w:after="140" w:line="290" w:lineRule="auto"/>
        <w:ind w:left="709"/>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3" w:name="_DV_M650"/>
      <w:bookmarkStart w:id="344" w:name="_DV_M651"/>
      <w:bookmarkStart w:id="345" w:name="_DV_M415"/>
      <w:bookmarkStart w:id="346" w:name="_DV_M416"/>
      <w:bookmarkStart w:id="347" w:name="_DV_M418"/>
      <w:bookmarkStart w:id="348" w:name="_DV_M419"/>
      <w:bookmarkStart w:id="349" w:name="_DV_M420"/>
      <w:bookmarkStart w:id="350" w:name="_DV_M421"/>
      <w:bookmarkStart w:id="351" w:name="_DV_M422"/>
      <w:bookmarkStart w:id="352" w:name="_DV_M423"/>
      <w:bookmarkStart w:id="353" w:name="_DV_M424"/>
      <w:bookmarkStart w:id="354" w:name="_DV_M425"/>
      <w:bookmarkStart w:id="355" w:name="_DV_M431"/>
      <w:bookmarkStart w:id="356" w:name="_DV_M432"/>
      <w:bookmarkStart w:id="357" w:name="_DV_M433"/>
      <w:bookmarkStart w:id="358" w:name="_DV_M434"/>
      <w:bookmarkStart w:id="359" w:name="_DV_M435"/>
      <w:bookmarkStart w:id="360" w:name="_DV_M436"/>
      <w:bookmarkStart w:id="361" w:name="_DV_M437"/>
      <w:bookmarkStart w:id="362" w:name="_DV_M438"/>
      <w:bookmarkStart w:id="363" w:name="_DV_M439"/>
      <w:bookmarkStart w:id="364" w:name="_DV_M44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65" w:name="_DV_M441"/>
      <w:bookmarkEnd w:id="365"/>
      <w:r w:rsidRPr="009E6B2F">
        <w:t>DAS DISPOSIÇÕES GERAIS</w:t>
      </w:r>
    </w:p>
    <w:p w14:paraId="5CA836AD" w14:textId="77777777" w:rsidR="00493AB6" w:rsidRPr="009E6B2F" w:rsidRDefault="00493AB6">
      <w:pPr>
        <w:pStyle w:val="Level2"/>
        <w:spacing w:before="140" w:after="0"/>
        <w:rPr>
          <w:lang w:val="pt-BR"/>
        </w:rPr>
      </w:pPr>
      <w:bookmarkStart w:id="366" w:name="_DV_M442"/>
      <w:bookmarkEnd w:id="366"/>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67" w:name="_DV_M443"/>
      <w:bookmarkEnd w:id="367"/>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9927F7">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68" w:name="_DV_M444"/>
      <w:bookmarkEnd w:id="368"/>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9927F7">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69" w:name="_DV_M445"/>
      <w:bookmarkEnd w:id="369"/>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0" w:name="_DV_M446"/>
      <w:bookmarkStart w:id="371" w:name="_DV_M447"/>
      <w:bookmarkEnd w:id="370"/>
      <w:bookmarkEnd w:id="371"/>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2" w:name="_DV_M448"/>
      <w:bookmarkEnd w:id="372"/>
      <w:r w:rsidRPr="009E6B2F">
        <w:rPr>
          <w:rStyle w:val="DeltaViewInsertion"/>
          <w:rFonts w:cs="Arial"/>
          <w:color w:val="auto"/>
          <w:szCs w:val="20"/>
          <w:u w:val="none"/>
          <w:lang w:val="pt-BR"/>
        </w:rPr>
        <w:lastRenderedPageBreak/>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3" w:name="_DV_M449"/>
      <w:bookmarkEnd w:id="373"/>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4" w:name="_DV_M450"/>
      <w:bookmarkEnd w:id="374"/>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75" w:name="_DV_M451"/>
      <w:bookmarkEnd w:id="375"/>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76" w:name="_DV_M452"/>
      <w:bookmarkEnd w:id="376"/>
      <w:r>
        <w:rPr>
          <w:rFonts w:ascii="Arial" w:hAnsi="Arial" w:cs="Arial"/>
          <w:sz w:val="20"/>
          <w:szCs w:val="20"/>
        </w:rPr>
        <w:t>Rio de Janeiro</w:t>
      </w:r>
      <w:r w:rsidR="00493AB6" w:rsidRPr="009E6B2F">
        <w:rPr>
          <w:rFonts w:ascii="Arial" w:hAnsi="Arial" w:cs="Arial"/>
          <w:sz w:val="20"/>
          <w:szCs w:val="20"/>
        </w:rPr>
        <w:t xml:space="preserve">, </w:t>
      </w:r>
      <w:bookmarkStart w:id="377" w:name="_DV_M453"/>
      <w:bookmarkStart w:id="378" w:name="_DV_M454"/>
      <w:bookmarkEnd w:id="377"/>
      <w:bookmarkEnd w:id="378"/>
      <w:r w:rsidR="00CD5927">
        <w:rPr>
          <w:rFonts w:ascii="Arial" w:hAnsi="Arial" w:cs="Arial"/>
          <w:sz w:val="20"/>
          <w:szCs w:val="20"/>
        </w:rPr>
        <w:t>[</w:t>
      </w:r>
      <w:r w:rsidR="00CD5927">
        <w:rPr>
          <w:rFonts w:ascii="Arial" w:hAnsi="Arial" w:cs="Arial"/>
          <w:sz w:val="20"/>
          <w:szCs w:val="20"/>
        </w:rPr>
        <w:sym w:font="Symbol" w:char="F0B7"/>
      </w:r>
      <w:r w:rsidR="00CD5927">
        <w:rPr>
          <w:rFonts w:ascii="Arial" w:hAnsi="Arial" w:cs="Arial"/>
          <w:sz w:val="20"/>
          <w:szCs w:val="20"/>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79" w:name="_DV_M455"/>
      <w:bookmarkStart w:id="380" w:name="_DV_M456"/>
      <w:bookmarkEnd w:id="379"/>
      <w:bookmarkEnd w:id="380"/>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1" w:name="_DV_M457"/>
      <w:bookmarkEnd w:id="381"/>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2" w:name="_DV_M458"/>
      <w:bookmarkEnd w:id="382"/>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A40626F" w14:textId="77777777" w:rsidR="00F7367B" w:rsidRPr="009E6B2F" w:rsidRDefault="00A5177F" w:rsidP="00713AF9">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77777777" w:rsidR="00CE24BB" w:rsidRPr="009E6B2F" w:rsidRDefault="00CE24BB">
      <w:pPr>
        <w:widowControl/>
        <w:suppressAutoHyphens/>
        <w:spacing w:before="140" w:line="290" w:lineRule="auto"/>
        <w:rPr>
          <w:rFonts w:ascii="Arial" w:hAnsi="Arial" w:cs="Arial"/>
          <w:sz w:val="20"/>
          <w:szCs w:val="20"/>
        </w:rPr>
      </w:pP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3" w:name="_DV_M460"/>
      <w:bookmarkEnd w:id="383"/>
      <w:r w:rsidRPr="009E6B2F">
        <w:rPr>
          <w:rFonts w:ascii="Arial" w:hAnsi="Arial" w:cs="Arial"/>
          <w:sz w:val="20"/>
          <w:szCs w:val="20"/>
        </w:rPr>
        <w:br w:type="page"/>
      </w:r>
      <w:r w:rsidR="00F77317" w:rsidRPr="009E6B2F">
        <w:rPr>
          <w:rFonts w:ascii="Arial" w:hAnsi="Arial" w:cs="Arial"/>
          <w:sz w:val="20"/>
          <w:szCs w:val="20"/>
        </w:rPr>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E210" w14:textId="77777777" w:rsidR="00CD079D" w:rsidRDefault="00CD079D">
      <w:pPr>
        <w:widowControl/>
      </w:pPr>
      <w:r>
        <w:separator/>
      </w:r>
    </w:p>
  </w:endnote>
  <w:endnote w:type="continuationSeparator" w:id="0">
    <w:p w14:paraId="7304991B" w14:textId="77777777" w:rsidR="00CD079D" w:rsidRDefault="00CD079D">
      <w:pPr>
        <w:widowControl/>
      </w:pPr>
      <w:r>
        <w:continuationSeparator/>
      </w:r>
    </w:p>
  </w:endnote>
  <w:endnote w:type="continuationNotice" w:id="1">
    <w:p w14:paraId="513BF18F" w14:textId="77777777" w:rsidR="00CD079D" w:rsidRDefault="00CD0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1444" w14:textId="77777777" w:rsidR="00CD079D" w:rsidRPr="0057525D" w:rsidRDefault="00CD079D"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5A08F1" w:rsidRPr="005A08F1">
      <w:rPr>
        <w:rFonts w:ascii="Arial" w:hAnsi="Arial" w:cs="Arial"/>
        <w:noProof/>
        <w:sz w:val="20"/>
        <w:szCs w:val="20"/>
      </w:rPr>
      <w:t>2</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E136" w14:textId="77777777" w:rsidR="00CD079D" w:rsidRDefault="00CD079D">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CD079D" w:rsidRPr="0079726E" w:rsidRDefault="00CD079D">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891139" w:rsidRPr="0079726E" w:rsidRDefault="00891139">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CD079D" w:rsidRDefault="00CD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92A8" w14:textId="77777777" w:rsidR="00CD079D" w:rsidRDefault="00CD079D">
      <w:pPr>
        <w:widowControl/>
      </w:pPr>
      <w:r>
        <w:separator/>
      </w:r>
    </w:p>
  </w:footnote>
  <w:footnote w:type="continuationSeparator" w:id="0">
    <w:p w14:paraId="77824CC5" w14:textId="77777777" w:rsidR="00CD079D" w:rsidRDefault="00CD079D">
      <w:pPr>
        <w:widowControl/>
      </w:pPr>
      <w:r>
        <w:continuationSeparator/>
      </w:r>
    </w:p>
  </w:footnote>
  <w:footnote w:type="continuationNotice" w:id="1">
    <w:p w14:paraId="03A4E140" w14:textId="77777777" w:rsidR="00CD079D" w:rsidRDefault="00CD07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A3E7" w14:textId="172B4139" w:rsidR="00CD079D" w:rsidRDefault="00CD079D" w:rsidP="00125E03">
    <w:pPr>
      <w:pStyle w:val="Header"/>
      <w:jc w:val="right"/>
      <w:rPr>
        <w:rFonts w:ascii="Arial" w:hAnsi="Arial" w:cs="Arial"/>
        <w:b/>
        <w:sz w:val="16"/>
        <w:szCs w:val="16"/>
      </w:rPr>
    </w:pPr>
    <w:r w:rsidRPr="00125E03">
      <w:rPr>
        <w:rFonts w:ascii="Arial" w:hAnsi="Arial" w:cs="Arial"/>
        <w:b/>
        <w:sz w:val="16"/>
        <w:szCs w:val="16"/>
      </w:rPr>
      <w:t xml:space="preserve">Minuta </w:t>
    </w:r>
    <w:r w:rsidR="009927F7">
      <w:rPr>
        <w:rFonts w:ascii="Arial" w:hAnsi="Arial" w:cs="Arial"/>
        <w:b/>
        <w:sz w:val="16"/>
        <w:szCs w:val="16"/>
      </w:rPr>
      <w:t>08</w:t>
    </w:r>
    <w:r w:rsidR="009927F7" w:rsidRPr="00125E03">
      <w:rPr>
        <w:rFonts w:ascii="Arial" w:hAnsi="Arial" w:cs="Arial"/>
        <w:b/>
        <w:sz w:val="16"/>
        <w:szCs w:val="16"/>
      </w:rPr>
      <w:t xml:space="preserve"> </w:t>
    </w:r>
    <w:r>
      <w:rPr>
        <w:rFonts w:ascii="Arial" w:hAnsi="Arial" w:cs="Arial"/>
        <w:b/>
        <w:sz w:val="16"/>
        <w:szCs w:val="16"/>
      </w:rPr>
      <w:t>02</w:t>
    </w:r>
    <w:r w:rsidRPr="00125E03">
      <w:rPr>
        <w:rFonts w:ascii="Arial" w:hAnsi="Arial" w:cs="Arial"/>
        <w:b/>
        <w:sz w:val="16"/>
        <w:szCs w:val="16"/>
      </w:rPr>
      <w:t xml:space="preserve"> 2019</w:t>
    </w:r>
  </w:p>
  <w:p w14:paraId="1D24CBE8" w14:textId="77777777" w:rsidR="00CD079D" w:rsidRDefault="00CD079D" w:rsidP="00125E03">
    <w:pPr>
      <w:pStyle w:val="Header"/>
      <w:jc w:val="right"/>
      <w:rPr>
        <w:rFonts w:ascii="Arial" w:hAnsi="Arial" w:cs="Arial"/>
        <w:b/>
        <w:sz w:val="16"/>
        <w:szCs w:val="16"/>
      </w:rPr>
    </w:pPr>
    <w:r>
      <w:rPr>
        <w:rFonts w:ascii="Arial" w:hAnsi="Arial" w:cs="Arial"/>
        <w:b/>
        <w:sz w:val="16"/>
        <w:szCs w:val="16"/>
      </w:rPr>
      <w:t>Lefosse Advogados</w:t>
    </w:r>
  </w:p>
  <w:p w14:paraId="27AF47D8" w14:textId="77777777" w:rsidR="00CD079D" w:rsidRPr="00125E03" w:rsidRDefault="00CD079D"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5F68A26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937"/>
    <w:rsid w:val="00166FED"/>
    <w:rsid w:val="001672B4"/>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6BF9"/>
    <w:rsid w:val="003A79FB"/>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621"/>
    <w:rsid w:val="004214B9"/>
    <w:rsid w:val="00421C06"/>
    <w:rsid w:val="0042247F"/>
    <w:rsid w:val="004225DE"/>
    <w:rsid w:val="00422C7E"/>
    <w:rsid w:val="0042330D"/>
    <w:rsid w:val="004240AA"/>
    <w:rsid w:val="00424896"/>
    <w:rsid w:val="004257E2"/>
    <w:rsid w:val="0042626C"/>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5301"/>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998"/>
    <w:rsid w:val="00692EE7"/>
    <w:rsid w:val="00693695"/>
    <w:rsid w:val="006937A3"/>
    <w:rsid w:val="006938A9"/>
    <w:rsid w:val="00693B17"/>
    <w:rsid w:val="00693FA6"/>
    <w:rsid w:val="00694357"/>
    <w:rsid w:val="00695306"/>
    <w:rsid w:val="0069622B"/>
    <w:rsid w:val="00696DE6"/>
    <w:rsid w:val="00697498"/>
    <w:rsid w:val="00697EAC"/>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578B"/>
    <w:rsid w:val="00785BE1"/>
    <w:rsid w:val="00785C6C"/>
    <w:rsid w:val="007863BD"/>
    <w:rsid w:val="00786CE2"/>
    <w:rsid w:val="0078763B"/>
    <w:rsid w:val="00787693"/>
    <w:rsid w:val="00787698"/>
    <w:rsid w:val="007900DE"/>
    <w:rsid w:val="00790852"/>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38F9"/>
    <w:rsid w:val="007F3DFD"/>
    <w:rsid w:val="007F490C"/>
    <w:rsid w:val="007F542B"/>
    <w:rsid w:val="007F5628"/>
    <w:rsid w:val="007F573E"/>
    <w:rsid w:val="007F6173"/>
    <w:rsid w:val="007F64D2"/>
    <w:rsid w:val="007F652B"/>
    <w:rsid w:val="007F65E4"/>
    <w:rsid w:val="007F6BFB"/>
    <w:rsid w:val="007F6EF7"/>
    <w:rsid w:val="007F6FD1"/>
    <w:rsid w:val="007F799F"/>
    <w:rsid w:val="008000AC"/>
    <w:rsid w:val="008006D5"/>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A51"/>
    <w:rsid w:val="008D6809"/>
    <w:rsid w:val="008D68C8"/>
    <w:rsid w:val="008D6E2A"/>
    <w:rsid w:val="008D7278"/>
    <w:rsid w:val="008D738E"/>
    <w:rsid w:val="008E0E6B"/>
    <w:rsid w:val="008E0F17"/>
    <w:rsid w:val="008E1177"/>
    <w:rsid w:val="008E2143"/>
    <w:rsid w:val="008E2B67"/>
    <w:rsid w:val="008E2F49"/>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8044A"/>
    <w:rsid w:val="009811BB"/>
    <w:rsid w:val="00981365"/>
    <w:rsid w:val="009815E2"/>
    <w:rsid w:val="009817F6"/>
    <w:rsid w:val="0098198E"/>
    <w:rsid w:val="00981F36"/>
    <w:rsid w:val="009824F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4FF"/>
    <w:rsid w:val="00DE1A59"/>
    <w:rsid w:val="00DE1D93"/>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F122818B-3AB7-468B-B948-9F14FD337616}">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sharepoint/v3"/>
    <ds:schemaRef ds:uri="http://purl.org/dc/terms/"/>
    <ds:schemaRef ds:uri="e63af235-6539-4873-9a74-7e32b5cc1a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2A7AA09E-0FE7-4199-8962-78AB2E5A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17008</Words>
  <Characters>97967</Characters>
  <Application>Microsoft Office Word</Application>
  <DocSecurity>0</DocSecurity>
  <Lines>1462</Lines>
  <Paragraphs>497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6</cp:revision>
  <cp:lastPrinted>2019-02-05T19:06:00Z</cp:lastPrinted>
  <dcterms:created xsi:type="dcterms:W3CDTF">2019-02-08T10:40:00Z</dcterms:created>
  <dcterms:modified xsi:type="dcterms:W3CDTF">2019-02-08T10:40:00Z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