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8270" w14:textId="03DC32C0" w:rsidR="007B5352" w:rsidRPr="009C60C3" w:rsidRDefault="00314408" w:rsidP="00564181">
      <w:pPr>
        <w:pStyle w:val="Heading"/>
      </w:pPr>
      <w:r>
        <w:t>SEGUNDO</w:t>
      </w:r>
      <w:r w:rsidRPr="00924E9A">
        <w:t xml:space="preserve"> </w:t>
      </w:r>
      <w:r w:rsidR="00255C27" w:rsidRPr="00924E9A">
        <w:t>ADITAMENTO</w:t>
      </w:r>
      <w:r w:rsidR="007B5352">
        <w:t xml:space="preserve"> AO</w:t>
      </w:r>
      <w:r w:rsidR="00255C27" w:rsidRPr="00924E9A">
        <w:t xml:space="preserve"> </w:t>
      </w:r>
      <w:r w:rsidR="00537CAF" w:rsidRPr="00006E4F">
        <w:t xml:space="preserve">INSTRUMENTO PARTICULAR DE ESCRITURA DA </w:t>
      </w:r>
      <w:r w:rsidR="00C87B2B">
        <w:t>8</w:t>
      </w:r>
      <w:r w:rsidR="00537CAF" w:rsidRPr="00006E4F">
        <w:t>ª (</w:t>
      </w:r>
      <w:r w:rsidR="00C87B2B">
        <w:t>OITAVA</w:t>
      </w:r>
      <w:r w:rsidR="00537CAF" w:rsidRPr="00006E4F">
        <w:t>) EMISSÃO DE DEBÊNTURES SIMPLES, NÃO CONVERSÍVEIS EM AÇÕES, EM SÉRIE</w:t>
      </w:r>
      <w:r w:rsidR="00C87B2B">
        <w:t xml:space="preserve"> ÚNICA</w:t>
      </w:r>
      <w:r w:rsidR="00537CAF" w:rsidRPr="00006E4F">
        <w:t xml:space="preserve">, DA ESPÉCIE COM GARANTIA REAL, PARA DISTRIBUIÇÃO PÚBLICA, </w:t>
      </w:r>
      <w:r w:rsidR="00C87B2B">
        <w:t xml:space="preserve">COM ESFORÇOS RESTRITOS DE COLOCAÇÃO, </w:t>
      </w:r>
      <w:r w:rsidR="00537CAF" w:rsidRPr="00006E4F">
        <w:t>DA TRANSMISSORA ALIANÇA DE ENERGIA ELÉTRICA S.A.</w:t>
      </w:r>
    </w:p>
    <w:p w14:paraId="02F0C561" w14:textId="3193A3D4" w:rsidR="00333510" w:rsidRDefault="00333510" w:rsidP="00564181">
      <w:pPr>
        <w:pStyle w:val="Body"/>
      </w:pPr>
      <w:r w:rsidRPr="00333510">
        <w:t>Pelo presente “</w:t>
      </w:r>
      <w:r w:rsidR="00314408">
        <w:rPr>
          <w:i/>
        </w:rPr>
        <w:t>Segundo</w:t>
      </w:r>
      <w:r w:rsidR="00314408" w:rsidRPr="00564181">
        <w:rPr>
          <w:i/>
        </w:rPr>
        <w:t xml:space="preserve"> </w:t>
      </w:r>
      <w:r w:rsidRPr="00564181">
        <w:rPr>
          <w:i/>
        </w:rPr>
        <w:t xml:space="preserve">Aditamento ao </w:t>
      </w:r>
      <w:r w:rsidR="00537CAF" w:rsidRPr="00006E4F">
        <w:rPr>
          <w:i/>
        </w:rPr>
        <w:t xml:space="preserve">Instrumento Particular de Escritura da </w:t>
      </w:r>
      <w:r w:rsidR="00C87B2B">
        <w:rPr>
          <w:i/>
        </w:rPr>
        <w:t>8</w:t>
      </w:r>
      <w:r w:rsidR="00537CAF" w:rsidRPr="00006E4F">
        <w:rPr>
          <w:i/>
        </w:rPr>
        <w:t>ª (</w:t>
      </w:r>
      <w:r w:rsidR="00C87B2B">
        <w:rPr>
          <w:i/>
        </w:rPr>
        <w:t>Oitava</w:t>
      </w:r>
      <w:r w:rsidR="00537CAF" w:rsidRPr="00006E4F">
        <w:rPr>
          <w:i/>
        </w:rPr>
        <w:t>) Emissão de Debêntures Simples, Não Conversíveis em Ações, em</w:t>
      </w:r>
      <w:r w:rsidR="00C87B2B">
        <w:rPr>
          <w:i/>
        </w:rPr>
        <w:t xml:space="preserve"> </w:t>
      </w:r>
      <w:r w:rsidR="00537CAF" w:rsidRPr="00006E4F">
        <w:rPr>
          <w:i/>
        </w:rPr>
        <w:t>Série</w:t>
      </w:r>
      <w:r w:rsidR="00C87B2B">
        <w:rPr>
          <w:i/>
        </w:rPr>
        <w:t xml:space="preserve"> Única</w:t>
      </w:r>
      <w:r w:rsidR="00537CAF" w:rsidRPr="00006E4F">
        <w:rPr>
          <w:i/>
        </w:rPr>
        <w:t xml:space="preserve">, </w:t>
      </w:r>
      <w:r w:rsidR="00C87B2B">
        <w:rPr>
          <w:i/>
        </w:rPr>
        <w:t xml:space="preserve">da </w:t>
      </w:r>
      <w:r w:rsidR="00537CAF" w:rsidRPr="00006E4F">
        <w:rPr>
          <w:i/>
        </w:rPr>
        <w:t xml:space="preserve">Espécie com Garantia Real, para Distribuição Pública, </w:t>
      </w:r>
      <w:r w:rsidR="00C87B2B">
        <w:rPr>
          <w:i/>
        </w:rPr>
        <w:t xml:space="preserve">com Esforços Restritos de Colocação, </w:t>
      </w:r>
      <w:r w:rsidR="00537CAF" w:rsidRPr="00006E4F">
        <w:rPr>
          <w:i/>
        </w:rPr>
        <w:t>da Transmissora Aliança de Energia Elétrica S.A.</w:t>
      </w:r>
      <w:r w:rsidRPr="00333510">
        <w:t>” (“</w:t>
      </w:r>
      <w:r w:rsidR="00E7666C">
        <w:t xml:space="preserve">Segundo </w:t>
      </w:r>
      <w:r w:rsidRPr="00564181">
        <w:rPr>
          <w:b/>
        </w:rPr>
        <w:t>Aditamento</w:t>
      </w:r>
      <w:r w:rsidRPr="00333510">
        <w:t>”):</w:t>
      </w:r>
    </w:p>
    <w:p w14:paraId="69D0C0AD" w14:textId="77777777" w:rsidR="00333510" w:rsidRPr="00273561" w:rsidRDefault="00333510" w:rsidP="00563557">
      <w:pPr>
        <w:pStyle w:val="Parties"/>
        <w:numPr>
          <w:ilvl w:val="0"/>
          <w:numId w:val="7"/>
        </w:numPr>
        <w:rPr>
          <w:color w:val="000000" w:themeColor="text1"/>
        </w:rPr>
      </w:pPr>
      <w:r w:rsidRPr="00273561">
        <w:rPr>
          <w:color w:val="000000" w:themeColor="text1"/>
        </w:rPr>
        <w:t>na qualidade de emissora das Debêntures (conforme definidas abaixo):</w:t>
      </w:r>
    </w:p>
    <w:p w14:paraId="087C8DA9" w14:textId="77777777" w:rsidR="00333510" w:rsidRPr="00B10EEF" w:rsidRDefault="00537CAF" w:rsidP="00564181">
      <w:pPr>
        <w:pStyle w:val="Parties"/>
        <w:numPr>
          <w:ilvl w:val="0"/>
          <w:numId w:val="0"/>
        </w:numPr>
        <w:ind w:left="680"/>
        <w:rPr>
          <w:b/>
          <w:smallCaps/>
          <w:color w:val="000000" w:themeColor="text1"/>
        </w:rPr>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r w:rsidR="00333510" w:rsidRPr="00B10EEF">
        <w:rPr>
          <w:b/>
          <w:smallCaps/>
          <w:color w:val="000000" w:themeColor="text1"/>
        </w:rPr>
        <w:t xml:space="preserve"> </w:t>
      </w:r>
    </w:p>
    <w:p w14:paraId="2D534A96" w14:textId="77777777" w:rsidR="00333510" w:rsidRPr="00116931" w:rsidRDefault="00333510" w:rsidP="00563557">
      <w:pPr>
        <w:pStyle w:val="Parties"/>
        <w:numPr>
          <w:ilvl w:val="0"/>
          <w:numId w:val="7"/>
        </w:numPr>
        <w:rPr>
          <w:color w:val="000000" w:themeColor="text1"/>
        </w:rPr>
      </w:pPr>
      <w:r w:rsidRPr="00646894">
        <w:rPr>
          <w:color w:val="000000" w:themeColor="text1"/>
        </w:rPr>
        <w:t xml:space="preserve">na qualidade de </w:t>
      </w:r>
      <w:r w:rsidR="00EE436B">
        <w:rPr>
          <w:color w:val="000000" w:themeColor="text1"/>
        </w:rPr>
        <w:t xml:space="preserve">agente fiduciário representando </w:t>
      </w:r>
      <w:r w:rsidRPr="00646894">
        <w:rPr>
          <w:color w:val="000000" w:themeColor="text1"/>
        </w:rPr>
        <w:t>a comunhão dos Debenturistas (conforme definido abaixo):</w:t>
      </w:r>
    </w:p>
    <w:p w14:paraId="6F612D30" w14:textId="77777777" w:rsidR="00333510" w:rsidRPr="00116931" w:rsidRDefault="00537CAF" w:rsidP="00564181">
      <w:pPr>
        <w:pStyle w:val="Parties"/>
        <w:numPr>
          <w:ilvl w:val="0"/>
          <w:numId w:val="0"/>
        </w:numPr>
        <w:ind w:left="680"/>
        <w:rPr>
          <w:b/>
          <w:smallCaps/>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E30A17">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r w:rsidRPr="00EC0049">
        <w:t>,</w:t>
      </w:r>
    </w:p>
    <w:p w14:paraId="7E0F7C53" w14:textId="77777777" w:rsidR="00333510" w:rsidRPr="00564181" w:rsidRDefault="00333510" w:rsidP="00564181">
      <w:pPr>
        <w:pStyle w:val="Body"/>
        <w:ind w:left="680"/>
        <w:rPr>
          <w:b/>
        </w:rPr>
      </w:pPr>
      <w:r w:rsidRPr="00564181">
        <w:rPr>
          <w:b/>
        </w:rPr>
        <w:t>CONSIDERANDO</w:t>
      </w:r>
      <w:r w:rsidR="00A21773">
        <w:rPr>
          <w:b/>
        </w:rPr>
        <w:t xml:space="preserve"> QUE</w:t>
      </w:r>
      <w:r w:rsidRPr="00564181">
        <w:rPr>
          <w:b/>
        </w:rPr>
        <w:t>:</w:t>
      </w:r>
    </w:p>
    <w:p w14:paraId="33217FF4" w14:textId="77777777" w:rsidR="00333510" w:rsidRDefault="00333510" w:rsidP="00564181">
      <w:pPr>
        <w:pStyle w:val="Recitals"/>
        <w:rPr>
          <w:rFonts w:eastAsia="Times New Roman"/>
        </w:rPr>
      </w:pPr>
      <w:r w:rsidRPr="00333510">
        <w:rPr>
          <w:rFonts w:eastAsia="Times New Roman"/>
        </w:rPr>
        <w:t xml:space="preserve">as Partes celebraram, em </w:t>
      </w:r>
      <w:r w:rsidR="00EE436B">
        <w:rPr>
          <w:rFonts w:eastAsia="Times New Roman"/>
        </w:rPr>
        <w:t>1</w:t>
      </w:r>
      <w:r w:rsidR="00D07F14">
        <w:rPr>
          <w:rFonts w:eastAsia="Times New Roman"/>
        </w:rPr>
        <w:t>8</w:t>
      </w:r>
      <w:r w:rsidR="00537CAF">
        <w:rPr>
          <w:rFonts w:eastAsia="Times New Roman"/>
        </w:rPr>
        <w:t xml:space="preserve"> </w:t>
      </w:r>
      <w:r w:rsidRPr="00333510">
        <w:rPr>
          <w:rFonts w:eastAsia="Times New Roman"/>
        </w:rPr>
        <w:t xml:space="preserve">de </w:t>
      </w:r>
      <w:r w:rsidR="00EE436B">
        <w:rPr>
          <w:rFonts w:eastAsia="Times New Roman"/>
        </w:rPr>
        <w:t>dezembro</w:t>
      </w:r>
      <w:r w:rsidR="00537CAF">
        <w:rPr>
          <w:rFonts w:eastAsia="Times New Roman"/>
        </w:rPr>
        <w:t xml:space="preserve"> </w:t>
      </w:r>
      <w:r w:rsidRPr="00333510">
        <w:rPr>
          <w:rFonts w:eastAsia="Times New Roman"/>
        </w:rPr>
        <w:t xml:space="preserve">de </w:t>
      </w:r>
      <w:r w:rsidR="00537CAF">
        <w:rPr>
          <w:rFonts w:eastAsia="Times New Roman"/>
        </w:rPr>
        <w:t>2019</w:t>
      </w:r>
      <w:r w:rsidRPr="00333510">
        <w:rPr>
          <w:rFonts w:eastAsia="Times New Roman"/>
        </w:rPr>
        <w:t>, o “</w:t>
      </w:r>
      <w:r w:rsidR="00537CAF" w:rsidRPr="00A963EF">
        <w:rPr>
          <w:i/>
        </w:rPr>
        <w:t xml:space="preserve">Instrumento Particular de Escritura da </w:t>
      </w:r>
      <w:r w:rsidR="00EE436B">
        <w:rPr>
          <w:i/>
        </w:rPr>
        <w:t>8</w:t>
      </w:r>
      <w:r w:rsidR="00537CAF" w:rsidRPr="00A963EF">
        <w:rPr>
          <w:i/>
        </w:rPr>
        <w:t>ª (</w:t>
      </w:r>
      <w:r w:rsidR="00EE436B">
        <w:rPr>
          <w:i/>
        </w:rPr>
        <w:t>Oitava</w:t>
      </w:r>
      <w:r w:rsidR="00537CAF" w:rsidRPr="00A963EF">
        <w:rPr>
          <w:i/>
        </w:rPr>
        <w:t xml:space="preserve">) Emissão de Debêntures Simples, Não Conversíveis em Ações, em </w:t>
      </w:r>
      <w:r w:rsidR="00EE436B">
        <w:rPr>
          <w:i/>
        </w:rPr>
        <w:t>Série Única</w:t>
      </w:r>
      <w:r w:rsidR="00537CAF" w:rsidRPr="00A963EF">
        <w:rPr>
          <w:i/>
        </w:rPr>
        <w:t xml:space="preserve">, da Espécie com Garantia Real, para Distribuição Pública, </w:t>
      </w:r>
      <w:r w:rsidR="00EE436B">
        <w:rPr>
          <w:i/>
        </w:rPr>
        <w:t xml:space="preserve">com Esforços Restritos de Colocação, </w:t>
      </w:r>
      <w:r w:rsidR="00537CAF" w:rsidRPr="00A963EF">
        <w:rPr>
          <w:i/>
        </w:rPr>
        <w:t>da Transmissora Aliança de Energia Elétrica S.A.</w:t>
      </w:r>
      <w:r w:rsidR="00C00C54" w:rsidRPr="00DD16B2">
        <w:t>” (“</w:t>
      </w:r>
      <w:r w:rsidR="00C00C54" w:rsidRPr="00DD16B2">
        <w:rPr>
          <w:b/>
        </w:rPr>
        <w:t>Escritura de Emissão</w:t>
      </w:r>
      <w:r w:rsidR="00C00C54" w:rsidRPr="00DD16B2">
        <w:t>”)</w:t>
      </w:r>
      <w:r w:rsidRPr="00333510">
        <w:rPr>
          <w:rFonts w:eastAsia="Times New Roman"/>
        </w:rPr>
        <w:t xml:space="preserve">, estabelecendo a emissão de </w:t>
      </w:r>
      <w:r w:rsidR="00EE436B">
        <w:t>300.000</w:t>
      </w:r>
      <w:r w:rsidR="006D220B">
        <w:t xml:space="preserve"> (</w:t>
      </w:r>
      <w:r w:rsidR="00EE436B">
        <w:t>trezentas</w:t>
      </w:r>
      <w:r w:rsidR="006D220B">
        <w:t xml:space="preserve"> mil)</w:t>
      </w:r>
      <w:r w:rsidR="006D220B" w:rsidRPr="009E6B2F">
        <w:t xml:space="preserve"> </w:t>
      </w:r>
      <w:r w:rsidR="00D07F14">
        <w:t>d</w:t>
      </w:r>
      <w:r w:rsidR="006D220B" w:rsidRPr="009E6B2F">
        <w:t>ebêntures</w:t>
      </w:r>
      <w:r w:rsidR="00D07F14">
        <w:t xml:space="preserve"> simples,</w:t>
      </w:r>
      <w:r w:rsidR="0099397E">
        <w:t xml:space="preserve"> em série única</w:t>
      </w:r>
      <w:r w:rsidR="00D07F14">
        <w:t xml:space="preserve">, </w:t>
      </w:r>
      <w:r w:rsidR="006D220B" w:rsidRPr="008E7EDF">
        <w:t>da espécie com garantia real</w:t>
      </w:r>
      <w:r w:rsidRPr="006D220B">
        <w:rPr>
          <w:rFonts w:eastAsia="Times New Roman"/>
        </w:rPr>
        <w:t>,</w:t>
      </w:r>
      <w:r w:rsidRPr="00333510">
        <w:rPr>
          <w:rFonts w:eastAsia="Times New Roman"/>
        </w:rPr>
        <w:t xml:space="preserve"> para distribuição pública, com esforços restritos, da </w:t>
      </w:r>
      <w:r w:rsidR="0099397E">
        <w:rPr>
          <w:rFonts w:eastAsia="Times New Roman"/>
        </w:rPr>
        <w:t>8</w:t>
      </w:r>
      <w:r w:rsidR="006D220B" w:rsidRPr="00333510">
        <w:rPr>
          <w:rFonts w:eastAsia="Times New Roman"/>
        </w:rPr>
        <w:t xml:space="preserve">ª </w:t>
      </w:r>
      <w:r w:rsidRPr="00333510">
        <w:rPr>
          <w:rFonts w:eastAsia="Times New Roman"/>
        </w:rPr>
        <w:t>(</w:t>
      </w:r>
      <w:r w:rsidR="0099397E">
        <w:rPr>
          <w:rFonts w:eastAsia="Times New Roman"/>
        </w:rPr>
        <w:t>oitava</w:t>
      </w:r>
      <w:r w:rsidRPr="00333510">
        <w:rPr>
          <w:rFonts w:eastAsia="Times New Roman"/>
        </w:rPr>
        <w:t>) emissão da Emissora, todas com valor nominal unitário de R$1.000,00 (um mil reais), na data de emissão, perfazendo o montante total de R$</w:t>
      </w:r>
      <w:r w:rsidR="0099397E">
        <w:rPr>
          <w:rFonts w:eastAsia="Times New Roman"/>
        </w:rPr>
        <w:t xml:space="preserve"> 300.000.000,00</w:t>
      </w:r>
      <w:r w:rsidRPr="00333510">
        <w:rPr>
          <w:rFonts w:eastAsia="Times New Roman"/>
        </w:rPr>
        <w:t xml:space="preserve"> (</w:t>
      </w:r>
      <w:r w:rsidR="0099397E">
        <w:rPr>
          <w:rFonts w:eastAsia="Times New Roman"/>
        </w:rPr>
        <w:t xml:space="preserve">trezentos milhões </w:t>
      </w:r>
      <w:r w:rsidRPr="00333510">
        <w:rPr>
          <w:rFonts w:eastAsia="Times New Roman"/>
        </w:rPr>
        <w:t>de reais) (“</w:t>
      </w:r>
      <w:r w:rsidRPr="00564181">
        <w:rPr>
          <w:rFonts w:eastAsia="Times New Roman"/>
          <w:b/>
        </w:rPr>
        <w:t>Emissão</w:t>
      </w:r>
      <w:r w:rsidRPr="00333510">
        <w:rPr>
          <w:rFonts w:eastAsia="Times New Roman"/>
        </w:rPr>
        <w:t>” e “</w:t>
      </w:r>
      <w:r w:rsidRPr="00564181">
        <w:rPr>
          <w:rFonts w:eastAsia="Times New Roman"/>
          <w:b/>
        </w:rPr>
        <w:t>Debêntures</w:t>
      </w:r>
      <w:r w:rsidRPr="00333510">
        <w:rPr>
          <w:rFonts w:eastAsia="Times New Roman"/>
        </w:rPr>
        <w:t>”, respe</w:t>
      </w:r>
      <w:r w:rsidR="00516F36">
        <w:rPr>
          <w:rFonts w:eastAsia="Times New Roman"/>
        </w:rPr>
        <w:t>c</w:t>
      </w:r>
      <w:r w:rsidRPr="00333510">
        <w:rPr>
          <w:rFonts w:eastAsia="Times New Roman"/>
        </w:rPr>
        <w:t xml:space="preserve">tivamente), </w:t>
      </w:r>
      <w:r w:rsidR="00DA356B" w:rsidRPr="00CE03EB">
        <w:t>com base nas deliberações tomadas pe</w:t>
      </w:r>
      <w:r w:rsidR="00DA356B">
        <w:t>lo</w:t>
      </w:r>
      <w:r w:rsidR="00DA356B" w:rsidRPr="00CE03EB">
        <w:t xml:space="preserve"> </w:t>
      </w:r>
      <w:r w:rsidR="00DA356B">
        <w:t>Conselho de Administração</w:t>
      </w:r>
      <w:r w:rsidR="00DA356B" w:rsidRPr="00CE03EB">
        <w:t xml:space="preserve"> da Emissora, em reunião realizada em </w:t>
      </w:r>
      <w:r w:rsidR="005A2E1A">
        <w:t>13</w:t>
      </w:r>
      <w:r w:rsidR="00DA356B">
        <w:t xml:space="preserve"> </w:t>
      </w:r>
      <w:r w:rsidR="00DA356B" w:rsidRPr="00CE03EB">
        <w:t xml:space="preserve">de </w:t>
      </w:r>
      <w:r w:rsidR="005A2E1A">
        <w:t>dezembro</w:t>
      </w:r>
      <w:r w:rsidR="00DA356B" w:rsidRPr="00CE03EB">
        <w:t xml:space="preserve"> de </w:t>
      </w:r>
      <w:r w:rsidR="00DA356B" w:rsidRPr="00125E03">
        <w:t>2019</w:t>
      </w:r>
      <w:r w:rsidR="00DA356B" w:rsidRPr="00CE03EB">
        <w:t xml:space="preserve"> (“</w:t>
      </w:r>
      <w:r w:rsidR="00DA356B">
        <w:rPr>
          <w:b/>
        </w:rPr>
        <w:t>RCA de Emissão</w:t>
      </w:r>
      <w:r w:rsidR="00DA356B" w:rsidRPr="00CE03EB">
        <w:t>”)</w:t>
      </w:r>
      <w:r w:rsidRPr="00333510">
        <w:rPr>
          <w:rFonts w:eastAsia="Times New Roman"/>
        </w:rPr>
        <w:t>;</w:t>
      </w:r>
    </w:p>
    <w:p w14:paraId="700A19F1" w14:textId="40245825" w:rsidR="00FF21C2" w:rsidRDefault="00E7666C" w:rsidP="00E9524E">
      <w:pPr>
        <w:pStyle w:val="Recitals"/>
      </w:pPr>
      <w:r>
        <w:t xml:space="preserve">em </w:t>
      </w:r>
      <w:r w:rsidRPr="009902BA">
        <w:t>15 de janeiro de 2020</w:t>
      </w:r>
      <w:r>
        <w:t xml:space="preserve">, as Partes celebraram o </w:t>
      </w:r>
      <w:r w:rsidR="00E5042C">
        <w:t>“</w:t>
      </w:r>
      <w:r w:rsidR="00E5042C">
        <w:rPr>
          <w:i/>
        </w:rPr>
        <w:t xml:space="preserve">Primeiro Aditamento ao Instrumento Particular de Escritura da 8ª (Oitava) Emissão de Debêntures Simples, Não Conversíveis em Ações, em Série </w:t>
      </w:r>
      <w:r w:rsidR="00E5042C">
        <w:rPr>
          <w:i/>
        </w:rPr>
        <w:lastRenderedPageBreak/>
        <w:t>Única, da Espécie com Garantia Real, para Distribuição Pública, com Esforços Restritos de Colocação, da Transmissora Aliança de Energia Elétrica S.A.</w:t>
      </w:r>
      <w:r w:rsidR="00E5042C">
        <w:t xml:space="preserve">” </w:t>
      </w:r>
      <w:r w:rsidR="00A776A2">
        <w:t>(“</w:t>
      </w:r>
      <w:r w:rsidR="00A776A2" w:rsidRPr="009902BA">
        <w:rPr>
          <w:b/>
        </w:rPr>
        <w:t>Primeiro Aditamento</w:t>
      </w:r>
      <w:r w:rsidR="00A776A2">
        <w:t xml:space="preserve">”) </w:t>
      </w:r>
      <w:r w:rsidR="00286E68">
        <w:t>para</w:t>
      </w:r>
      <w:r w:rsidR="00AC0C36">
        <w:t>, dentre outros,</w:t>
      </w:r>
      <w:r w:rsidR="00286E68">
        <w:t xml:space="preserve"> formalizar </w:t>
      </w:r>
      <w:r w:rsidR="00714C05">
        <w:t xml:space="preserve">e incluir na Escritura de Emissão </w:t>
      </w:r>
      <w:r w:rsidR="00286E68">
        <w:t>o resultado do</w:t>
      </w:r>
      <w:r w:rsidR="00333510" w:rsidRPr="00333510">
        <w:t xml:space="preserve"> </w:t>
      </w:r>
      <w:r w:rsidR="00333510" w:rsidRPr="00D354C7">
        <w:rPr>
          <w:bCs/>
        </w:rPr>
        <w:t xml:space="preserve">Procedimento de </w:t>
      </w:r>
      <w:proofErr w:type="spellStart"/>
      <w:r w:rsidR="00333510" w:rsidRPr="00286E68">
        <w:rPr>
          <w:bCs/>
          <w:i/>
        </w:rPr>
        <w:t>Bookbuilding</w:t>
      </w:r>
      <w:proofErr w:type="spellEnd"/>
      <w:r w:rsidR="00286E68">
        <w:rPr>
          <w:bCs/>
        </w:rPr>
        <w:t xml:space="preserve"> (conforme definido e previsto na Escritura de Emissão)</w:t>
      </w:r>
      <w:r>
        <w:t xml:space="preserve">, bem como </w:t>
      </w:r>
      <w:r w:rsidR="00714C05">
        <w:t>alterar a Cláusula 10.10 da Escritura de Emissão</w:t>
      </w:r>
      <w:r w:rsidR="00333510" w:rsidRPr="00333510">
        <w:t>;</w:t>
      </w:r>
    </w:p>
    <w:p w14:paraId="4E923500" w14:textId="224382A3" w:rsidR="00333510" w:rsidRPr="00333510" w:rsidRDefault="00714C05" w:rsidP="00E9524E">
      <w:pPr>
        <w:pStyle w:val="Recitals"/>
      </w:pPr>
      <w:bookmarkStart w:id="0" w:name="_Ref29824357"/>
      <w:r>
        <w:rPr>
          <w:color w:val="000000"/>
        </w:rPr>
        <w:t>na Assembleia Geral de Debenturistas realizada em [</w:t>
      </w:r>
      <w:r w:rsidRPr="00D354C7">
        <w:rPr>
          <w:color w:val="000000"/>
          <w:highlight w:val="yellow"/>
        </w:rPr>
        <w:t>--</w:t>
      </w:r>
      <w:r>
        <w:rPr>
          <w:color w:val="000000"/>
        </w:rPr>
        <w:t>]</w:t>
      </w:r>
      <w:r w:rsidR="00E5042C">
        <w:rPr>
          <w:color w:val="000000"/>
        </w:rPr>
        <w:t xml:space="preserve"> de </w:t>
      </w:r>
      <w:r w:rsidR="00883C1A">
        <w:rPr>
          <w:color w:val="000000"/>
        </w:rPr>
        <w:t xml:space="preserve">março </w:t>
      </w:r>
      <w:r w:rsidR="00E5042C">
        <w:rPr>
          <w:color w:val="000000"/>
        </w:rPr>
        <w:t>de 2020</w:t>
      </w:r>
      <w:r>
        <w:rPr>
          <w:color w:val="000000"/>
        </w:rPr>
        <w:t xml:space="preserve">, foi aprovada </w:t>
      </w:r>
      <w:r>
        <w:t>a alteração d</w:t>
      </w:r>
      <w:r w:rsidR="00E7666C">
        <w:t xml:space="preserve">a Cláusula </w:t>
      </w:r>
      <w:r w:rsidR="00233EA1">
        <w:t>5.16</w:t>
      </w:r>
      <w:r w:rsidR="00E7666C">
        <w:t xml:space="preserve"> da Escritura de Emissão</w:t>
      </w:r>
      <w:r w:rsidR="00233EA1">
        <w:t>,</w:t>
      </w:r>
      <w:r w:rsidR="00E7666C">
        <w:t xml:space="preserve"> </w:t>
      </w:r>
      <w:r w:rsidR="00AC0C36">
        <w:t xml:space="preserve">de forma a ajustar a redação da </w:t>
      </w:r>
      <w:proofErr w:type="spellStart"/>
      <w:r w:rsidR="00AC0C36">
        <w:t>subcláusula</w:t>
      </w:r>
      <w:proofErr w:type="spellEnd"/>
      <w:r w:rsidR="00AC0C36">
        <w:t xml:space="preserve"> 5.16.3 e incluir uma nova </w:t>
      </w:r>
      <w:proofErr w:type="spellStart"/>
      <w:r w:rsidR="00AC0C36">
        <w:t>subcláusula</w:t>
      </w:r>
      <w:proofErr w:type="spellEnd"/>
      <w:r w:rsidR="00AC0C36">
        <w:t xml:space="preserve"> 5.16.4, </w:t>
      </w:r>
      <w:r w:rsidR="00233EA1">
        <w:t>para</w:t>
      </w:r>
      <w:r w:rsidR="00E7666C">
        <w:t xml:space="preserve"> </w:t>
      </w:r>
      <w:r w:rsidR="00AC0C36">
        <w:t xml:space="preserve">estabelecer </w:t>
      </w:r>
      <w:r w:rsidR="00F10E53">
        <w:t xml:space="preserve">que </w:t>
      </w:r>
      <w:r w:rsidR="00E7666C">
        <w:t>a Remuneração</w:t>
      </w:r>
      <w:r w:rsidR="00AC0C36">
        <w:t xml:space="preserve"> devida</w:t>
      </w:r>
      <w:r w:rsidR="00E7666C">
        <w:t xml:space="preserve"> entre </w:t>
      </w:r>
      <w:r w:rsidR="00F10E53">
        <w:t xml:space="preserve">a primeira Data de Integralização </w:t>
      </w:r>
      <w:r w:rsidR="00F10E53">
        <w:rPr>
          <w:color w:val="000000"/>
        </w:rPr>
        <w:t xml:space="preserve">(conforme definida na Escritura de Emissão) </w:t>
      </w:r>
      <w:r w:rsidR="00345EAF">
        <w:rPr>
          <w:color w:val="000000"/>
        </w:rPr>
        <w:t xml:space="preserve">(inclusive) </w:t>
      </w:r>
      <w:r w:rsidR="00F10E53">
        <w:t xml:space="preserve">e </w:t>
      </w:r>
      <w:r w:rsidR="00D44C9F">
        <w:t>15 de junho de 2021</w:t>
      </w:r>
      <w:r w:rsidR="00345EAF">
        <w:t xml:space="preserve"> (exclusive)</w:t>
      </w:r>
      <w:r w:rsidR="00F10E53">
        <w:t>, deve ser incorporada ao Valor Nominal Unitário</w:t>
      </w:r>
      <w:r w:rsidR="00AC0C36">
        <w:t xml:space="preserve"> Atualizado</w:t>
      </w:r>
      <w:r w:rsidR="00F10E53">
        <w:t xml:space="preserve"> das Debêntures</w:t>
      </w:r>
      <w:r w:rsidR="00FF21C2">
        <w:t>;</w:t>
      </w:r>
      <w:r w:rsidR="00E5042C">
        <w:t xml:space="preserve"> </w:t>
      </w:r>
      <w:bookmarkEnd w:id="0"/>
    </w:p>
    <w:p w14:paraId="05592C01" w14:textId="05CA411B" w:rsidR="00333510" w:rsidRDefault="00333510" w:rsidP="00564181">
      <w:pPr>
        <w:pStyle w:val="Body"/>
      </w:pPr>
      <w:r w:rsidRPr="00333510">
        <w:t xml:space="preserve">vêm por esta e na melhor forma de direito, aditar a </w:t>
      </w:r>
      <w:r>
        <w:t>Escritura</w:t>
      </w:r>
      <w:r w:rsidR="00C00C54">
        <w:t xml:space="preserve"> de Emissão</w:t>
      </w:r>
      <w:r>
        <w:t xml:space="preserve"> por meio do presente </w:t>
      </w:r>
      <w:r w:rsidR="00D354C7">
        <w:t xml:space="preserve">Segundo </w:t>
      </w:r>
      <w:r w:rsidRPr="00333510">
        <w:t>Aditamento, mediante as cláusulas e condições a seguir.</w:t>
      </w:r>
    </w:p>
    <w:p w14:paraId="48F9D158" w14:textId="026FE155" w:rsidR="009C60C3" w:rsidRPr="00564181" w:rsidRDefault="0097309D" w:rsidP="00564181">
      <w:pPr>
        <w:pStyle w:val="Body"/>
        <w:rPr>
          <w:szCs w:val="20"/>
        </w:rPr>
      </w:pPr>
      <w:r w:rsidRPr="00564181">
        <w:rPr>
          <w:szCs w:val="20"/>
        </w:rPr>
        <w:t xml:space="preserve">Os termos iniciados em letra maiúscula no presente </w:t>
      </w:r>
      <w:r w:rsidR="00D354C7">
        <w:rPr>
          <w:szCs w:val="20"/>
        </w:rPr>
        <w:t xml:space="preserve">Segundo </w:t>
      </w:r>
      <w:r w:rsidRPr="00564181">
        <w:rPr>
          <w:szCs w:val="20"/>
        </w:rPr>
        <w:t>Aditamento, estejam no singular ou no plural, que não estejam de outra forma definidos neste</w:t>
      </w:r>
      <w:r w:rsidR="00D354C7">
        <w:rPr>
          <w:szCs w:val="20"/>
        </w:rPr>
        <w:t xml:space="preserve"> Segundo</w:t>
      </w:r>
      <w:r w:rsidRPr="00564181">
        <w:rPr>
          <w:szCs w:val="20"/>
        </w:rPr>
        <w:t xml:space="preserve"> Aditamento, ainda que posteriormente ao seu uso, terão o</w:t>
      </w:r>
      <w:r w:rsidR="00C11A1E" w:rsidRPr="00564181">
        <w:rPr>
          <w:szCs w:val="20"/>
        </w:rPr>
        <w:t xml:space="preserve"> significado a eles atribuído n</w:t>
      </w:r>
      <w:r w:rsidR="00C00C54">
        <w:rPr>
          <w:szCs w:val="20"/>
        </w:rPr>
        <w:t>a Escritura de Emissão</w:t>
      </w:r>
      <w:r w:rsidRPr="00564181">
        <w:rPr>
          <w:szCs w:val="20"/>
        </w:rPr>
        <w:t>.</w:t>
      </w:r>
    </w:p>
    <w:p w14:paraId="32E0F28A" w14:textId="3C2E4C81" w:rsidR="000F7137" w:rsidRPr="00924E9A" w:rsidRDefault="00255C27" w:rsidP="00B309C8">
      <w:pPr>
        <w:pStyle w:val="Level1"/>
      </w:pPr>
      <w:r w:rsidRPr="00924E9A">
        <w:t>ALTERAÇÕES</w:t>
      </w:r>
      <w:r w:rsidR="00A776A2">
        <w:t>; CONSOLIDAÇÃO</w:t>
      </w:r>
    </w:p>
    <w:p w14:paraId="245A53D7" w14:textId="761AD4AF" w:rsidR="00644CA7" w:rsidRPr="00644CA7" w:rsidRDefault="00877C9A" w:rsidP="00A4059A">
      <w:pPr>
        <w:pStyle w:val="Level2"/>
        <w:rPr>
          <w:b/>
          <w:i/>
        </w:rPr>
      </w:pPr>
      <w:r>
        <w:t xml:space="preserve">As Partes </w:t>
      </w:r>
      <w:r w:rsidR="00233EA1" w:rsidRPr="00546AB9">
        <w:t xml:space="preserve">resolvem </w:t>
      </w:r>
      <w:r w:rsidR="00233EA1">
        <w:t>alterar</w:t>
      </w:r>
      <w:r w:rsidR="00233EA1" w:rsidRPr="00546AB9">
        <w:t xml:space="preserve"> </w:t>
      </w:r>
      <w:r w:rsidR="00233EA1">
        <w:t>a</w:t>
      </w:r>
      <w:r w:rsidR="00233EA1" w:rsidRPr="00546AB9">
        <w:t xml:space="preserve"> Cláusula </w:t>
      </w:r>
      <w:r w:rsidR="00233EA1">
        <w:t>5.16</w:t>
      </w:r>
      <w:r>
        <w:t xml:space="preserve"> da Escritura de Emissão</w:t>
      </w:r>
      <w:r w:rsidR="00233EA1" w:rsidRPr="00D16851">
        <w:t>,</w:t>
      </w:r>
      <w:r w:rsidR="00233EA1">
        <w:t xml:space="preserve"> de forma a </w:t>
      </w:r>
      <w:r w:rsidR="00AC0C36">
        <w:t xml:space="preserve">dar nova redação à </w:t>
      </w:r>
      <w:proofErr w:type="spellStart"/>
      <w:r w:rsidR="00AC0C36">
        <w:t>subcláusula</w:t>
      </w:r>
      <w:proofErr w:type="spellEnd"/>
      <w:r w:rsidR="00AC0C36">
        <w:t xml:space="preserve"> 5.16.3 e </w:t>
      </w:r>
      <w:r w:rsidR="00233EA1">
        <w:t xml:space="preserve">incluir a </w:t>
      </w:r>
      <w:proofErr w:type="spellStart"/>
      <w:r w:rsidR="00233EA1">
        <w:t>subcláusula</w:t>
      </w:r>
      <w:proofErr w:type="spellEnd"/>
      <w:r w:rsidR="00233EA1">
        <w:t xml:space="preserve"> 5.16.4</w:t>
      </w:r>
      <w:r>
        <w:t xml:space="preserve">, para </w:t>
      </w:r>
      <w:r w:rsidR="00AC0C36">
        <w:t xml:space="preserve">estabelecer </w:t>
      </w:r>
      <w:r w:rsidR="00F10E53">
        <w:t xml:space="preserve">que a Remuneração, </w:t>
      </w:r>
      <w:r w:rsidR="00A776A2">
        <w:t xml:space="preserve">devida </w:t>
      </w:r>
      <w:r w:rsidR="00F10E53">
        <w:t xml:space="preserve">no período </w:t>
      </w:r>
      <w:r>
        <w:t xml:space="preserve">entre </w:t>
      </w:r>
      <w:r w:rsidR="00F10E53">
        <w:t>a primeira Data de Integralização (inclusive)</w:t>
      </w:r>
      <w:r>
        <w:t xml:space="preserve"> </w:t>
      </w:r>
      <w:r w:rsidR="00F10E53">
        <w:t xml:space="preserve">e </w:t>
      </w:r>
      <w:r>
        <w:t>15 de junho de 2021</w:t>
      </w:r>
      <w:r w:rsidR="00F10E53">
        <w:t xml:space="preserve"> (exclusive), deve ser incorporada ao Valor Nominal Unitário</w:t>
      </w:r>
      <w:r w:rsidR="00AC0C36">
        <w:t xml:space="preserve"> Atualizado</w:t>
      </w:r>
      <w:r w:rsidR="00F10E53">
        <w:t xml:space="preserve"> das Debêntures</w:t>
      </w:r>
      <w:r>
        <w:t xml:space="preserve">. </w:t>
      </w:r>
      <w:r w:rsidR="00E5042C">
        <w:t>Dessa forma, a</w:t>
      </w:r>
      <w:r>
        <w:t xml:space="preserve"> Cláusula 5.16 da Escritura de Emissão passa a vigorar</w:t>
      </w:r>
      <w:r>
        <w:rPr>
          <w:color w:val="000000"/>
        </w:rPr>
        <w:t xml:space="preserve"> </w:t>
      </w:r>
      <w:r w:rsidR="00233EA1" w:rsidRPr="008E7EDF">
        <w:t>com a seguinte redação:</w:t>
      </w:r>
      <w:r w:rsidR="00233EA1">
        <w:t xml:space="preserve"> </w:t>
      </w:r>
    </w:p>
    <w:p w14:paraId="6D79A244" w14:textId="384F313A" w:rsidR="00546AB9" w:rsidRDefault="00644CA7" w:rsidP="00AB6058">
      <w:pPr>
        <w:pStyle w:val="Level1"/>
        <w:numPr>
          <w:ilvl w:val="0"/>
          <w:numId w:val="0"/>
        </w:numPr>
        <w:spacing w:line="276" w:lineRule="auto"/>
        <w:ind w:left="680"/>
        <w:rPr>
          <w:i/>
          <w:sz w:val="20"/>
          <w:szCs w:val="20"/>
        </w:rPr>
      </w:pPr>
      <w:r w:rsidRPr="00D16851">
        <w:rPr>
          <w:b w:val="0"/>
          <w:sz w:val="20"/>
          <w:szCs w:val="20"/>
        </w:rPr>
        <w:t xml:space="preserve"> </w:t>
      </w:r>
      <w:r w:rsidR="001740D5" w:rsidRPr="00D16851">
        <w:rPr>
          <w:b w:val="0"/>
          <w:sz w:val="20"/>
          <w:szCs w:val="20"/>
        </w:rPr>
        <w:t>“</w:t>
      </w:r>
      <w:r w:rsidR="00546AB9" w:rsidRPr="00006E4F">
        <w:rPr>
          <w:i/>
          <w:sz w:val="20"/>
          <w:szCs w:val="20"/>
        </w:rPr>
        <w:t>5.16</w:t>
      </w:r>
      <w:r w:rsidR="001740D5" w:rsidRPr="00D16851">
        <w:rPr>
          <w:i/>
          <w:sz w:val="20"/>
          <w:szCs w:val="20"/>
        </w:rPr>
        <w:tab/>
      </w:r>
      <w:bookmarkStart w:id="1" w:name="_Ref510430585"/>
      <w:bookmarkStart w:id="2" w:name="_Ref435688993"/>
      <w:r w:rsidR="00546AB9">
        <w:rPr>
          <w:i/>
          <w:sz w:val="20"/>
          <w:szCs w:val="20"/>
        </w:rPr>
        <w:t>Remuneração das Debêntures</w:t>
      </w:r>
    </w:p>
    <w:p w14:paraId="6E52F8EC" w14:textId="351FBC7A" w:rsidR="0082654D" w:rsidRDefault="00546AB9" w:rsidP="00AB6058">
      <w:pPr>
        <w:pStyle w:val="Level1"/>
        <w:numPr>
          <w:ilvl w:val="0"/>
          <w:numId w:val="0"/>
        </w:numPr>
        <w:spacing w:line="276" w:lineRule="auto"/>
        <w:ind w:left="680"/>
        <w:rPr>
          <w:b w:val="0"/>
          <w:i/>
          <w:sz w:val="20"/>
          <w:szCs w:val="20"/>
        </w:rPr>
      </w:pPr>
      <w:r w:rsidRPr="009902BA">
        <w:rPr>
          <w:i/>
          <w:sz w:val="20"/>
          <w:szCs w:val="20"/>
        </w:rPr>
        <w:t>5.16.1</w:t>
      </w:r>
      <w:r w:rsidRPr="00564181">
        <w:rPr>
          <w:i/>
          <w:sz w:val="20"/>
          <w:szCs w:val="20"/>
        </w:rPr>
        <w:tab/>
      </w:r>
      <w:r w:rsidR="00FC48E8" w:rsidRPr="00FC48E8">
        <w:rPr>
          <w:b w:val="0"/>
          <w:i/>
          <w:sz w:val="20"/>
          <w:szCs w:val="20"/>
        </w:rPr>
        <w:t>Sobre o Valor Nominal Unitário</w:t>
      </w:r>
      <w:r w:rsidR="00357997">
        <w:rPr>
          <w:b w:val="0"/>
          <w:i/>
          <w:sz w:val="20"/>
          <w:szCs w:val="20"/>
        </w:rPr>
        <w:t xml:space="preserve"> Atualizado</w:t>
      </w:r>
      <w:r w:rsidR="00FC48E8" w:rsidRPr="00FC48E8">
        <w:rPr>
          <w:b w:val="0"/>
          <w:i/>
          <w:sz w:val="20"/>
          <w:szCs w:val="20"/>
        </w:rPr>
        <w:t xml:space="preserve"> incidirão juros remuneratórios</w:t>
      </w:r>
      <w:r w:rsidR="00FC48E8">
        <w:rPr>
          <w:b w:val="0"/>
          <w:i/>
          <w:sz w:val="20"/>
          <w:szCs w:val="20"/>
        </w:rPr>
        <w:t xml:space="preserve"> correspondentes a</w:t>
      </w:r>
      <w:r w:rsidR="006D6851">
        <w:rPr>
          <w:b w:val="0"/>
          <w:i/>
          <w:sz w:val="20"/>
          <w:szCs w:val="20"/>
        </w:rPr>
        <w:t xml:space="preserve"> </w:t>
      </w:r>
      <w:r w:rsidR="004D6BA3">
        <w:rPr>
          <w:b w:val="0"/>
          <w:i/>
          <w:sz w:val="20"/>
          <w:szCs w:val="20"/>
        </w:rPr>
        <w:t xml:space="preserve">4,7742% </w:t>
      </w:r>
      <w:r w:rsidR="00F15E90" w:rsidRPr="00FD4A5C">
        <w:rPr>
          <w:b w:val="0"/>
          <w:i/>
          <w:sz w:val="20"/>
          <w:szCs w:val="20"/>
        </w:rPr>
        <w:t>(</w:t>
      </w:r>
      <w:r w:rsidR="005E0276">
        <w:rPr>
          <w:b w:val="0"/>
          <w:i/>
          <w:sz w:val="20"/>
          <w:szCs w:val="20"/>
        </w:rPr>
        <w:t>quatro inteiros, sete m</w:t>
      </w:r>
      <w:r w:rsidR="00846A69">
        <w:rPr>
          <w:b w:val="0"/>
          <w:i/>
          <w:sz w:val="20"/>
          <w:szCs w:val="20"/>
        </w:rPr>
        <w:t xml:space="preserve">il setecentos e quarenta e dois </w:t>
      </w:r>
      <w:r w:rsidR="006D6851">
        <w:rPr>
          <w:b w:val="0"/>
          <w:i/>
          <w:sz w:val="20"/>
          <w:szCs w:val="20"/>
        </w:rPr>
        <w:t>décimos de milésimos</w:t>
      </w:r>
      <w:r w:rsidR="00357997">
        <w:rPr>
          <w:b w:val="0"/>
          <w:i/>
          <w:sz w:val="20"/>
          <w:szCs w:val="20"/>
        </w:rPr>
        <w:t xml:space="preserve"> </w:t>
      </w:r>
      <w:r w:rsidR="00F15E90" w:rsidRPr="00FD4A5C">
        <w:rPr>
          <w:b w:val="0"/>
          <w:i/>
          <w:sz w:val="20"/>
          <w:szCs w:val="20"/>
        </w:rPr>
        <w:t xml:space="preserve">por cento) </w:t>
      </w:r>
      <w:r w:rsidR="00CA4CC5">
        <w:rPr>
          <w:b w:val="0"/>
          <w:i/>
          <w:sz w:val="20"/>
          <w:szCs w:val="20"/>
        </w:rPr>
        <w:t>ao ano</w:t>
      </w:r>
      <w:r w:rsidR="00B637EE">
        <w:rPr>
          <w:b w:val="0"/>
          <w:i/>
          <w:sz w:val="20"/>
          <w:szCs w:val="20"/>
        </w:rPr>
        <w:t>, base 252 (duzentos e cinquenta e dois) Dias Úteis</w:t>
      </w:r>
      <w:r w:rsidR="00E25998">
        <w:rPr>
          <w:b w:val="0"/>
          <w:i/>
          <w:sz w:val="20"/>
          <w:szCs w:val="20"/>
        </w:rPr>
        <w:t xml:space="preserve"> (“</w:t>
      </w:r>
      <w:r w:rsidR="00E25998" w:rsidRPr="006D128B">
        <w:rPr>
          <w:i/>
          <w:sz w:val="20"/>
          <w:szCs w:val="20"/>
        </w:rPr>
        <w:t>Remuneração</w:t>
      </w:r>
      <w:r w:rsidR="00E25998">
        <w:rPr>
          <w:b w:val="0"/>
          <w:i/>
          <w:sz w:val="20"/>
          <w:szCs w:val="20"/>
        </w:rPr>
        <w:t>”)</w:t>
      </w:r>
      <w:r w:rsidR="00CA4CC5">
        <w:rPr>
          <w:b w:val="0"/>
          <w:i/>
          <w:sz w:val="20"/>
          <w:szCs w:val="20"/>
        </w:rPr>
        <w:t>.</w:t>
      </w:r>
    </w:p>
    <w:p w14:paraId="00245712" w14:textId="526051BC" w:rsidR="0082654D" w:rsidRDefault="0082654D" w:rsidP="00AB6058">
      <w:pPr>
        <w:pStyle w:val="Level1"/>
        <w:numPr>
          <w:ilvl w:val="0"/>
          <w:numId w:val="0"/>
        </w:numPr>
        <w:spacing w:line="276" w:lineRule="auto"/>
        <w:ind w:left="680"/>
        <w:rPr>
          <w:b w:val="0"/>
          <w:i/>
          <w:sz w:val="20"/>
          <w:szCs w:val="20"/>
        </w:rPr>
      </w:pPr>
      <w:r w:rsidRPr="009902BA">
        <w:rPr>
          <w:i/>
          <w:sz w:val="20"/>
          <w:szCs w:val="20"/>
        </w:rPr>
        <w:t>5.16.2</w:t>
      </w:r>
      <w:r>
        <w:rPr>
          <w:b w:val="0"/>
          <w:i/>
          <w:sz w:val="20"/>
          <w:szCs w:val="20"/>
        </w:rPr>
        <w:t xml:space="preserve"> </w:t>
      </w:r>
      <w:r>
        <w:rPr>
          <w:b w:val="0"/>
          <w:i/>
          <w:sz w:val="20"/>
          <w:szCs w:val="20"/>
        </w:rPr>
        <w:tab/>
      </w:r>
      <w:r w:rsidRPr="0082654D">
        <w:rPr>
          <w:b w:val="0"/>
          <w:i/>
          <w:sz w:val="20"/>
          <w:szCs w:val="20"/>
        </w:rPr>
        <w:t>A Remuneração será</w:t>
      </w:r>
      <w:r w:rsidR="00644CA7">
        <w:rPr>
          <w:b w:val="0"/>
          <w:i/>
          <w:sz w:val="20"/>
          <w:szCs w:val="20"/>
        </w:rPr>
        <w:t xml:space="preserve"> </w:t>
      </w:r>
      <w:r w:rsidRPr="0082654D">
        <w:rPr>
          <w:b w:val="0"/>
          <w:i/>
          <w:sz w:val="20"/>
          <w:szCs w:val="20"/>
        </w:rPr>
        <w:t xml:space="preserve">calculada de forma exponencial e cumulativa, pro rata </w:t>
      </w:r>
      <w:proofErr w:type="spellStart"/>
      <w:r w:rsidRPr="0082654D">
        <w:rPr>
          <w:b w:val="0"/>
          <w:i/>
          <w:sz w:val="20"/>
          <w:szCs w:val="20"/>
        </w:rPr>
        <w:t>temporis</w:t>
      </w:r>
      <w:proofErr w:type="spellEnd"/>
      <w:r w:rsidRPr="0082654D">
        <w:rPr>
          <w:b w:val="0"/>
          <w:i/>
          <w:sz w:val="20"/>
          <w:szCs w:val="20"/>
        </w:rPr>
        <w:t xml:space="preserve"> por Dias Úteis decorridos, incidentes sobre o Valor Nominal Unitário Atualizado, desde a primeira Data de Integralização (inclusive) e, para as próximas datas de pagamento da Remuneração, desde a Data de Pagamento da Remuneração imediatamente anterior (inclusive), até a data do seu efetivo pagamento (exclusive), em regime de capitalização composta, de acordo com a fórmula abaixo:</w:t>
      </w:r>
    </w:p>
    <w:p w14:paraId="0D2CFF38" w14:textId="77777777" w:rsidR="0082654D" w:rsidRPr="00AB6058" w:rsidRDefault="0082654D" w:rsidP="00AB6058">
      <w:pPr>
        <w:pStyle w:val="Level2"/>
        <w:widowControl w:val="0"/>
        <w:numPr>
          <w:ilvl w:val="0"/>
          <w:numId w:val="0"/>
        </w:numPr>
        <w:spacing w:before="140" w:after="0" w:line="276" w:lineRule="auto"/>
        <w:jc w:val="center"/>
        <w:rPr>
          <w:i/>
          <w:color w:val="000000" w:themeColor="text1"/>
          <w:szCs w:val="20"/>
        </w:rPr>
      </w:pPr>
      <w:r w:rsidRPr="00AB6058">
        <w:rPr>
          <w:i/>
          <w:color w:val="000000" w:themeColor="text1"/>
          <w:szCs w:val="20"/>
        </w:rPr>
        <w:t>J = {</w:t>
      </w:r>
      <w:proofErr w:type="spellStart"/>
      <w:r w:rsidRPr="00AB6058">
        <w:rPr>
          <w:i/>
          <w:color w:val="000000" w:themeColor="text1"/>
          <w:szCs w:val="20"/>
        </w:rPr>
        <w:t>VNa</w:t>
      </w:r>
      <w:proofErr w:type="spellEnd"/>
      <w:r w:rsidRPr="00AB6058">
        <w:rPr>
          <w:i/>
          <w:color w:val="000000" w:themeColor="text1"/>
          <w:szCs w:val="20"/>
        </w:rPr>
        <w:t xml:space="preserve"> x [FatorJuros-1]}</w:t>
      </w:r>
    </w:p>
    <w:p w14:paraId="1247CB3C" w14:textId="77777777" w:rsidR="0082654D" w:rsidRPr="00AB6058" w:rsidRDefault="0082654D" w:rsidP="00AB6058">
      <w:pPr>
        <w:pStyle w:val="Body"/>
        <w:spacing w:line="276" w:lineRule="auto"/>
        <w:ind w:left="1361"/>
        <w:rPr>
          <w:rFonts w:eastAsia="Arial Unicode MS"/>
          <w:i/>
          <w:szCs w:val="20"/>
        </w:rPr>
      </w:pPr>
      <w:r w:rsidRPr="00AB6058">
        <w:rPr>
          <w:rFonts w:eastAsia="Arial Unicode MS"/>
          <w:i/>
          <w:szCs w:val="20"/>
        </w:rPr>
        <w:t>onde,</w:t>
      </w:r>
    </w:p>
    <w:p w14:paraId="674C6E03" w14:textId="77777777" w:rsidR="0082654D" w:rsidRPr="00AB6058" w:rsidRDefault="0082654D" w:rsidP="00AB6058">
      <w:pPr>
        <w:pStyle w:val="Body"/>
        <w:spacing w:line="276" w:lineRule="auto"/>
        <w:ind w:left="1361"/>
        <w:rPr>
          <w:i/>
          <w:szCs w:val="20"/>
        </w:rPr>
      </w:pPr>
      <w:r w:rsidRPr="00AB6058">
        <w:rPr>
          <w:i/>
          <w:szCs w:val="20"/>
        </w:rPr>
        <w:t>J = valor unitário dos juros devidos no final do Período de Capitalização, calculado com 8 (oito) casas decimais, sem arredondamento;</w:t>
      </w:r>
    </w:p>
    <w:p w14:paraId="7A256701" w14:textId="77777777" w:rsidR="0082654D" w:rsidRPr="00AB6058" w:rsidRDefault="0082654D" w:rsidP="00AB6058">
      <w:pPr>
        <w:pStyle w:val="Body"/>
        <w:spacing w:line="276" w:lineRule="auto"/>
        <w:ind w:left="1361"/>
        <w:rPr>
          <w:i/>
          <w:szCs w:val="20"/>
        </w:rPr>
      </w:pPr>
      <w:proofErr w:type="spellStart"/>
      <w:r w:rsidRPr="00AB6058">
        <w:rPr>
          <w:i/>
          <w:szCs w:val="20"/>
        </w:rPr>
        <w:t>VNa</w:t>
      </w:r>
      <w:proofErr w:type="spellEnd"/>
      <w:r w:rsidRPr="00AB6058">
        <w:rPr>
          <w:i/>
          <w:szCs w:val="20"/>
        </w:rPr>
        <w:t xml:space="preserve"> = </w:t>
      </w:r>
      <w:r w:rsidRPr="00AB6058">
        <w:rPr>
          <w:rFonts w:eastAsia="Arial Unicode MS"/>
          <w:i/>
          <w:szCs w:val="20"/>
        </w:rPr>
        <w:t>Valor Nominal Unitário Atualizado das Debêntures</w:t>
      </w:r>
      <w:r w:rsidRPr="00AB6058">
        <w:rPr>
          <w:i/>
          <w:szCs w:val="20"/>
        </w:rPr>
        <w:t>, calculado com 8 (oito) casas decimais, sem arredondamento;</w:t>
      </w:r>
    </w:p>
    <w:p w14:paraId="07ED87E7" w14:textId="77777777" w:rsidR="0082654D" w:rsidRPr="00AB6058" w:rsidRDefault="0082654D" w:rsidP="00AB6058">
      <w:pPr>
        <w:pStyle w:val="Body"/>
        <w:spacing w:line="276" w:lineRule="auto"/>
        <w:ind w:left="1361"/>
        <w:rPr>
          <w:i/>
          <w:szCs w:val="20"/>
        </w:rPr>
      </w:pPr>
      <w:proofErr w:type="spellStart"/>
      <w:r w:rsidRPr="00AB6058">
        <w:rPr>
          <w:i/>
          <w:szCs w:val="20"/>
        </w:rPr>
        <w:lastRenderedPageBreak/>
        <w:t>FatorJuros</w:t>
      </w:r>
      <w:proofErr w:type="spellEnd"/>
      <w:r w:rsidRPr="00AB6058">
        <w:rPr>
          <w:i/>
          <w:szCs w:val="20"/>
        </w:rPr>
        <w:t xml:space="preserve"> = fator de juros fixos calculado com 9 (nove) casas decimais, com arredondamento, apurado da seguinte forma:</w:t>
      </w:r>
    </w:p>
    <w:p w14:paraId="3E836A2E" w14:textId="77777777" w:rsidR="0082654D" w:rsidRPr="0082654D" w:rsidRDefault="0082654D" w:rsidP="00AB6058">
      <w:pPr>
        <w:pStyle w:val="Body"/>
        <w:spacing w:line="276" w:lineRule="auto"/>
        <w:ind w:left="1361"/>
        <w:jc w:val="center"/>
        <w:rPr>
          <w:i/>
          <w:szCs w:val="20"/>
        </w:rPr>
      </w:pPr>
      <w:r w:rsidRPr="00AB6058">
        <w:rPr>
          <w:i/>
          <w:noProof/>
          <w:szCs w:val="20"/>
        </w:rPr>
        <w:drawing>
          <wp:inline distT="0" distB="0" distL="0" distR="0" wp14:anchorId="206F7277" wp14:editId="6E870835">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28D4891" w14:textId="77777777" w:rsidR="0082654D" w:rsidRPr="00AB6058" w:rsidRDefault="0082654D" w:rsidP="00AB6058">
      <w:pPr>
        <w:pStyle w:val="Body"/>
        <w:spacing w:line="276" w:lineRule="auto"/>
        <w:ind w:left="1361"/>
        <w:rPr>
          <w:i/>
          <w:szCs w:val="20"/>
        </w:rPr>
      </w:pPr>
      <w:r w:rsidRPr="00AB6058">
        <w:rPr>
          <w:i/>
          <w:szCs w:val="20"/>
        </w:rPr>
        <w:t>onde:</w:t>
      </w:r>
    </w:p>
    <w:p w14:paraId="1125C50F" w14:textId="77777777" w:rsidR="0082654D" w:rsidRPr="00AB6058" w:rsidRDefault="0082654D" w:rsidP="00AB6058">
      <w:pPr>
        <w:pStyle w:val="Body"/>
        <w:spacing w:line="276" w:lineRule="auto"/>
        <w:ind w:left="1361"/>
        <w:rPr>
          <w:i/>
          <w:szCs w:val="20"/>
        </w:rPr>
      </w:pPr>
      <w:r w:rsidRPr="00AB6058">
        <w:rPr>
          <w:i/>
          <w:szCs w:val="20"/>
        </w:rPr>
        <w:t xml:space="preserve">taxa = </w:t>
      </w:r>
      <w:r w:rsidR="005E0276" w:rsidRPr="006D128B">
        <w:rPr>
          <w:i/>
          <w:szCs w:val="20"/>
        </w:rPr>
        <w:t>4,7742</w:t>
      </w:r>
      <w:r w:rsidRPr="00AB6058">
        <w:rPr>
          <w:i/>
          <w:szCs w:val="20"/>
        </w:rPr>
        <w:t>; e</w:t>
      </w:r>
    </w:p>
    <w:p w14:paraId="710596E1" w14:textId="3D54A436" w:rsidR="0082654D" w:rsidRDefault="0082654D" w:rsidP="00AB6058">
      <w:pPr>
        <w:pStyle w:val="Level1"/>
        <w:numPr>
          <w:ilvl w:val="0"/>
          <w:numId w:val="0"/>
        </w:numPr>
        <w:spacing w:line="276" w:lineRule="auto"/>
        <w:ind w:left="1361"/>
        <w:rPr>
          <w:b w:val="0"/>
          <w:i/>
          <w:sz w:val="20"/>
          <w:szCs w:val="20"/>
        </w:rPr>
      </w:pPr>
      <w:r w:rsidRPr="00AB6058">
        <w:rPr>
          <w:b w:val="0"/>
          <w:i/>
          <w:sz w:val="20"/>
          <w:szCs w:val="20"/>
        </w:rPr>
        <w:t xml:space="preserve">DP = número de Dias Úteis entre a </w:t>
      </w:r>
      <w:r w:rsidRPr="00AB6058">
        <w:rPr>
          <w:rFonts w:eastAsia="Arial Unicode MS"/>
          <w:b w:val="0"/>
          <w:i/>
          <w:sz w:val="20"/>
          <w:szCs w:val="20"/>
        </w:rPr>
        <w:t>primeira Data de Integralização</w:t>
      </w:r>
      <w:r w:rsidRPr="00AB6058">
        <w:rPr>
          <w:b w:val="0"/>
          <w:i/>
          <w:sz w:val="20"/>
          <w:szCs w:val="20"/>
        </w:rPr>
        <w:t xml:space="preserve"> </w:t>
      </w:r>
      <w:r w:rsidRPr="00AB6058">
        <w:rPr>
          <w:rFonts w:eastAsia="Arial Unicode MS"/>
          <w:b w:val="0"/>
          <w:i/>
          <w:sz w:val="20"/>
          <w:szCs w:val="20"/>
        </w:rPr>
        <w:t>ou</w:t>
      </w:r>
      <w:r w:rsidRPr="00AB6058">
        <w:rPr>
          <w:b w:val="0"/>
          <w:i/>
          <w:sz w:val="20"/>
          <w:szCs w:val="20"/>
        </w:rPr>
        <w:t xml:space="preserve"> Data de Pagamento da Remuneração imediatamente anterior, conforme o caso, e a data atual, sendo “DP” um número inteiro.</w:t>
      </w:r>
    </w:p>
    <w:p w14:paraId="23C47FD6" w14:textId="1FB5DAB2" w:rsidR="00644CA7" w:rsidRPr="00644CA7" w:rsidRDefault="00644CA7" w:rsidP="00644CA7">
      <w:pPr>
        <w:pStyle w:val="Level3"/>
        <w:numPr>
          <w:ilvl w:val="0"/>
          <w:numId w:val="0"/>
        </w:numPr>
        <w:ind w:left="680"/>
        <w:rPr>
          <w:i/>
          <w:lang w:val="pt-BR"/>
        </w:rPr>
      </w:pPr>
      <w:r w:rsidRPr="009902BA">
        <w:rPr>
          <w:b/>
          <w:bCs/>
          <w:i/>
          <w:szCs w:val="20"/>
        </w:rPr>
        <w:t>5.16.3</w:t>
      </w:r>
      <w:r w:rsidRPr="00644CA7">
        <w:rPr>
          <w:b/>
          <w:i/>
          <w:szCs w:val="20"/>
        </w:rPr>
        <w:tab/>
      </w:r>
      <w:r w:rsidRPr="00644CA7">
        <w:rPr>
          <w:i/>
          <w:lang w:val="pt-BR"/>
        </w:rPr>
        <w:t>Considera-se “</w:t>
      </w:r>
      <w:r w:rsidRPr="00644CA7">
        <w:rPr>
          <w:b/>
          <w:i/>
          <w:lang w:val="pt-BR"/>
        </w:rPr>
        <w:t>Período de Capitalização</w:t>
      </w:r>
      <w:r w:rsidRPr="00644CA7">
        <w:rPr>
          <w:i/>
          <w:lang w:val="pt-BR"/>
        </w:rPr>
        <w:t xml:space="preserve">” o período compreendido entre </w:t>
      </w:r>
      <w:r w:rsidR="00A776A2">
        <w:rPr>
          <w:i/>
          <w:lang w:val="pt-BR"/>
        </w:rPr>
        <w:t xml:space="preserve">(i) </w:t>
      </w:r>
      <w:r w:rsidRPr="00644CA7">
        <w:rPr>
          <w:i/>
          <w:lang w:val="pt-BR"/>
        </w:rPr>
        <w:t xml:space="preserve">a primeira Data de Integralização </w:t>
      </w:r>
      <w:r w:rsidR="00877C9A">
        <w:rPr>
          <w:i/>
          <w:lang w:val="pt-BR"/>
        </w:rPr>
        <w:t xml:space="preserve">(inclusive) </w:t>
      </w:r>
      <w:r w:rsidR="00AC0C36">
        <w:rPr>
          <w:i/>
          <w:lang w:val="pt-BR"/>
        </w:rPr>
        <w:t>e</w:t>
      </w:r>
      <w:r w:rsidR="00A776A2">
        <w:rPr>
          <w:i/>
          <w:lang w:val="pt-BR"/>
        </w:rPr>
        <w:t xml:space="preserve"> a Data de Incorporação</w:t>
      </w:r>
      <w:r w:rsidR="001411B2">
        <w:rPr>
          <w:i/>
          <w:lang w:val="pt-BR"/>
        </w:rPr>
        <w:t xml:space="preserve">, conforme definida na Cláusula 5.16.4 abaixo </w:t>
      </w:r>
      <w:r w:rsidR="00A776A2">
        <w:rPr>
          <w:i/>
          <w:lang w:val="pt-BR"/>
        </w:rPr>
        <w:t>(exclusive), no caso do primeiro Período de Capitalização, (</w:t>
      </w:r>
      <w:proofErr w:type="spellStart"/>
      <w:r w:rsidR="00A776A2">
        <w:rPr>
          <w:i/>
          <w:lang w:val="pt-BR"/>
        </w:rPr>
        <w:t>ii</w:t>
      </w:r>
      <w:proofErr w:type="spellEnd"/>
      <w:r w:rsidR="00A776A2">
        <w:rPr>
          <w:i/>
          <w:lang w:val="pt-BR"/>
        </w:rPr>
        <w:t>)</w:t>
      </w:r>
      <w:r w:rsidR="00AC0C36" w:rsidRPr="00644CA7">
        <w:rPr>
          <w:i/>
          <w:lang w:val="pt-BR"/>
        </w:rPr>
        <w:t xml:space="preserve"> </w:t>
      </w:r>
      <w:r w:rsidR="00A776A2">
        <w:rPr>
          <w:i/>
          <w:lang w:val="pt-BR"/>
        </w:rPr>
        <w:t xml:space="preserve">a Data de Incorporação (inclusive) e </w:t>
      </w:r>
      <w:r w:rsidRPr="00644CA7">
        <w:rPr>
          <w:i/>
          <w:lang w:val="pt-BR"/>
        </w:rPr>
        <w:t xml:space="preserve">a </w:t>
      </w:r>
      <w:r w:rsidR="00A776A2">
        <w:rPr>
          <w:i/>
          <w:lang w:val="pt-BR"/>
        </w:rPr>
        <w:t xml:space="preserve">primeira </w:t>
      </w:r>
      <w:r w:rsidRPr="00644CA7">
        <w:rPr>
          <w:i/>
          <w:lang w:val="pt-BR"/>
        </w:rPr>
        <w:t xml:space="preserve">Data de Pagamento </w:t>
      </w:r>
      <w:r w:rsidR="001411B2">
        <w:rPr>
          <w:i/>
          <w:lang w:val="pt-BR"/>
        </w:rPr>
        <w:t>da Remuneração</w:t>
      </w:r>
      <w:r w:rsidRPr="00644CA7">
        <w:rPr>
          <w:i/>
          <w:lang w:val="pt-BR"/>
        </w:rPr>
        <w:t xml:space="preserve"> </w:t>
      </w:r>
      <w:r w:rsidR="00877C9A">
        <w:rPr>
          <w:i/>
          <w:lang w:val="pt-BR"/>
        </w:rPr>
        <w:t>(exclusive)</w:t>
      </w:r>
      <w:r w:rsidR="00A776A2">
        <w:rPr>
          <w:i/>
          <w:lang w:val="pt-BR"/>
        </w:rPr>
        <w:t>, no caso do segundo Período de Capitalização, e (</w:t>
      </w:r>
      <w:proofErr w:type="spellStart"/>
      <w:r w:rsidR="00A776A2">
        <w:rPr>
          <w:i/>
          <w:lang w:val="pt-BR"/>
        </w:rPr>
        <w:t>iii</w:t>
      </w:r>
      <w:proofErr w:type="spellEnd"/>
      <w:r w:rsidR="00A776A2">
        <w:rPr>
          <w:i/>
          <w:lang w:val="pt-BR"/>
        </w:rPr>
        <w:t>)</w:t>
      </w:r>
      <w:r w:rsidRPr="00644CA7">
        <w:rPr>
          <w:i/>
          <w:lang w:val="pt-BR"/>
        </w:rPr>
        <w:t xml:space="preserve"> a Data de Pagamento </w:t>
      </w:r>
      <w:r w:rsidR="001411B2">
        <w:rPr>
          <w:i/>
          <w:lang w:val="pt-BR"/>
        </w:rPr>
        <w:t xml:space="preserve">da Remuneração </w:t>
      </w:r>
      <w:r w:rsidRPr="00644CA7">
        <w:rPr>
          <w:i/>
          <w:lang w:val="pt-BR"/>
        </w:rPr>
        <w:t xml:space="preserve">anterior </w:t>
      </w:r>
      <w:r w:rsidR="00877C9A">
        <w:rPr>
          <w:i/>
          <w:lang w:val="pt-BR"/>
        </w:rPr>
        <w:t xml:space="preserve">(inclusive) </w:t>
      </w:r>
      <w:r w:rsidRPr="00644CA7">
        <w:rPr>
          <w:i/>
          <w:lang w:val="pt-BR"/>
        </w:rPr>
        <w:t xml:space="preserve">e a próxima Data de Pagamento </w:t>
      </w:r>
      <w:r w:rsidR="001411B2">
        <w:rPr>
          <w:i/>
          <w:lang w:val="pt-BR"/>
        </w:rPr>
        <w:t xml:space="preserve">da Remuneração </w:t>
      </w:r>
      <w:r w:rsidR="00877C9A">
        <w:rPr>
          <w:i/>
          <w:lang w:val="pt-BR"/>
        </w:rPr>
        <w:t>(exclusive)</w:t>
      </w:r>
      <w:r w:rsidR="00A776A2">
        <w:rPr>
          <w:i/>
          <w:lang w:val="pt-BR"/>
        </w:rPr>
        <w:t>, no caso dos Períodos de Capitalização subsequentes</w:t>
      </w:r>
      <w:r w:rsidRPr="00644CA7">
        <w:rPr>
          <w:i/>
          <w:lang w:val="pt-BR"/>
        </w:rPr>
        <w:t>. Cada Período de Capitalização sucede o anterior sem solução de continuidade, até a respectiva Data de Vencimento.</w:t>
      </w:r>
    </w:p>
    <w:p w14:paraId="13791866" w14:textId="1660086B" w:rsidR="00644CA7" w:rsidRDefault="00644CA7" w:rsidP="00E30C76">
      <w:pPr>
        <w:pStyle w:val="Level3"/>
        <w:numPr>
          <w:ilvl w:val="0"/>
          <w:numId w:val="0"/>
        </w:numPr>
        <w:ind w:left="680"/>
        <w:rPr>
          <w:bCs/>
          <w:i/>
          <w:lang w:val="pt-BR"/>
        </w:rPr>
      </w:pPr>
      <w:r w:rsidRPr="009902BA">
        <w:rPr>
          <w:b/>
          <w:bCs/>
          <w:i/>
          <w:lang w:val="pt-BR"/>
        </w:rPr>
        <w:t>5.16.4</w:t>
      </w:r>
      <w:r w:rsidRPr="00644CA7">
        <w:rPr>
          <w:b/>
          <w:i/>
          <w:lang w:val="pt-BR"/>
        </w:rPr>
        <w:tab/>
      </w:r>
      <w:r w:rsidR="00F10E53" w:rsidRPr="00F10E53">
        <w:rPr>
          <w:i/>
          <w:lang w:val="pt-BR"/>
        </w:rPr>
        <w:t xml:space="preserve">Não obstante o acima disposto, </w:t>
      </w:r>
      <w:r w:rsidR="00F10E53" w:rsidRPr="00F10E53">
        <w:rPr>
          <w:bCs/>
          <w:i/>
          <w:lang w:val="pt-BR"/>
        </w:rPr>
        <w:t>a</w:t>
      </w:r>
      <w:r w:rsidRPr="00644CA7">
        <w:rPr>
          <w:bCs/>
          <w:i/>
          <w:lang w:val="pt-BR"/>
        </w:rPr>
        <w:t xml:space="preserve"> Remuneração incidente </w:t>
      </w:r>
      <w:r w:rsidR="00E30C76">
        <w:rPr>
          <w:bCs/>
          <w:i/>
          <w:lang w:val="pt-BR"/>
        </w:rPr>
        <w:t xml:space="preserve">no período entre </w:t>
      </w:r>
      <w:r w:rsidR="00877C9A" w:rsidRPr="00644CA7">
        <w:rPr>
          <w:i/>
          <w:lang w:val="pt-BR"/>
        </w:rPr>
        <w:t xml:space="preserve">a primeira Data de Integralização </w:t>
      </w:r>
      <w:r w:rsidR="00877C9A">
        <w:rPr>
          <w:i/>
          <w:lang w:val="pt-BR"/>
        </w:rPr>
        <w:t xml:space="preserve">(inclusive) </w:t>
      </w:r>
      <w:r w:rsidR="004F6D3A">
        <w:rPr>
          <w:i/>
          <w:lang w:val="pt-BR"/>
        </w:rPr>
        <w:t xml:space="preserve">e </w:t>
      </w:r>
      <w:r w:rsidR="00E30C76" w:rsidRPr="00644CA7">
        <w:rPr>
          <w:bCs/>
          <w:i/>
          <w:lang w:val="pt-BR"/>
        </w:rPr>
        <w:t xml:space="preserve">15 </w:t>
      </w:r>
      <w:r w:rsidR="00E5042C">
        <w:rPr>
          <w:bCs/>
          <w:i/>
          <w:lang w:val="pt-BR"/>
        </w:rPr>
        <w:t xml:space="preserve">(quinze) </w:t>
      </w:r>
      <w:r w:rsidR="00E30C76" w:rsidRPr="00644CA7">
        <w:rPr>
          <w:bCs/>
          <w:i/>
          <w:lang w:val="pt-BR"/>
        </w:rPr>
        <w:t xml:space="preserve">de junho de 2021 </w:t>
      </w:r>
      <w:r w:rsidR="00A776A2">
        <w:rPr>
          <w:bCs/>
          <w:i/>
          <w:lang w:val="pt-BR"/>
        </w:rPr>
        <w:t>(“</w:t>
      </w:r>
      <w:r w:rsidR="00A776A2" w:rsidRPr="009902BA">
        <w:rPr>
          <w:b/>
          <w:bCs/>
          <w:i/>
          <w:lang w:val="pt-BR"/>
        </w:rPr>
        <w:t>Data de Incorporação</w:t>
      </w:r>
      <w:r w:rsidR="00A776A2">
        <w:rPr>
          <w:bCs/>
          <w:i/>
          <w:lang w:val="pt-BR"/>
        </w:rPr>
        <w:t xml:space="preserve">”) </w:t>
      </w:r>
      <w:r w:rsidR="00E30C76">
        <w:rPr>
          <w:bCs/>
          <w:i/>
          <w:lang w:val="pt-BR"/>
        </w:rPr>
        <w:t xml:space="preserve">(exclusive) </w:t>
      </w:r>
      <w:r w:rsidRPr="00644CA7">
        <w:rPr>
          <w:bCs/>
          <w:i/>
          <w:lang w:val="pt-BR"/>
        </w:rPr>
        <w:t>será incorporada ao Valor Nominal Unitário</w:t>
      </w:r>
      <w:r w:rsidR="00A776A2">
        <w:rPr>
          <w:bCs/>
          <w:i/>
          <w:lang w:val="pt-BR"/>
        </w:rPr>
        <w:t xml:space="preserve"> Atualizado</w:t>
      </w:r>
      <w:r w:rsidRPr="00644CA7">
        <w:rPr>
          <w:bCs/>
          <w:i/>
          <w:lang w:val="pt-BR"/>
        </w:rPr>
        <w:t xml:space="preserve"> das Debêntures.</w:t>
      </w:r>
      <w:r w:rsidR="00E30C76">
        <w:rPr>
          <w:bCs/>
          <w:i/>
          <w:lang w:val="pt-BR"/>
        </w:rPr>
        <w:t xml:space="preserve"> A Remuneração incidente no período entre </w:t>
      </w:r>
      <w:r w:rsidR="00A776A2">
        <w:rPr>
          <w:bCs/>
          <w:i/>
          <w:lang w:val="pt-BR"/>
        </w:rPr>
        <w:t xml:space="preserve">a Data de Incorporação </w:t>
      </w:r>
      <w:r w:rsidR="00E30C76">
        <w:rPr>
          <w:bCs/>
          <w:i/>
          <w:lang w:val="pt-BR"/>
        </w:rPr>
        <w:t xml:space="preserve">(inclusive) e a primeira Data de Pagamento da Remuneração (exclusive) será paga na primeira Data de Pagamento da Remuneração (i.e., 15 </w:t>
      </w:r>
      <w:r w:rsidR="00E5042C">
        <w:rPr>
          <w:bCs/>
          <w:i/>
          <w:lang w:val="pt-BR"/>
        </w:rPr>
        <w:t xml:space="preserve">(quinze) </w:t>
      </w:r>
      <w:r w:rsidR="00E30C76">
        <w:rPr>
          <w:bCs/>
          <w:i/>
          <w:lang w:val="pt-BR"/>
        </w:rPr>
        <w:t xml:space="preserve">de dezembro de 2021).” </w:t>
      </w:r>
    </w:p>
    <w:p w14:paraId="495AED2A" w14:textId="2664073F" w:rsidR="00A776A2" w:rsidRPr="009902BA" w:rsidRDefault="00A776A2" w:rsidP="009902BA">
      <w:pPr>
        <w:pStyle w:val="Level2"/>
      </w:pPr>
      <w:r w:rsidRPr="009902BA">
        <w:t>Tendo em vista as alterações previstas na Cláusula 1.1 acima</w:t>
      </w:r>
      <w:r>
        <w:t xml:space="preserve"> e no Primeiro Aditamento</w:t>
      </w:r>
      <w:r w:rsidRPr="009902BA">
        <w:t>, as</w:t>
      </w:r>
      <w:r>
        <w:t xml:space="preserve"> Partes decidem consolidar a redação da Escritura de Emissão, que passa a vigorar com a redação do </w:t>
      </w:r>
      <w:r w:rsidRPr="009902BA">
        <w:rPr>
          <w:u w:val="single"/>
        </w:rPr>
        <w:t>Anexo I</w:t>
      </w:r>
      <w:r>
        <w:t xml:space="preserve"> a este Segundo Aditamento. </w:t>
      </w:r>
    </w:p>
    <w:p w14:paraId="6311FCFC" w14:textId="7EEAB643" w:rsidR="00255C27" w:rsidRPr="00E5042C" w:rsidRDefault="00255C27" w:rsidP="00564181">
      <w:pPr>
        <w:pStyle w:val="Level1"/>
        <w:rPr>
          <w:b w:val="0"/>
        </w:rPr>
      </w:pPr>
      <w:bookmarkStart w:id="3" w:name="_DV_M112"/>
      <w:bookmarkStart w:id="4" w:name="_DV_M126"/>
      <w:bookmarkStart w:id="5" w:name="_DV_M132"/>
      <w:bookmarkStart w:id="6" w:name="_DV_M138"/>
      <w:bookmarkStart w:id="7" w:name="_DV_M244"/>
      <w:bookmarkStart w:id="8" w:name="_DV_C268"/>
      <w:bookmarkStart w:id="9" w:name="_DV_X275"/>
      <w:bookmarkEnd w:id="1"/>
      <w:bookmarkEnd w:id="2"/>
      <w:bookmarkEnd w:id="3"/>
      <w:bookmarkEnd w:id="4"/>
      <w:bookmarkEnd w:id="5"/>
      <w:bookmarkEnd w:id="6"/>
      <w:bookmarkEnd w:id="7"/>
      <w:bookmarkEnd w:id="8"/>
      <w:bookmarkEnd w:id="9"/>
      <w:r w:rsidRPr="00E5042C">
        <w:t>AUTORIZAÇÃO</w:t>
      </w:r>
    </w:p>
    <w:p w14:paraId="442348C8" w14:textId="70C68867" w:rsidR="00FD7E83" w:rsidRPr="00E5042C" w:rsidRDefault="00E5042C" w:rsidP="00564181">
      <w:pPr>
        <w:pStyle w:val="Level2"/>
      </w:pPr>
      <w:r w:rsidRPr="00E5042C">
        <w:t xml:space="preserve">Este Segundo Aditamento foi aprovado na Assembleia Geral de Debenturistas realizada em </w:t>
      </w:r>
      <w:r w:rsidRPr="009902BA">
        <w:rPr>
          <w:highlight w:val="yellow"/>
        </w:rPr>
        <w:t>[--]</w:t>
      </w:r>
      <w:r w:rsidR="00A776A2">
        <w:t xml:space="preserve"> de </w:t>
      </w:r>
      <w:r w:rsidR="00883C1A">
        <w:t xml:space="preserve">março </w:t>
      </w:r>
      <w:r w:rsidR="00A776A2">
        <w:t>de 2020</w:t>
      </w:r>
      <w:r w:rsidRPr="00E5042C">
        <w:t xml:space="preserve">, de acordo com o previsto na Cláusula 10 da Escritura de Emissão e na legislação aplicável. </w:t>
      </w:r>
    </w:p>
    <w:p w14:paraId="181A72CB" w14:textId="77777777" w:rsidR="00255C27" w:rsidRPr="00564181" w:rsidRDefault="00255C27" w:rsidP="00564181">
      <w:pPr>
        <w:pStyle w:val="Level1"/>
        <w:rPr>
          <w:b w:val="0"/>
        </w:rPr>
      </w:pPr>
      <w:r w:rsidRPr="00564181">
        <w:t xml:space="preserve">ARQUIVAMENTO </w:t>
      </w:r>
    </w:p>
    <w:p w14:paraId="49B2A77E" w14:textId="0FA8E49E" w:rsidR="00825418" w:rsidRPr="00924E9A" w:rsidRDefault="00574187" w:rsidP="00564181">
      <w:pPr>
        <w:pStyle w:val="Level2"/>
        <w:rPr>
          <w:b/>
        </w:rPr>
      </w:pPr>
      <w:r w:rsidRPr="0018449C">
        <w:t xml:space="preserve">Nos termos da Cláusula </w:t>
      </w:r>
      <w:r w:rsidR="00753FDD">
        <w:t>2.</w:t>
      </w:r>
      <w:r w:rsidR="008E7EDF">
        <w:t>2</w:t>
      </w:r>
      <w:r w:rsidR="00FC48E8">
        <w:t>.3</w:t>
      </w:r>
      <w:r w:rsidRPr="0018449C">
        <w:t xml:space="preserve"> da Escritura</w:t>
      </w:r>
      <w:r w:rsidR="00753FDD">
        <w:t xml:space="preserve"> de Emissão</w:t>
      </w:r>
      <w:r w:rsidRPr="0018449C">
        <w:t xml:space="preserve">, </w:t>
      </w:r>
      <w:r w:rsidR="00FC48E8">
        <w:t xml:space="preserve">a </w:t>
      </w:r>
      <w:r w:rsidR="00FC48E8" w:rsidRPr="009E6B2F">
        <w:t xml:space="preserve">Emissora deverá entregar ao Agente Fiduciário 1 (uma) via </w:t>
      </w:r>
      <w:r w:rsidR="00FC48E8">
        <w:t xml:space="preserve">eletrônica (formato </w:t>
      </w:r>
      <w:proofErr w:type="spellStart"/>
      <w:r w:rsidR="00FC48E8" w:rsidRPr="00006E4F">
        <w:rPr>
          <w:i/>
        </w:rPr>
        <w:t>pdf</w:t>
      </w:r>
      <w:proofErr w:type="spellEnd"/>
      <w:r w:rsidR="00FC48E8">
        <w:t xml:space="preserve">), contendo a chancela digital da JUCERJA deste </w:t>
      </w:r>
      <w:r w:rsidR="00D354C7">
        <w:lastRenderedPageBreak/>
        <w:t xml:space="preserve">Segundo </w:t>
      </w:r>
      <w:r w:rsidR="00FC48E8">
        <w:t>Aditamento</w:t>
      </w:r>
      <w:r w:rsidR="00FC48E8" w:rsidRPr="009E6B2F">
        <w:t xml:space="preserve">, no prazo de até </w:t>
      </w:r>
      <w:r w:rsidR="00FC48E8" w:rsidRPr="007E6602">
        <w:t>5 (cinco)</w:t>
      </w:r>
      <w:r w:rsidR="00FC48E8" w:rsidRPr="009E6B2F">
        <w:t xml:space="preserve"> Dias Úteis </w:t>
      </w:r>
      <w:r w:rsidR="00FC48E8" w:rsidRPr="00E618A4">
        <w:t>contados da data do efetivo registro</w:t>
      </w:r>
      <w:r w:rsidRPr="0018449C">
        <w:t>, de acordo com o disposto no artigo 62, inciso II, e parágrafo 3º da Lei das Sociedades por Ações</w:t>
      </w:r>
      <w:r w:rsidR="00825418">
        <w:t>.</w:t>
      </w:r>
    </w:p>
    <w:p w14:paraId="65D06D21" w14:textId="77777777" w:rsidR="00336A3F" w:rsidRDefault="00336A3F" w:rsidP="00564181">
      <w:pPr>
        <w:pStyle w:val="Level1"/>
        <w:rPr>
          <w:rFonts w:eastAsia="TimesNewRoman"/>
        </w:rPr>
      </w:pPr>
      <w:r w:rsidRPr="00A32B15">
        <w:rPr>
          <w:rFonts w:eastAsia="TimesNewRoman"/>
        </w:rPr>
        <w:t>DECLARAÇÕES E GARANTIAS DA EMISSORA</w:t>
      </w:r>
      <w:r w:rsidR="00861E3D">
        <w:rPr>
          <w:rFonts w:eastAsia="TimesNewRoman"/>
        </w:rPr>
        <w:t xml:space="preserve"> </w:t>
      </w:r>
    </w:p>
    <w:p w14:paraId="07F77B76" w14:textId="5226ACC0" w:rsidR="00336A3F" w:rsidRPr="00A32B15" w:rsidRDefault="00336A3F" w:rsidP="00564181">
      <w:pPr>
        <w:pStyle w:val="Level2"/>
      </w:pPr>
      <w:r w:rsidRPr="00A32B15">
        <w:t xml:space="preserve">A Emissora, neste ato, declara e garante ao Agente Fiduciário, que todas as declarações e garantias previstas na Escritura </w:t>
      </w:r>
      <w:r w:rsidR="00753FDD">
        <w:t xml:space="preserve">de Emissão </w:t>
      </w:r>
      <w:r w:rsidRPr="00A32B15">
        <w:t xml:space="preserve">permanecem verdadeiras, corretas e plenamente válidas e eficazes na data de assinatura deste </w:t>
      </w:r>
      <w:r w:rsidR="00D354C7">
        <w:t xml:space="preserve">Segundo </w:t>
      </w:r>
      <w:r w:rsidRPr="00A32B15">
        <w:t>Aditamento</w:t>
      </w:r>
      <w:r>
        <w:t>.</w:t>
      </w:r>
    </w:p>
    <w:p w14:paraId="3C4803A2" w14:textId="77777777" w:rsidR="004407EF" w:rsidRPr="00564181" w:rsidRDefault="00255C27" w:rsidP="00564181">
      <w:pPr>
        <w:pStyle w:val="Level1"/>
        <w:rPr>
          <w:rFonts w:eastAsia="TimesNewRoman"/>
          <w:b w:val="0"/>
        </w:rPr>
      </w:pPr>
      <w:r w:rsidRPr="00564181">
        <w:rPr>
          <w:rFonts w:eastAsia="TimesNewRoman"/>
        </w:rPr>
        <w:t>RATIFICAÇÕES</w:t>
      </w:r>
      <w:r w:rsidR="003E3597" w:rsidRPr="00564181">
        <w:rPr>
          <w:rFonts w:eastAsia="TimesNewRoman"/>
        </w:rPr>
        <w:t xml:space="preserve"> DA ESCRITURA</w:t>
      </w:r>
    </w:p>
    <w:p w14:paraId="31C0264F" w14:textId="33244B8E" w:rsidR="00255C27" w:rsidRPr="00924E9A" w:rsidRDefault="00255C27" w:rsidP="00564181">
      <w:pPr>
        <w:pStyle w:val="Level2"/>
      </w:pPr>
      <w:r w:rsidRPr="00924E9A">
        <w:t xml:space="preserve">Ficam ratificadas, nos termos em que se encontram redigidas, todas as cláusulas, itens, características e condições constantes da Escritura </w:t>
      </w:r>
      <w:r w:rsidR="00753FDD">
        <w:t>de Emissão</w:t>
      </w:r>
      <w:r w:rsidR="00E25998">
        <w:t>,</w:t>
      </w:r>
      <w:r w:rsidR="00753FDD">
        <w:t xml:space="preserve"> </w:t>
      </w:r>
      <w:r w:rsidRPr="00924E9A">
        <w:t xml:space="preserve">não expressamente alteradas por este </w:t>
      </w:r>
      <w:r w:rsidR="00D354C7">
        <w:t xml:space="preserve">Segundo </w:t>
      </w:r>
      <w:r w:rsidRPr="00924E9A">
        <w:t>Aditamento, o qual não constitui de qualquer forma a novação de quaisquer termos da Escritura</w:t>
      </w:r>
      <w:r w:rsidR="00015AFB">
        <w:t xml:space="preserve"> de Emissão</w:t>
      </w:r>
      <w:r w:rsidRPr="00924E9A">
        <w:t>.</w:t>
      </w:r>
      <w:r w:rsidR="00E5042C">
        <w:t xml:space="preserve"> </w:t>
      </w:r>
    </w:p>
    <w:p w14:paraId="338A70FA" w14:textId="77777777" w:rsidR="00255C27" w:rsidRPr="00924E9A" w:rsidRDefault="00255C27" w:rsidP="00564181">
      <w:pPr>
        <w:pStyle w:val="Level1"/>
      </w:pPr>
      <w:r w:rsidRPr="00924E9A">
        <w:t>DISPOSIÇÕES GERAIS</w:t>
      </w:r>
    </w:p>
    <w:p w14:paraId="611CFD36" w14:textId="5DD1A9BD" w:rsidR="00255C27" w:rsidRPr="00924E9A" w:rsidRDefault="00255C27" w:rsidP="00564181">
      <w:pPr>
        <w:pStyle w:val="Level2"/>
      </w:pPr>
      <w:r w:rsidRPr="00924E9A">
        <w:t xml:space="preserve">Este </w:t>
      </w:r>
      <w:r w:rsidR="00D354C7">
        <w:t xml:space="preserve">Segundo </w:t>
      </w:r>
      <w:r w:rsidRPr="00924E9A">
        <w:t xml:space="preserve">Aditamento é firmado em caráter irrevogável e irretratável, obrigando as Partes por si e seus sucessores. </w:t>
      </w:r>
    </w:p>
    <w:p w14:paraId="302AEB04" w14:textId="6A11E7D6" w:rsidR="00255C27" w:rsidRPr="003040E2" w:rsidRDefault="00255C27" w:rsidP="00564181">
      <w:pPr>
        <w:pStyle w:val="Level2"/>
      </w:pPr>
      <w:r w:rsidRPr="003040E2">
        <w:t xml:space="preserve">Caso qualquer </w:t>
      </w:r>
      <w:r>
        <w:t xml:space="preserve">uma </w:t>
      </w:r>
      <w:r w:rsidRPr="003040E2">
        <w:t xml:space="preserve">das disposições deste </w:t>
      </w:r>
      <w:r w:rsidR="001411B2">
        <w:t xml:space="preserve">Segundo </w:t>
      </w:r>
      <w:r w:rsidRPr="003040E2">
        <w:t>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986CF97" w14:textId="3304EADA" w:rsidR="00255C27" w:rsidRPr="007A5737" w:rsidRDefault="00255C27" w:rsidP="00564181">
      <w:pPr>
        <w:pStyle w:val="Level2"/>
      </w:pPr>
      <w:r w:rsidRPr="007A5737">
        <w:t>Este</w:t>
      </w:r>
      <w:r w:rsidR="00D354C7">
        <w:t xml:space="preserve"> Segundo</w:t>
      </w:r>
      <w:r w:rsidRPr="007A5737">
        <w:t xml:space="preserve"> Aditamento, a Escritura </w:t>
      </w:r>
      <w:r w:rsidR="00753FDD">
        <w:t>de Emissão</w:t>
      </w:r>
      <w:r w:rsidR="00753FDD" w:rsidRPr="007A5737">
        <w:t xml:space="preserve"> </w:t>
      </w:r>
      <w:r w:rsidRPr="007A5737">
        <w:t>e as Debêntures constituem títulos executivos extrajudiciais, nos termos dos incisos I e III do artigo 784 do Código de Processo Civil, reconhecendo as Partes desde já que, independentemente de quaisquer outras medidas cabíveis, as obrigações assumidas nos termos deste</w:t>
      </w:r>
      <w:r w:rsidR="00D354C7">
        <w:t xml:space="preserve"> Segundo</w:t>
      </w:r>
      <w:r w:rsidRPr="007A5737">
        <w:t xml:space="preserve"> Aditamento, da Escritura </w:t>
      </w:r>
      <w:r w:rsidR="00753FDD">
        <w:t>de Emissão</w:t>
      </w:r>
      <w:r w:rsidR="00753FDD" w:rsidRPr="007A5737">
        <w:t xml:space="preserve"> </w:t>
      </w:r>
      <w:r w:rsidRPr="007A5737">
        <w:t xml:space="preserve">e com relação às Debêntures estão sujeitas à execução específica, submetendo-se às disposições dos artigos </w:t>
      </w:r>
      <w:r w:rsidR="00D83F31">
        <w:t xml:space="preserve">497, </w:t>
      </w:r>
      <w:r w:rsidRPr="007A5737">
        <w:t>815 e seguintes do Código de Processo Civil, sem prejuízo do direito de declarar o vencimento antec</w:t>
      </w:r>
      <w:r>
        <w:t>ipado das Debêntures, nos termos da Escritura</w:t>
      </w:r>
      <w:r w:rsidR="001411B2">
        <w:t xml:space="preserve"> de Emissão</w:t>
      </w:r>
      <w:r w:rsidRPr="007A5737">
        <w:t>.</w:t>
      </w:r>
    </w:p>
    <w:p w14:paraId="43D6DD93" w14:textId="5E68A3F1" w:rsidR="00255C27" w:rsidRDefault="00255C27" w:rsidP="00564181">
      <w:pPr>
        <w:pStyle w:val="Level2"/>
      </w:pPr>
      <w:r w:rsidRPr="00134A35">
        <w:t xml:space="preserve">Este </w:t>
      </w:r>
      <w:r w:rsidR="00D354C7">
        <w:t xml:space="preserve">Segundo </w:t>
      </w:r>
      <w:r w:rsidRPr="00134A35">
        <w:t>Aditamento é regido pelas Leis da República Federativa do Brasil.</w:t>
      </w:r>
    </w:p>
    <w:p w14:paraId="24FF24D9" w14:textId="052E2833" w:rsidR="00255C27" w:rsidRPr="00134A35" w:rsidRDefault="00255C27" w:rsidP="00564181">
      <w:pPr>
        <w:pStyle w:val="Level2"/>
      </w:pPr>
      <w:r w:rsidRPr="00134A35">
        <w:t xml:space="preserve">Fica eleito o foro da Cidade de São Paulo, Estado de São Paulo, para dirimir quaisquer dúvidas ou controvérsias oriundas deste </w:t>
      </w:r>
      <w:r w:rsidR="00D354C7">
        <w:t xml:space="preserve">Segundo </w:t>
      </w:r>
      <w:r w:rsidRPr="00134A35">
        <w:t>Aditamento, com renúncia a qualquer outro, por mais privilegiado que seja.</w:t>
      </w:r>
    </w:p>
    <w:p w14:paraId="6B356781" w14:textId="77777777" w:rsidR="007C0A26" w:rsidRDefault="00753FDD" w:rsidP="00564181">
      <w:pPr>
        <w:pStyle w:val="Body"/>
        <w:rPr>
          <w:rFonts w:eastAsia="Arial Unicode MS"/>
          <w:w w:val="0"/>
        </w:rPr>
      </w:pPr>
      <w:r w:rsidRPr="00564181">
        <w:rPr>
          <w:rFonts w:eastAsia="Arial Unicode MS"/>
          <w:w w:val="0"/>
        </w:rPr>
        <w:t xml:space="preserve">Estando assim, as Partes, certas e ajustadas, firmam o presente instrumento, em </w:t>
      </w:r>
      <w:r w:rsidR="00294709">
        <w:rPr>
          <w:rFonts w:eastAsia="Arial Unicode MS"/>
          <w:w w:val="0"/>
        </w:rPr>
        <w:t>3</w:t>
      </w:r>
      <w:r w:rsidRPr="00564181">
        <w:rPr>
          <w:rFonts w:eastAsia="Arial Unicode MS"/>
          <w:w w:val="0"/>
        </w:rPr>
        <w:t xml:space="preserve"> (</w:t>
      </w:r>
      <w:r w:rsidR="00294709">
        <w:rPr>
          <w:rFonts w:eastAsia="Arial Unicode MS"/>
          <w:w w:val="0"/>
        </w:rPr>
        <w:t>três</w:t>
      </w:r>
      <w:r w:rsidRPr="00564181">
        <w:rPr>
          <w:rFonts w:eastAsia="Arial Unicode MS"/>
          <w:w w:val="0"/>
        </w:rPr>
        <w:t>) vias de igual teor e forma, juntamente com 2 (duas) testemunhas, que também o assinam.</w:t>
      </w:r>
    </w:p>
    <w:p w14:paraId="7AD0B56C" w14:textId="77777777" w:rsidR="00294709" w:rsidRPr="00564181" w:rsidRDefault="00294709" w:rsidP="00564181">
      <w:pPr>
        <w:pStyle w:val="Body"/>
      </w:pPr>
    </w:p>
    <w:p w14:paraId="33CCF04A" w14:textId="3FA10A19" w:rsidR="007C0A26" w:rsidRPr="00924E9A" w:rsidRDefault="00331C5A" w:rsidP="00564181">
      <w:pPr>
        <w:pStyle w:val="Body"/>
        <w:jc w:val="center"/>
        <w:rPr>
          <w:rFonts w:eastAsia="Arial Unicode MS"/>
        </w:rPr>
      </w:pPr>
      <w:bookmarkStart w:id="10" w:name="_DV_M416"/>
      <w:bookmarkEnd w:id="10"/>
      <w:r>
        <w:rPr>
          <w:rFonts w:eastAsia="Arial Unicode MS"/>
        </w:rPr>
        <w:t>Rio de Janeiro</w:t>
      </w:r>
      <w:r w:rsidR="007C0A26" w:rsidRPr="00924E9A">
        <w:rPr>
          <w:rFonts w:eastAsia="Arial Unicode MS"/>
        </w:rPr>
        <w:t xml:space="preserve">, </w:t>
      </w:r>
      <w:r w:rsidR="00D354C7">
        <w:rPr>
          <w:rFonts w:eastAsia="Arial Unicode MS"/>
        </w:rPr>
        <w:t>[</w:t>
      </w:r>
      <w:r w:rsidR="00D354C7" w:rsidRPr="00D354C7">
        <w:rPr>
          <w:rFonts w:eastAsia="Arial Unicode MS"/>
          <w:highlight w:val="yellow"/>
        </w:rPr>
        <w:t>--</w:t>
      </w:r>
      <w:r w:rsidR="00D354C7">
        <w:rPr>
          <w:rFonts w:eastAsia="Arial Unicode MS"/>
        </w:rPr>
        <w:t>]</w:t>
      </w:r>
      <w:r w:rsidR="00294709">
        <w:rPr>
          <w:rFonts w:eastAsia="Arial Unicode MS"/>
        </w:rPr>
        <w:t xml:space="preserve"> </w:t>
      </w:r>
      <w:r w:rsidR="007C0A26">
        <w:rPr>
          <w:rFonts w:eastAsia="Arial Unicode MS"/>
        </w:rPr>
        <w:t xml:space="preserve">de </w:t>
      </w:r>
      <w:r w:rsidR="00883C1A">
        <w:rPr>
          <w:rFonts w:eastAsia="Arial Unicode MS"/>
        </w:rPr>
        <w:t xml:space="preserve">março </w:t>
      </w:r>
      <w:r w:rsidR="007C0A26" w:rsidRPr="00924E9A">
        <w:rPr>
          <w:rFonts w:eastAsia="Arial Unicode MS"/>
        </w:rPr>
        <w:t xml:space="preserve">de </w:t>
      </w:r>
      <w:r w:rsidR="00294709">
        <w:rPr>
          <w:rFonts w:eastAsia="Arial Unicode MS"/>
        </w:rPr>
        <w:t>20</w:t>
      </w:r>
      <w:r w:rsidR="00A90F3D">
        <w:rPr>
          <w:rFonts w:eastAsia="Arial Unicode MS"/>
        </w:rPr>
        <w:t>20</w:t>
      </w:r>
      <w:r w:rsidR="007C0A26" w:rsidRPr="00924E9A">
        <w:rPr>
          <w:rFonts w:eastAsia="Arial Unicode MS"/>
        </w:rPr>
        <w:t>.</w:t>
      </w:r>
    </w:p>
    <w:p w14:paraId="582B0AB1" w14:textId="77777777" w:rsidR="00535C03" w:rsidRDefault="00753FDD" w:rsidP="00564181">
      <w:pPr>
        <w:pStyle w:val="Body"/>
        <w:jc w:val="center"/>
        <w:rPr>
          <w:rFonts w:eastAsia="Arial Unicode MS"/>
          <w:i/>
          <w:w w:val="0"/>
          <w:szCs w:val="20"/>
        </w:rPr>
        <w:sectPr w:rsidR="00535C03" w:rsidSect="00227180">
          <w:headerReference w:type="default" r:id="rId13"/>
          <w:footerReference w:type="even" r:id="rId14"/>
          <w:footerReference w:type="default" r:id="rId15"/>
          <w:headerReference w:type="first" r:id="rId16"/>
          <w:pgSz w:w="12242" w:h="15842" w:code="1"/>
          <w:pgMar w:top="1531" w:right="1185" w:bottom="1531" w:left="1701" w:header="720" w:footer="720" w:gutter="0"/>
          <w:cols w:space="708"/>
          <w:docGrid w:linePitch="360"/>
        </w:sectPr>
      </w:pPr>
      <w:bookmarkStart w:id="11" w:name="_DV_C693"/>
      <w:r w:rsidRPr="00116931">
        <w:rPr>
          <w:rFonts w:eastAsia="Arial Unicode MS"/>
          <w:i/>
          <w:w w:val="0"/>
          <w:szCs w:val="20"/>
        </w:rPr>
        <w:t>(As assinaturas seguem nas páginas seguintes.)</w:t>
      </w:r>
      <w:bookmarkEnd w:id="11"/>
    </w:p>
    <w:p w14:paraId="064610E8" w14:textId="6F39AECD" w:rsidR="00753FDD" w:rsidRDefault="00753FDD" w:rsidP="00753FDD">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lastRenderedPageBreak/>
        <w:t>(</w:t>
      </w:r>
      <w:r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1 de 3 </w:t>
      </w:r>
      <w:r w:rsidRPr="00116931">
        <w:rPr>
          <w:rFonts w:ascii="Arial" w:hAnsi="Arial" w:cs="Arial"/>
          <w:i/>
          <w:color w:val="000000" w:themeColor="text1"/>
          <w:w w:val="0"/>
          <w:sz w:val="20"/>
          <w:szCs w:val="20"/>
        </w:rPr>
        <w:t xml:space="preserve">do </w:t>
      </w:r>
      <w:r>
        <w:rPr>
          <w:rFonts w:ascii="Arial" w:hAnsi="Arial" w:cs="Arial"/>
          <w:i/>
          <w:color w:val="000000" w:themeColor="text1"/>
          <w:w w:val="0"/>
          <w:sz w:val="20"/>
          <w:szCs w:val="20"/>
        </w:rPr>
        <w:t>“</w:t>
      </w:r>
      <w:r w:rsidR="00D354C7">
        <w:rPr>
          <w:rFonts w:ascii="Arial" w:hAnsi="Arial" w:cs="Arial"/>
          <w:i/>
          <w:color w:val="000000" w:themeColor="text1"/>
          <w:w w:val="0"/>
          <w:sz w:val="20"/>
          <w:szCs w:val="20"/>
        </w:rPr>
        <w:t>Segundo</w:t>
      </w:r>
      <w:r>
        <w:rPr>
          <w:rFonts w:ascii="Arial" w:hAnsi="Arial" w:cs="Arial"/>
          <w:i/>
          <w:color w:val="000000" w:themeColor="text1"/>
          <w:w w:val="0"/>
          <w:sz w:val="20"/>
          <w:szCs w:val="20"/>
        </w:rPr>
        <w:t xml:space="preserve"> Aditamento ao </w:t>
      </w:r>
      <w:r w:rsidR="00294709" w:rsidRPr="00A963EF">
        <w:rPr>
          <w:rFonts w:ascii="Arial" w:hAnsi="Arial" w:cs="Arial"/>
          <w:i/>
          <w:sz w:val="20"/>
        </w:rPr>
        <w:t xml:space="preserve">Instrumento Particular de Escritura da </w:t>
      </w:r>
      <w:r w:rsidR="000C7F14">
        <w:rPr>
          <w:rFonts w:ascii="Arial" w:hAnsi="Arial" w:cs="Arial"/>
          <w:i/>
          <w:sz w:val="20"/>
        </w:rPr>
        <w:t>8</w:t>
      </w:r>
      <w:r w:rsidR="00294709" w:rsidRPr="00A963EF">
        <w:rPr>
          <w:rFonts w:ascii="Arial" w:hAnsi="Arial" w:cs="Arial"/>
          <w:i/>
          <w:sz w:val="20"/>
        </w:rPr>
        <w:t>ª (</w:t>
      </w:r>
      <w:r w:rsidR="000C7F14">
        <w:rPr>
          <w:rFonts w:ascii="Arial" w:hAnsi="Arial" w:cs="Arial"/>
          <w:i/>
          <w:sz w:val="20"/>
        </w:rPr>
        <w:t>Oitava</w:t>
      </w:r>
      <w:r w:rsidR="00294709"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294709"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294709" w:rsidRPr="00A963EF">
        <w:rPr>
          <w:rFonts w:ascii="Arial" w:hAnsi="Arial" w:cs="Arial"/>
          <w:i/>
          <w:sz w:val="20"/>
        </w:rPr>
        <w:t>da Transmissora Aliança de Energia Elétrica S.A.</w:t>
      </w:r>
      <w:r>
        <w:rPr>
          <w:rFonts w:ascii="Arial" w:hAnsi="Arial" w:cs="Arial"/>
          <w:i/>
          <w:color w:val="000000" w:themeColor="text1"/>
          <w:w w:val="0"/>
          <w:sz w:val="20"/>
          <w:szCs w:val="20"/>
        </w:rPr>
        <w:t>”)</w:t>
      </w:r>
    </w:p>
    <w:p w14:paraId="49033746" w14:textId="77777777" w:rsidR="00753FDD" w:rsidRPr="00116931" w:rsidRDefault="00753FDD" w:rsidP="00753FDD">
      <w:pPr>
        <w:spacing w:line="288" w:lineRule="auto"/>
        <w:jc w:val="both"/>
        <w:rPr>
          <w:rFonts w:ascii="Arial" w:hAnsi="Arial" w:cs="Arial"/>
          <w:color w:val="000000" w:themeColor="text1"/>
          <w:sz w:val="20"/>
          <w:szCs w:val="20"/>
        </w:rPr>
      </w:pPr>
    </w:p>
    <w:p w14:paraId="1B6C4B9A" w14:textId="77777777" w:rsidR="00753FDD" w:rsidRPr="00116931" w:rsidRDefault="00753FDD" w:rsidP="00753FDD">
      <w:pPr>
        <w:spacing w:line="288" w:lineRule="auto"/>
        <w:jc w:val="center"/>
        <w:rPr>
          <w:rFonts w:ascii="Arial" w:hAnsi="Arial" w:cs="Arial"/>
          <w:color w:val="000000" w:themeColor="text1"/>
          <w:w w:val="0"/>
          <w:sz w:val="20"/>
          <w:szCs w:val="20"/>
        </w:rPr>
      </w:pPr>
    </w:p>
    <w:p w14:paraId="249D1E40" w14:textId="77777777" w:rsidR="00753FDD" w:rsidRPr="00116931"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0F45D5D1" w14:textId="77777777" w:rsidTr="00015AFB">
        <w:trPr>
          <w:cantSplit/>
        </w:trPr>
        <w:tc>
          <w:tcPr>
            <w:tcW w:w="8978" w:type="dxa"/>
            <w:gridSpan w:val="2"/>
          </w:tcPr>
          <w:p w14:paraId="3A9E45C8" w14:textId="77777777" w:rsidR="00753FDD" w:rsidRDefault="00294709" w:rsidP="00015AFB">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w:t>
            </w:r>
            <w:r w:rsidR="00815CD2" w:rsidRPr="00815CD2">
              <w:rPr>
                <w:rFonts w:ascii="Arial" w:hAnsi="Arial" w:cs="Arial"/>
                <w:b/>
                <w:color w:val="000000" w:themeColor="text1"/>
                <w:w w:val="0"/>
                <w:sz w:val="20"/>
                <w:szCs w:val="20"/>
              </w:rPr>
              <w:t xml:space="preserve"> S.A.</w:t>
            </w:r>
          </w:p>
          <w:p w14:paraId="64E7DCE6" w14:textId="77777777" w:rsidR="00753FDD" w:rsidRPr="00116931" w:rsidRDefault="00753FDD" w:rsidP="00015AFB">
            <w:pPr>
              <w:spacing w:line="288" w:lineRule="auto"/>
              <w:jc w:val="center"/>
              <w:rPr>
                <w:rFonts w:ascii="Arial" w:hAnsi="Arial" w:cs="Arial"/>
                <w:color w:val="000000" w:themeColor="text1"/>
                <w:sz w:val="20"/>
                <w:szCs w:val="20"/>
              </w:rPr>
            </w:pPr>
          </w:p>
          <w:p w14:paraId="2E125C31" w14:textId="77777777" w:rsidR="00753FDD" w:rsidRDefault="00753FDD" w:rsidP="00015AFB">
            <w:pPr>
              <w:spacing w:line="288" w:lineRule="auto"/>
              <w:jc w:val="center"/>
              <w:rPr>
                <w:rFonts w:ascii="Arial" w:hAnsi="Arial" w:cs="Arial"/>
                <w:color w:val="000000" w:themeColor="text1"/>
                <w:sz w:val="20"/>
                <w:szCs w:val="20"/>
              </w:rPr>
            </w:pPr>
          </w:p>
          <w:p w14:paraId="11678837" w14:textId="77777777" w:rsidR="00294709" w:rsidRDefault="00294709" w:rsidP="00015AFB">
            <w:pPr>
              <w:spacing w:line="288" w:lineRule="auto"/>
              <w:jc w:val="center"/>
              <w:rPr>
                <w:rFonts w:ascii="Arial" w:hAnsi="Arial" w:cs="Arial"/>
                <w:color w:val="000000" w:themeColor="text1"/>
                <w:sz w:val="20"/>
                <w:szCs w:val="20"/>
              </w:rPr>
            </w:pPr>
          </w:p>
          <w:p w14:paraId="4BE1533D" w14:textId="77777777" w:rsidR="00294709" w:rsidRPr="00116931" w:rsidRDefault="00294709" w:rsidP="00015AFB">
            <w:pPr>
              <w:spacing w:line="288" w:lineRule="auto"/>
              <w:jc w:val="center"/>
              <w:rPr>
                <w:rFonts w:ascii="Arial" w:hAnsi="Arial" w:cs="Arial"/>
                <w:color w:val="000000" w:themeColor="text1"/>
                <w:sz w:val="20"/>
                <w:szCs w:val="20"/>
              </w:rPr>
            </w:pPr>
          </w:p>
          <w:p w14:paraId="1E4319EA"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681A3F4A" w14:textId="77777777" w:rsidTr="00015AFB">
        <w:tc>
          <w:tcPr>
            <w:tcW w:w="4489" w:type="dxa"/>
          </w:tcPr>
          <w:p w14:paraId="0528620F"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7946969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240C0117"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7B9287EC" w14:textId="77777777" w:rsidR="00753FDD" w:rsidRPr="00116931" w:rsidRDefault="00753FDD" w:rsidP="00015AFB">
            <w:pPr>
              <w:spacing w:after="240"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3F756E42"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1713A7D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r>
    </w:tbl>
    <w:p w14:paraId="51FADA77" w14:textId="77777777" w:rsidR="00753FDD" w:rsidRPr="00B10EEF" w:rsidRDefault="00753FDD" w:rsidP="00753FDD">
      <w:pPr>
        <w:spacing w:line="288" w:lineRule="auto"/>
        <w:jc w:val="both"/>
        <w:rPr>
          <w:rFonts w:ascii="Verdana" w:hAnsi="Verdana"/>
          <w:color w:val="000000" w:themeColor="text1"/>
          <w:sz w:val="20"/>
        </w:rPr>
      </w:pPr>
    </w:p>
    <w:p w14:paraId="1F9BE63E" w14:textId="4FDFBCB2" w:rsidR="000C7F14" w:rsidRDefault="00753FDD" w:rsidP="000C7F14">
      <w:pPr>
        <w:spacing w:line="288" w:lineRule="auto"/>
        <w:jc w:val="both"/>
        <w:rPr>
          <w:rFonts w:ascii="Arial" w:hAnsi="Arial" w:cs="Arial"/>
          <w:i/>
          <w:color w:val="000000" w:themeColor="text1"/>
          <w:w w:val="0"/>
          <w:sz w:val="20"/>
          <w:szCs w:val="20"/>
        </w:rPr>
      </w:pPr>
      <w:r w:rsidRPr="00B10EEF">
        <w:rPr>
          <w:rFonts w:ascii="Verdana" w:hAnsi="Verdana"/>
          <w:color w:val="000000" w:themeColor="text1"/>
          <w:sz w:val="20"/>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2 de 3 </w:t>
      </w:r>
      <w:r w:rsidR="000C7F14" w:rsidRPr="00116931">
        <w:rPr>
          <w:rFonts w:ascii="Arial" w:hAnsi="Arial" w:cs="Arial"/>
          <w:i/>
          <w:color w:val="000000" w:themeColor="text1"/>
          <w:w w:val="0"/>
          <w:sz w:val="20"/>
          <w:szCs w:val="20"/>
        </w:rPr>
        <w:t xml:space="preserve">do </w:t>
      </w:r>
      <w:r w:rsidR="000C7F14">
        <w:rPr>
          <w:rFonts w:ascii="Arial" w:hAnsi="Arial" w:cs="Arial"/>
          <w:i/>
          <w:color w:val="000000" w:themeColor="text1"/>
          <w:w w:val="0"/>
          <w:sz w:val="20"/>
          <w:szCs w:val="20"/>
        </w:rPr>
        <w:t>“</w:t>
      </w:r>
      <w:r w:rsidR="00D354C7">
        <w:rPr>
          <w:rFonts w:ascii="Arial" w:hAnsi="Arial" w:cs="Arial"/>
          <w:i/>
          <w:sz w:val="20"/>
        </w:rPr>
        <w:t>Segundo</w:t>
      </w:r>
      <w:r w:rsidR="000C7F14" w:rsidRPr="00AB6058">
        <w:rPr>
          <w:rFonts w:ascii="Arial" w:hAnsi="Arial" w:cs="Arial"/>
          <w:i/>
          <w:sz w:val="20"/>
        </w:rPr>
        <w:t xml:space="preserve"> Aditamento</w:t>
      </w:r>
      <w:r w:rsidR="000C7F14">
        <w:rPr>
          <w:rFonts w:ascii="Arial" w:hAnsi="Arial" w:cs="Arial"/>
          <w:i/>
          <w:color w:val="000000" w:themeColor="text1"/>
          <w:w w:val="0"/>
          <w:sz w:val="20"/>
          <w:szCs w:val="20"/>
        </w:rPr>
        <w:t xml:space="preserve"> 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p>
    <w:p w14:paraId="3ADC984A" w14:textId="77777777" w:rsidR="00753FDD" w:rsidRPr="00B10EEF" w:rsidRDefault="000C7F14" w:rsidP="000C7F14">
      <w:pPr>
        <w:spacing w:line="288" w:lineRule="auto"/>
        <w:jc w:val="both"/>
        <w:rPr>
          <w:rFonts w:ascii="Verdana" w:hAnsi="Verdana"/>
          <w:color w:val="000000" w:themeColor="text1"/>
          <w:sz w:val="20"/>
        </w:rPr>
      </w:pPr>
      <w:r w:rsidDel="000C7F14">
        <w:rPr>
          <w:rFonts w:ascii="Arial" w:hAnsi="Arial" w:cs="Arial"/>
          <w:i/>
          <w:color w:val="000000" w:themeColor="text1"/>
          <w:w w:val="0"/>
          <w:sz w:val="20"/>
          <w:szCs w:val="20"/>
        </w:rPr>
        <w:t xml:space="preserve"> </w:t>
      </w:r>
    </w:p>
    <w:p w14:paraId="3BCB1877" w14:textId="77777777" w:rsidR="00753FDD" w:rsidRPr="00116931" w:rsidRDefault="00753FDD" w:rsidP="00753FDD">
      <w:pPr>
        <w:spacing w:line="288" w:lineRule="auto"/>
        <w:jc w:val="center"/>
        <w:rPr>
          <w:rFonts w:ascii="Arial" w:hAnsi="Arial" w:cs="Arial"/>
          <w:color w:val="000000" w:themeColor="text1"/>
          <w:w w:val="0"/>
          <w:sz w:val="20"/>
          <w:szCs w:val="20"/>
        </w:rPr>
      </w:pPr>
    </w:p>
    <w:p w14:paraId="79764EF0" w14:textId="77777777" w:rsidR="00753FDD" w:rsidRPr="00116931" w:rsidRDefault="00753FDD" w:rsidP="00753FDD">
      <w:pPr>
        <w:spacing w:line="288" w:lineRule="auto"/>
        <w:jc w:val="center"/>
        <w:rPr>
          <w:rFonts w:ascii="Arial" w:hAnsi="Arial" w:cs="Arial"/>
          <w:color w:val="000000" w:themeColor="text1"/>
          <w:w w:val="0"/>
          <w:sz w:val="20"/>
          <w:szCs w:val="20"/>
        </w:rPr>
      </w:pPr>
    </w:p>
    <w:p w14:paraId="4ABF58DA" w14:textId="77777777" w:rsidR="00753FDD" w:rsidRPr="00B10EEF" w:rsidRDefault="00753FDD" w:rsidP="00753FDD">
      <w:pPr>
        <w:spacing w:line="288" w:lineRule="auto"/>
        <w:jc w:val="both"/>
        <w:rPr>
          <w:rFonts w:ascii="Verdana" w:hAnsi="Verdana"/>
          <w:color w:val="000000" w:themeColor="text1"/>
          <w:sz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16E1BBD9" w14:textId="77777777" w:rsidTr="00015AFB">
        <w:trPr>
          <w:cantSplit/>
        </w:trPr>
        <w:tc>
          <w:tcPr>
            <w:tcW w:w="8978" w:type="dxa"/>
            <w:gridSpan w:val="2"/>
          </w:tcPr>
          <w:p w14:paraId="29C09337" w14:textId="77777777" w:rsidR="00753FDD" w:rsidRPr="00116931" w:rsidRDefault="00294709" w:rsidP="00015AFB">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w:t>
            </w:r>
            <w:r w:rsidR="00753FDD" w:rsidRPr="00366F55">
              <w:rPr>
                <w:rFonts w:ascii="Arial" w:hAnsi="Arial" w:cs="Arial"/>
                <w:b/>
                <w:smallCaps/>
                <w:color w:val="000000" w:themeColor="text1"/>
                <w:sz w:val="20"/>
                <w:szCs w:val="20"/>
              </w:rPr>
              <w:t xml:space="preserve"> DISTRIBUIDORA DE TÍTULOS E VALORES MOBILIÁRIOS</w:t>
            </w:r>
            <w:r>
              <w:rPr>
                <w:rFonts w:ascii="Arial" w:hAnsi="Arial" w:cs="Arial"/>
                <w:b/>
                <w:smallCaps/>
                <w:color w:val="000000" w:themeColor="text1"/>
                <w:sz w:val="20"/>
                <w:szCs w:val="20"/>
              </w:rPr>
              <w:t xml:space="preserve"> LTDA.</w:t>
            </w:r>
          </w:p>
          <w:p w14:paraId="5BDC6DA9" w14:textId="77777777" w:rsidR="00753FDD" w:rsidRDefault="00753FDD" w:rsidP="00015AFB">
            <w:pPr>
              <w:spacing w:line="288" w:lineRule="auto"/>
              <w:jc w:val="center"/>
              <w:rPr>
                <w:rFonts w:ascii="Arial" w:hAnsi="Arial" w:cs="Arial"/>
                <w:color w:val="000000" w:themeColor="text1"/>
                <w:sz w:val="20"/>
                <w:szCs w:val="20"/>
              </w:rPr>
            </w:pPr>
          </w:p>
          <w:p w14:paraId="3267CD94" w14:textId="77777777" w:rsidR="00294709" w:rsidRDefault="00294709" w:rsidP="00015AFB">
            <w:pPr>
              <w:spacing w:line="288" w:lineRule="auto"/>
              <w:jc w:val="center"/>
              <w:rPr>
                <w:rFonts w:ascii="Arial" w:hAnsi="Arial" w:cs="Arial"/>
                <w:color w:val="000000" w:themeColor="text1"/>
                <w:sz w:val="20"/>
                <w:szCs w:val="20"/>
              </w:rPr>
            </w:pPr>
          </w:p>
          <w:p w14:paraId="534670CB" w14:textId="77777777" w:rsidR="00294709" w:rsidRDefault="00294709" w:rsidP="00015AFB">
            <w:pPr>
              <w:spacing w:line="288" w:lineRule="auto"/>
              <w:jc w:val="center"/>
              <w:rPr>
                <w:rFonts w:ascii="Arial" w:hAnsi="Arial" w:cs="Arial"/>
                <w:color w:val="000000" w:themeColor="text1"/>
                <w:sz w:val="20"/>
                <w:szCs w:val="20"/>
              </w:rPr>
            </w:pPr>
          </w:p>
          <w:p w14:paraId="50620744" w14:textId="77777777" w:rsidR="00753FDD" w:rsidRPr="00116931" w:rsidRDefault="00753FDD" w:rsidP="00015AFB">
            <w:pPr>
              <w:spacing w:line="288" w:lineRule="auto"/>
              <w:jc w:val="center"/>
              <w:rPr>
                <w:rFonts w:ascii="Arial" w:hAnsi="Arial" w:cs="Arial"/>
                <w:color w:val="000000" w:themeColor="text1"/>
                <w:sz w:val="20"/>
                <w:szCs w:val="20"/>
              </w:rPr>
            </w:pPr>
          </w:p>
          <w:p w14:paraId="5BBDAEA4" w14:textId="77777777" w:rsidR="00753FDD" w:rsidRPr="00116931" w:rsidRDefault="00753FDD" w:rsidP="00015AFB">
            <w:pPr>
              <w:spacing w:line="288" w:lineRule="auto"/>
              <w:jc w:val="center"/>
              <w:rPr>
                <w:rFonts w:ascii="Arial" w:hAnsi="Arial" w:cs="Arial"/>
                <w:color w:val="000000" w:themeColor="text1"/>
                <w:sz w:val="20"/>
                <w:szCs w:val="20"/>
              </w:rPr>
            </w:pPr>
          </w:p>
        </w:tc>
      </w:tr>
      <w:tr w:rsidR="00753FDD" w:rsidRPr="00F57050" w14:paraId="1E7C709B" w14:textId="77777777" w:rsidTr="00015AFB">
        <w:tc>
          <w:tcPr>
            <w:tcW w:w="4489" w:type="dxa"/>
          </w:tcPr>
          <w:p w14:paraId="6CF02761"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5423B33E"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8A026DD"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Cargo:</w:t>
            </w:r>
          </w:p>
        </w:tc>
        <w:tc>
          <w:tcPr>
            <w:tcW w:w="4489" w:type="dxa"/>
          </w:tcPr>
          <w:p w14:paraId="32FFE838"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26F8AFFE" w14:textId="77777777" w:rsidR="00753FDD" w:rsidRPr="00B10EEF" w:rsidRDefault="00753FDD" w:rsidP="00753FDD">
      <w:pPr>
        <w:spacing w:line="288" w:lineRule="auto"/>
        <w:jc w:val="both"/>
        <w:rPr>
          <w:rFonts w:ascii="Verdana" w:hAnsi="Verdana"/>
          <w:color w:val="000000" w:themeColor="text1"/>
          <w:sz w:val="20"/>
        </w:rPr>
      </w:pPr>
    </w:p>
    <w:p w14:paraId="2D847A44" w14:textId="77777777" w:rsidR="00753FDD" w:rsidRPr="00B10EEF" w:rsidRDefault="00753FDD" w:rsidP="00753FDD">
      <w:pPr>
        <w:spacing w:line="288" w:lineRule="auto"/>
        <w:jc w:val="both"/>
        <w:rPr>
          <w:rFonts w:ascii="Verdana" w:hAnsi="Verdana"/>
          <w:color w:val="000000" w:themeColor="text1"/>
          <w:sz w:val="20"/>
        </w:rPr>
      </w:pPr>
    </w:p>
    <w:p w14:paraId="4E53581F" w14:textId="75F9B6F0" w:rsidR="00753FDD" w:rsidRPr="00B10EEF" w:rsidRDefault="00753FDD" w:rsidP="00753FDD">
      <w:pPr>
        <w:spacing w:line="288" w:lineRule="auto"/>
        <w:jc w:val="both"/>
        <w:rPr>
          <w:rFonts w:ascii="Verdana" w:hAnsi="Verdana"/>
          <w:color w:val="000000" w:themeColor="text1"/>
          <w:sz w:val="20"/>
        </w:rPr>
      </w:pPr>
      <w:bookmarkStart w:id="12" w:name="_DV_M446"/>
      <w:bookmarkEnd w:id="12"/>
      <w:r w:rsidRPr="00B10EEF">
        <w:rPr>
          <w:rFonts w:ascii="Verdana" w:hAnsi="Verdana"/>
          <w:color w:val="000000" w:themeColor="text1"/>
          <w:sz w:val="20"/>
          <w:lang w:val="pt-PT"/>
        </w:rPr>
        <w:br w:type="page"/>
      </w:r>
      <w:r w:rsidR="000C7F14">
        <w:rPr>
          <w:rFonts w:ascii="Arial" w:hAnsi="Arial" w:cs="Arial"/>
          <w:i/>
          <w:color w:val="000000" w:themeColor="text1"/>
          <w:w w:val="0"/>
          <w:sz w:val="20"/>
          <w:szCs w:val="20"/>
        </w:rPr>
        <w:lastRenderedPageBreak/>
        <w:t>(</w:t>
      </w:r>
      <w:r w:rsidR="000C7F14" w:rsidRPr="00116931">
        <w:rPr>
          <w:rFonts w:ascii="Arial" w:hAnsi="Arial" w:cs="Arial"/>
          <w:i/>
          <w:color w:val="000000" w:themeColor="text1"/>
          <w:w w:val="0"/>
          <w:sz w:val="20"/>
          <w:szCs w:val="20"/>
        </w:rPr>
        <w:t xml:space="preserve">Página de assinaturas </w:t>
      </w:r>
      <w:r w:rsidR="009902BA">
        <w:rPr>
          <w:rFonts w:ascii="Arial" w:hAnsi="Arial" w:cs="Arial"/>
          <w:i/>
          <w:color w:val="000000" w:themeColor="text1"/>
          <w:w w:val="0"/>
          <w:sz w:val="20"/>
          <w:szCs w:val="20"/>
        </w:rPr>
        <w:t xml:space="preserve">3 de 3 </w:t>
      </w:r>
      <w:r w:rsidR="000C7F14" w:rsidRPr="00116931">
        <w:rPr>
          <w:rFonts w:ascii="Arial" w:hAnsi="Arial" w:cs="Arial"/>
          <w:i/>
          <w:color w:val="000000" w:themeColor="text1"/>
          <w:w w:val="0"/>
          <w:sz w:val="20"/>
          <w:szCs w:val="20"/>
        </w:rPr>
        <w:t xml:space="preserve">do </w:t>
      </w:r>
      <w:r w:rsidR="00A90F3D">
        <w:rPr>
          <w:rFonts w:ascii="Arial" w:hAnsi="Arial" w:cs="Arial"/>
          <w:i/>
          <w:color w:val="000000" w:themeColor="text1"/>
          <w:w w:val="0"/>
          <w:sz w:val="20"/>
          <w:szCs w:val="20"/>
        </w:rPr>
        <w:t>“</w:t>
      </w:r>
      <w:r w:rsidR="00D354C7">
        <w:rPr>
          <w:rFonts w:ascii="Arial" w:hAnsi="Arial" w:cs="Arial"/>
          <w:i/>
          <w:sz w:val="20"/>
        </w:rPr>
        <w:t>Segundo</w:t>
      </w:r>
      <w:r w:rsidR="00A90F3D" w:rsidRPr="00974545">
        <w:rPr>
          <w:rFonts w:ascii="Arial" w:hAnsi="Arial" w:cs="Arial"/>
          <w:i/>
          <w:sz w:val="20"/>
        </w:rPr>
        <w:t xml:space="preserve"> Aditamento</w:t>
      </w:r>
      <w:r w:rsidR="00A90F3D">
        <w:rPr>
          <w:rFonts w:ascii="Arial" w:hAnsi="Arial" w:cs="Arial"/>
          <w:i/>
          <w:color w:val="000000" w:themeColor="text1"/>
          <w:w w:val="0"/>
          <w:sz w:val="20"/>
          <w:szCs w:val="20"/>
        </w:rPr>
        <w:t xml:space="preserve"> </w:t>
      </w:r>
      <w:r w:rsidR="000C7F14">
        <w:rPr>
          <w:rFonts w:ascii="Arial" w:hAnsi="Arial" w:cs="Arial"/>
          <w:i/>
          <w:color w:val="000000" w:themeColor="text1"/>
          <w:w w:val="0"/>
          <w:sz w:val="20"/>
          <w:szCs w:val="20"/>
        </w:rPr>
        <w:t xml:space="preserve">ao </w:t>
      </w:r>
      <w:r w:rsidR="000C7F14" w:rsidRPr="00A963EF">
        <w:rPr>
          <w:rFonts w:ascii="Arial" w:hAnsi="Arial" w:cs="Arial"/>
          <w:i/>
          <w:sz w:val="20"/>
        </w:rPr>
        <w:t xml:space="preserve">Instrumento Particular de Escritura da </w:t>
      </w:r>
      <w:r w:rsidR="000C7F14">
        <w:rPr>
          <w:rFonts w:ascii="Arial" w:hAnsi="Arial" w:cs="Arial"/>
          <w:i/>
          <w:sz w:val="20"/>
        </w:rPr>
        <w:t>8</w:t>
      </w:r>
      <w:r w:rsidR="000C7F14" w:rsidRPr="00A963EF">
        <w:rPr>
          <w:rFonts w:ascii="Arial" w:hAnsi="Arial" w:cs="Arial"/>
          <w:i/>
          <w:sz w:val="20"/>
        </w:rPr>
        <w:t>ª (</w:t>
      </w:r>
      <w:r w:rsidR="000C7F14">
        <w:rPr>
          <w:rFonts w:ascii="Arial" w:hAnsi="Arial" w:cs="Arial"/>
          <w:i/>
          <w:sz w:val="20"/>
        </w:rPr>
        <w:t>Oitava</w:t>
      </w:r>
      <w:r w:rsidR="000C7F14" w:rsidRPr="00A963EF">
        <w:rPr>
          <w:rFonts w:ascii="Arial" w:hAnsi="Arial" w:cs="Arial"/>
          <w:i/>
          <w:sz w:val="20"/>
        </w:rPr>
        <w:t xml:space="preserve">) Emissão de Debêntures Simples, Não Conversíveis em Ações, </w:t>
      </w:r>
      <w:r w:rsidR="000C7F14">
        <w:rPr>
          <w:rFonts w:ascii="Arial" w:hAnsi="Arial" w:cs="Arial"/>
          <w:i/>
          <w:sz w:val="20"/>
        </w:rPr>
        <w:t>em Série Única</w:t>
      </w:r>
      <w:r w:rsidR="000C7F14" w:rsidRPr="00A963EF">
        <w:rPr>
          <w:rFonts w:ascii="Arial" w:hAnsi="Arial" w:cs="Arial"/>
          <w:i/>
          <w:sz w:val="20"/>
        </w:rPr>
        <w:t xml:space="preserve">, da Espécie com Garantia Real, para Distribuição Pública, </w:t>
      </w:r>
      <w:r w:rsidR="000C7F14">
        <w:rPr>
          <w:rFonts w:ascii="Arial" w:hAnsi="Arial" w:cs="Arial"/>
          <w:i/>
          <w:sz w:val="20"/>
        </w:rPr>
        <w:t xml:space="preserve">com Esforços Restritos de Colocação, </w:t>
      </w:r>
      <w:r w:rsidR="000C7F14" w:rsidRPr="00A963EF">
        <w:rPr>
          <w:rFonts w:ascii="Arial" w:hAnsi="Arial" w:cs="Arial"/>
          <w:i/>
          <w:sz w:val="20"/>
        </w:rPr>
        <w:t>da Transmissora Aliança de Energia Elétrica S.A.</w:t>
      </w:r>
      <w:r w:rsidR="000C7F14">
        <w:rPr>
          <w:rFonts w:ascii="Arial" w:hAnsi="Arial" w:cs="Arial"/>
          <w:i/>
          <w:color w:val="000000" w:themeColor="text1"/>
          <w:w w:val="0"/>
          <w:sz w:val="20"/>
          <w:szCs w:val="20"/>
        </w:rPr>
        <w:t>”)</w:t>
      </w:r>
      <w:r w:rsidR="000C7F14" w:rsidDel="000C7F14">
        <w:rPr>
          <w:rFonts w:ascii="Arial" w:hAnsi="Arial" w:cs="Arial"/>
          <w:i/>
          <w:color w:val="000000" w:themeColor="text1"/>
          <w:w w:val="0"/>
          <w:sz w:val="20"/>
          <w:szCs w:val="20"/>
        </w:rPr>
        <w:t xml:space="preserve"> </w:t>
      </w:r>
    </w:p>
    <w:p w14:paraId="6E6879CC" w14:textId="77777777" w:rsidR="00753FDD" w:rsidRPr="00B10EEF" w:rsidRDefault="00753FDD" w:rsidP="00753FDD">
      <w:pPr>
        <w:spacing w:line="288" w:lineRule="auto"/>
        <w:jc w:val="both"/>
        <w:rPr>
          <w:rFonts w:ascii="Verdana" w:hAnsi="Verdana"/>
          <w:color w:val="000000" w:themeColor="text1"/>
          <w:sz w:val="20"/>
        </w:rPr>
      </w:pPr>
    </w:p>
    <w:p w14:paraId="39156D76" w14:textId="77777777" w:rsidR="00753FDD" w:rsidRPr="00116931" w:rsidRDefault="00753FDD" w:rsidP="00753FDD">
      <w:pPr>
        <w:spacing w:line="288" w:lineRule="auto"/>
        <w:jc w:val="both"/>
        <w:rPr>
          <w:rFonts w:ascii="Arial" w:hAnsi="Arial" w:cs="Arial"/>
          <w:i/>
          <w:color w:val="000000" w:themeColor="text1"/>
          <w:w w:val="0"/>
          <w:sz w:val="20"/>
          <w:szCs w:val="20"/>
        </w:rPr>
      </w:pPr>
    </w:p>
    <w:p w14:paraId="06152681"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7472E625" w14:textId="77777777" w:rsidR="00753FDD" w:rsidRPr="00116931" w:rsidRDefault="00753FDD" w:rsidP="00753FDD">
      <w:pPr>
        <w:spacing w:line="288" w:lineRule="auto"/>
        <w:rPr>
          <w:rFonts w:ascii="Arial" w:hAnsi="Arial" w:cs="Arial"/>
          <w:b/>
          <w:color w:val="000000" w:themeColor="text1"/>
          <w:sz w:val="20"/>
          <w:szCs w:val="20"/>
        </w:rPr>
      </w:pPr>
      <w:r w:rsidRPr="00116931">
        <w:rPr>
          <w:rFonts w:ascii="Arial" w:hAnsi="Arial" w:cs="Arial"/>
          <w:b/>
          <w:color w:val="000000" w:themeColor="text1"/>
          <w:sz w:val="20"/>
          <w:szCs w:val="20"/>
        </w:rPr>
        <w:t>Testemunhas:</w:t>
      </w:r>
    </w:p>
    <w:p w14:paraId="76F41DFD" w14:textId="77777777" w:rsidR="00753FDD" w:rsidRPr="00116931" w:rsidRDefault="00753FDD" w:rsidP="00753FDD">
      <w:pPr>
        <w:spacing w:line="288" w:lineRule="auto"/>
        <w:jc w:val="center"/>
        <w:rPr>
          <w:rFonts w:ascii="Arial" w:hAnsi="Arial" w:cs="Arial"/>
          <w:b/>
          <w:smallCaps/>
          <w:color w:val="000000" w:themeColor="text1"/>
          <w:sz w:val="20"/>
          <w:szCs w:val="20"/>
        </w:rPr>
      </w:pPr>
    </w:p>
    <w:p w14:paraId="0E2F5931" w14:textId="77777777" w:rsidR="00753FDD" w:rsidRDefault="00753FDD" w:rsidP="00753FDD">
      <w:pPr>
        <w:spacing w:line="288" w:lineRule="auto"/>
        <w:jc w:val="center"/>
        <w:rPr>
          <w:rFonts w:ascii="Arial" w:hAnsi="Arial" w:cs="Arial"/>
          <w:b/>
          <w:smallCaps/>
          <w:color w:val="000000" w:themeColor="text1"/>
          <w:sz w:val="20"/>
          <w:szCs w:val="20"/>
        </w:rPr>
      </w:pPr>
    </w:p>
    <w:p w14:paraId="497D5E07" w14:textId="77777777" w:rsidR="00294709" w:rsidRDefault="00294709" w:rsidP="00753FDD">
      <w:pPr>
        <w:spacing w:line="288" w:lineRule="auto"/>
        <w:jc w:val="center"/>
        <w:rPr>
          <w:rFonts w:ascii="Arial" w:hAnsi="Arial" w:cs="Arial"/>
          <w:b/>
          <w:smallCaps/>
          <w:color w:val="000000" w:themeColor="text1"/>
          <w:sz w:val="20"/>
          <w:szCs w:val="20"/>
        </w:rPr>
      </w:pPr>
    </w:p>
    <w:p w14:paraId="698D1958" w14:textId="77777777" w:rsidR="00294709" w:rsidRPr="00116931" w:rsidRDefault="00294709" w:rsidP="00753FDD">
      <w:pPr>
        <w:spacing w:line="288" w:lineRule="auto"/>
        <w:jc w:val="center"/>
        <w:rPr>
          <w:rFonts w:ascii="Arial" w:hAnsi="Arial" w:cs="Arial"/>
          <w:b/>
          <w:smallCaps/>
          <w:color w:val="000000" w:themeColor="text1"/>
          <w:sz w:val="20"/>
          <w:szCs w:val="20"/>
        </w:rPr>
      </w:pPr>
    </w:p>
    <w:p w14:paraId="651226E6" w14:textId="77777777" w:rsidR="00753FDD" w:rsidRPr="00116931"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57050" w14:paraId="5FF1C2D6" w14:textId="77777777" w:rsidTr="00015AFB">
        <w:tc>
          <w:tcPr>
            <w:tcW w:w="4489" w:type="dxa"/>
          </w:tcPr>
          <w:p w14:paraId="046B2EE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1EF33C9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7468638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63BF9A8B"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4898B89D" w14:textId="77777777" w:rsidR="00753FDD" w:rsidRPr="00116931" w:rsidRDefault="00753FDD" w:rsidP="00015AFB">
            <w:pPr>
              <w:spacing w:line="288" w:lineRule="auto"/>
              <w:jc w:val="both"/>
              <w:rPr>
                <w:rFonts w:ascii="Arial" w:hAnsi="Arial" w:cs="Arial"/>
                <w:color w:val="000000" w:themeColor="text1"/>
                <w:sz w:val="20"/>
                <w:szCs w:val="20"/>
              </w:rPr>
            </w:pPr>
          </w:p>
        </w:tc>
        <w:tc>
          <w:tcPr>
            <w:tcW w:w="4489" w:type="dxa"/>
          </w:tcPr>
          <w:p w14:paraId="25EF2B04"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__________________________________</w:t>
            </w:r>
          </w:p>
          <w:p w14:paraId="6351F2F8"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Nome:</w:t>
            </w:r>
          </w:p>
          <w:p w14:paraId="59E30EFA"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RG:</w:t>
            </w:r>
          </w:p>
          <w:p w14:paraId="76C26276" w14:textId="77777777" w:rsidR="00753FDD" w:rsidRPr="00116931" w:rsidRDefault="00753FDD" w:rsidP="00015AFB">
            <w:pPr>
              <w:spacing w:line="288" w:lineRule="auto"/>
              <w:jc w:val="both"/>
              <w:rPr>
                <w:rFonts w:ascii="Arial" w:hAnsi="Arial" w:cs="Arial"/>
                <w:color w:val="000000" w:themeColor="text1"/>
                <w:sz w:val="20"/>
                <w:szCs w:val="20"/>
              </w:rPr>
            </w:pPr>
            <w:r w:rsidRPr="00116931">
              <w:rPr>
                <w:rFonts w:ascii="Arial" w:hAnsi="Arial" w:cs="Arial"/>
                <w:color w:val="000000" w:themeColor="text1"/>
                <w:sz w:val="20"/>
                <w:szCs w:val="20"/>
              </w:rPr>
              <w:t>CPF:</w:t>
            </w:r>
          </w:p>
          <w:p w14:paraId="1A483A50" w14:textId="77777777" w:rsidR="00753FDD" w:rsidRPr="00116931" w:rsidRDefault="00753FDD" w:rsidP="00015AFB">
            <w:pPr>
              <w:spacing w:line="288" w:lineRule="auto"/>
              <w:jc w:val="both"/>
              <w:rPr>
                <w:rFonts w:ascii="Arial" w:hAnsi="Arial" w:cs="Arial"/>
                <w:color w:val="000000" w:themeColor="text1"/>
                <w:sz w:val="20"/>
                <w:szCs w:val="20"/>
              </w:rPr>
            </w:pPr>
          </w:p>
        </w:tc>
      </w:tr>
    </w:tbl>
    <w:p w14:paraId="58CC7949" w14:textId="77777777" w:rsidR="00753FDD" w:rsidRPr="00B10EEF" w:rsidRDefault="00753FDD" w:rsidP="00753FDD">
      <w:pPr>
        <w:pStyle w:val="DeltaViewTableBody"/>
        <w:spacing w:line="288" w:lineRule="auto"/>
        <w:jc w:val="center"/>
        <w:rPr>
          <w:rFonts w:ascii="Verdana" w:hAnsi="Verdana"/>
          <w:color w:val="000000" w:themeColor="text1"/>
          <w:sz w:val="20"/>
        </w:rPr>
      </w:pPr>
    </w:p>
    <w:p w14:paraId="3755D4CA" w14:textId="77777777" w:rsidR="00753FDD" w:rsidRPr="00B10EEF" w:rsidRDefault="00753FDD" w:rsidP="00753FDD">
      <w:pPr>
        <w:spacing w:line="288" w:lineRule="auto"/>
        <w:rPr>
          <w:rFonts w:ascii="Verdana" w:hAnsi="Verdana"/>
          <w:color w:val="000000" w:themeColor="text1"/>
          <w:sz w:val="20"/>
        </w:rPr>
      </w:pPr>
    </w:p>
    <w:p w14:paraId="72D1191B" w14:textId="2C83013D" w:rsidR="001411B2" w:rsidRDefault="001411B2">
      <w:pPr>
        <w:spacing w:after="200" w:line="276" w:lineRule="auto"/>
        <w:rPr>
          <w:rFonts w:ascii="Verdana" w:hAnsi="Verdana"/>
          <w:color w:val="000000" w:themeColor="text1"/>
          <w:sz w:val="20"/>
        </w:rPr>
      </w:pPr>
      <w:r>
        <w:rPr>
          <w:rFonts w:ascii="Verdana" w:hAnsi="Verdana"/>
          <w:color w:val="000000" w:themeColor="text1"/>
          <w:sz w:val="20"/>
        </w:rPr>
        <w:br w:type="page"/>
      </w:r>
    </w:p>
    <w:p w14:paraId="38D33AB5" w14:textId="32BDF833" w:rsidR="00753FDD" w:rsidRPr="009902BA" w:rsidRDefault="00753FDD" w:rsidP="00753FDD">
      <w:pPr>
        <w:spacing w:line="288" w:lineRule="auto"/>
        <w:rPr>
          <w:rFonts w:ascii="Arial" w:hAnsi="Arial" w:cs="Arial"/>
          <w:color w:val="000000" w:themeColor="text1"/>
          <w:sz w:val="20"/>
          <w:szCs w:val="20"/>
        </w:rPr>
      </w:pPr>
    </w:p>
    <w:p w14:paraId="3CE77DDE" w14:textId="18068EC9" w:rsidR="001411B2" w:rsidRPr="009902BA" w:rsidRDefault="001411B2" w:rsidP="009902BA">
      <w:pPr>
        <w:spacing w:line="288" w:lineRule="auto"/>
        <w:jc w:val="center"/>
        <w:rPr>
          <w:rFonts w:ascii="Arial" w:hAnsi="Arial" w:cs="Arial"/>
          <w:b/>
          <w:color w:val="000000" w:themeColor="text1"/>
          <w:sz w:val="20"/>
          <w:szCs w:val="20"/>
          <w:u w:val="single"/>
        </w:rPr>
      </w:pPr>
      <w:r w:rsidRPr="009902BA">
        <w:rPr>
          <w:rFonts w:ascii="Arial" w:hAnsi="Arial" w:cs="Arial"/>
          <w:b/>
          <w:color w:val="000000" w:themeColor="text1"/>
          <w:sz w:val="20"/>
          <w:szCs w:val="20"/>
          <w:u w:val="single"/>
        </w:rPr>
        <w:t>ANEXO I</w:t>
      </w:r>
    </w:p>
    <w:p w14:paraId="6BD1E6F6" w14:textId="7C9DE2C2" w:rsidR="001411B2" w:rsidRPr="009902BA" w:rsidRDefault="001411B2" w:rsidP="009902BA">
      <w:pPr>
        <w:spacing w:line="288" w:lineRule="auto"/>
        <w:jc w:val="center"/>
        <w:rPr>
          <w:rFonts w:ascii="Arial" w:hAnsi="Arial" w:cs="Arial"/>
          <w:b/>
          <w:sz w:val="20"/>
          <w:szCs w:val="20"/>
        </w:rPr>
      </w:pPr>
      <w:r w:rsidRPr="009902BA">
        <w:rPr>
          <w:rFonts w:ascii="Arial" w:hAnsi="Arial" w:cs="Arial"/>
          <w:b/>
          <w:color w:val="000000" w:themeColor="text1"/>
          <w:sz w:val="20"/>
          <w:szCs w:val="20"/>
        </w:rPr>
        <w:t xml:space="preserve">AO </w:t>
      </w:r>
      <w:r w:rsidRPr="009902BA">
        <w:rPr>
          <w:rFonts w:ascii="Arial" w:hAnsi="Arial" w:cs="Arial"/>
          <w:b/>
          <w:sz w:val="20"/>
          <w:szCs w:val="20"/>
        </w:rPr>
        <w:t>SEGUNDO ADITAMENTO AO INSTRUMENTO PARTICULAR DE ESCRITURA DA 8ª (OITAVA) EMISSÃO DE DEBÊNTURES SIMPLES, NÃO CONVERSÍVEIS EM AÇÕES, EM SÉRIE ÚNICA, DA ESPÉCIE COM GARANTIA REAL, PARA DISTRIBUIÇÃO PÚBLICA, COM ESFORÇOS RESTRITOS DE COLOCAÇÃO, DA TRANSMISSORA ALIANÇA DE ENERGIA ELÉTRICA S.A.</w:t>
      </w:r>
    </w:p>
    <w:p w14:paraId="46E8B1AB" w14:textId="67F4BD71" w:rsidR="001411B2" w:rsidRPr="009902BA" w:rsidRDefault="001411B2" w:rsidP="009902BA">
      <w:pPr>
        <w:spacing w:line="288" w:lineRule="auto"/>
        <w:jc w:val="center"/>
        <w:rPr>
          <w:rFonts w:ascii="Arial" w:hAnsi="Arial" w:cs="Arial"/>
          <w:b/>
          <w:sz w:val="20"/>
          <w:szCs w:val="20"/>
        </w:rPr>
      </w:pPr>
    </w:p>
    <w:p w14:paraId="33148D77" w14:textId="2DCAAAB4" w:rsidR="001411B2" w:rsidRDefault="001411B2" w:rsidP="009902BA">
      <w:pPr>
        <w:spacing w:line="288" w:lineRule="auto"/>
        <w:jc w:val="center"/>
        <w:rPr>
          <w:rFonts w:ascii="Arial" w:hAnsi="Arial" w:cs="Arial"/>
          <w:b/>
          <w:sz w:val="20"/>
          <w:szCs w:val="20"/>
          <w:u w:val="single"/>
        </w:rPr>
      </w:pPr>
      <w:r w:rsidRPr="009902BA">
        <w:rPr>
          <w:rFonts w:ascii="Arial" w:hAnsi="Arial" w:cs="Arial"/>
          <w:b/>
          <w:sz w:val="20"/>
          <w:szCs w:val="20"/>
          <w:u w:val="single"/>
        </w:rPr>
        <w:t>CONSOLIDAÇÃO DA ESCRITURA DE EMISSÃO</w:t>
      </w:r>
    </w:p>
    <w:p w14:paraId="5303753C" w14:textId="79C1B258" w:rsidR="001411B2" w:rsidRDefault="001411B2" w:rsidP="009902BA">
      <w:pPr>
        <w:spacing w:line="288" w:lineRule="auto"/>
        <w:jc w:val="center"/>
        <w:rPr>
          <w:rFonts w:ascii="Arial" w:hAnsi="Arial" w:cs="Arial"/>
          <w:b/>
          <w:sz w:val="20"/>
          <w:szCs w:val="20"/>
          <w:u w:val="single"/>
        </w:rPr>
      </w:pPr>
    </w:p>
    <w:p w14:paraId="23076D2F" w14:textId="77777777" w:rsidR="001411B2" w:rsidRDefault="001411B2" w:rsidP="009902BA">
      <w:pPr>
        <w:spacing w:line="288" w:lineRule="auto"/>
        <w:jc w:val="center"/>
        <w:rPr>
          <w:rFonts w:ascii="Arial" w:hAnsi="Arial" w:cs="Arial"/>
          <w:i/>
          <w:sz w:val="20"/>
          <w:szCs w:val="20"/>
          <w:u w:val="single"/>
        </w:rPr>
      </w:pPr>
    </w:p>
    <w:p w14:paraId="16E3C1E6" w14:textId="687D674A" w:rsidR="001411B2" w:rsidRDefault="001411B2" w:rsidP="009902BA">
      <w:pPr>
        <w:spacing w:line="288" w:lineRule="auto"/>
        <w:jc w:val="center"/>
        <w:rPr>
          <w:rFonts w:ascii="Arial" w:hAnsi="Arial" w:cs="Arial"/>
          <w:i/>
          <w:sz w:val="20"/>
          <w:szCs w:val="20"/>
          <w:u w:val="single"/>
        </w:rPr>
      </w:pPr>
      <w:r w:rsidRPr="009902BA">
        <w:rPr>
          <w:rFonts w:ascii="Arial" w:hAnsi="Arial" w:cs="Arial"/>
          <w:i/>
          <w:sz w:val="20"/>
          <w:szCs w:val="20"/>
          <w:u w:val="single"/>
        </w:rPr>
        <w:t>(inicia-se na próxima página)</w:t>
      </w:r>
    </w:p>
    <w:p w14:paraId="2DF07E31" w14:textId="7E25DE63" w:rsidR="001411B2" w:rsidRDefault="001411B2" w:rsidP="009902BA">
      <w:pPr>
        <w:spacing w:line="288" w:lineRule="auto"/>
        <w:jc w:val="center"/>
        <w:rPr>
          <w:rFonts w:ascii="Arial" w:hAnsi="Arial" w:cs="Arial"/>
          <w:i/>
          <w:sz w:val="20"/>
          <w:szCs w:val="20"/>
          <w:u w:val="single"/>
        </w:rPr>
      </w:pPr>
    </w:p>
    <w:p w14:paraId="5ABD04D6" w14:textId="1C5962DA" w:rsidR="00883C1A" w:rsidRDefault="00883C1A">
      <w:pPr>
        <w:spacing w:after="200" w:line="276" w:lineRule="auto"/>
        <w:rPr>
          <w:rFonts w:ascii="Arial" w:hAnsi="Arial" w:cs="Arial"/>
          <w:sz w:val="20"/>
          <w:szCs w:val="20"/>
        </w:rPr>
      </w:pPr>
      <w:bookmarkStart w:id="13" w:name="_DV_M2"/>
      <w:bookmarkStart w:id="14" w:name="_DV_M3"/>
      <w:bookmarkStart w:id="15" w:name="_DV_M4"/>
      <w:bookmarkStart w:id="16" w:name="_DV_M5"/>
      <w:bookmarkStart w:id="17" w:name="_DV_M6"/>
      <w:bookmarkStart w:id="18" w:name="_DV_M7"/>
      <w:bookmarkStart w:id="19" w:name="_Toc514579916"/>
      <w:bookmarkStart w:id="20" w:name="_Toc395889975"/>
      <w:bookmarkStart w:id="21" w:name="_DV_M117"/>
      <w:bookmarkStart w:id="22" w:name="_DV_M118"/>
      <w:bookmarkStart w:id="23" w:name="_DV_M119"/>
      <w:bookmarkStart w:id="24" w:name="_DV_M139"/>
      <w:bookmarkStart w:id="25" w:name="_DV_M143"/>
      <w:bookmarkStart w:id="26" w:name="_DV_M144"/>
      <w:bookmarkStart w:id="27" w:name="_DV_M149"/>
      <w:bookmarkStart w:id="28" w:name="_DV_M150"/>
      <w:bookmarkStart w:id="29" w:name="_DV_M154"/>
      <w:bookmarkStart w:id="30" w:name="_DV_M155"/>
      <w:bookmarkStart w:id="31" w:name="_DV_M159"/>
      <w:bookmarkStart w:id="32" w:name="_DV_M161"/>
      <w:bookmarkStart w:id="33" w:name="_DV_M163"/>
      <w:bookmarkStart w:id="34" w:name="_DV_M164"/>
      <w:bookmarkStart w:id="35" w:name="_DV_M184"/>
      <w:bookmarkStart w:id="36" w:name="_DV_M115"/>
      <w:bookmarkStart w:id="37" w:name="_DV_M186"/>
      <w:bookmarkStart w:id="38" w:name="_DV_M268"/>
      <w:bookmarkStart w:id="39" w:name="_DV_M301"/>
      <w:bookmarkStart w:id="40" w:name="_DV_M188"/>
      <w:bookmarkStart w:id="41" w:name="_DV_M189"/>
      <w:bookmarkStart w:id="42" w:name="_DV_M190"/>
      <w:bookmarkStart w:id="43" w:name="_DV_M191"/>
      <w:bookmarkStart w:id="44" w:name="_DV_M194"/>
      <w:bookmarkStart w:id="45" w:name="_DV_M199"/>
      <w:bookmarkStart w:id="46" w:name="_DV_M210"/>
      <w:bookmarkStart w:id="47" w:name="_DV_M211"/>
      <w:bookmarkStart w:id="48" w:name="_DV_M76"/>
      <w:bookmarkStart w:id="49" w:name="_DV_M77"/>
      <w:bookmarkStart w:id="50" w:name="_DV_M78"/>
      <w:bookmarkStart w:id="51" w:name="_DV_M75"/>
      <w:bookmarkStart w:id="52" w:name="_DV_M79"/>
      <w:bookmarkStart w:id="53" w:name="_DV_M80"/>
      <w:bookmarkStart w:id="54" w:name="_DV_M212"/>
      <w:bookmarkStart w:id="55" w:name="_DV_M213"/>
      <w:bookmarkStart w:id="56" w:name="_DV_M214"/>
      <w:bookmarkStart w:id="57" w:name="_DV_M215"/>
      <w:bookmarkStart w:id="58" w:name="_DV_M216"/>
      <w:bookmarkStart w:id="59" w:name="_DV_M217"/>
      <w:bookmarkStart w:id="60" w:name="_DV_M218"/>
      <w:bookmarkStart w:id="61" w:name="_DV_M219"/>
      <w:bookmarkStart w:id="62" w:name="_DV_M223"/>
      <w:bookmarkStart w:id="63" w:name="_DV_M225"/>
      <w:bookmarkStart w:id="64" w:name="_DV_M230"/>
      <w:bookmarkStart w:id="65" w:name="_DV_M231"/>
      <w:bookmarkStart w:id="66" w:name="_DV_M232"/>
      <w:bookmarkStart w:id="67" w:name="_DV_M240"/>
      <w:bookmarkStart w:id="68" w:name="_DV_M241"/>
      <w:bookmarkStart w:id="69" w:name="_DV_M246"/>
      <w:bookmarkStart w:id="70" w:name="_DV_M247"/>
      <w:bookmarkStart w:id="71" w:name="_DV_M248"/>
      <w:bookmarkStart w:id="72" w:name="_DV_M249"/>
      <w:bookmarkStart w:id="73" w:name="_DV_M250"/>
      <w:bookmarkStart w:id="74" w:name="_DV_M254"/>
      <w:bookmarkStart w:id="75" w:name="_DV_M256"/>
      <w:bookmarkStart w:id="76" w:name="_DV_M257"/>
      <w:bookmarkStart w:id="77" w:name="_DV_M263"/>
      <w:bookmarkStart w:id="78" w:name="_DV_M265"/>
      <w:bookmarkStart w:id="79" w:name="_DV_M266"/>
      <w:bookmarkStart w:id="80" w:name="_DV_M267"/>
      <w:bookmarkStart w:id="81" w:name="_DV_M269"/>
      <w:bookmarkStart w:id="82" w:name="_DV_M270"/>
      <w:bookmarkStart w:id="83" w:name="_DV_M272"/>
      <w:bookmarkStart w:id="84" w:name="_DV_M273"/>
      <w:bookmarkStart w:id="85" w:name="_DV_M274"/>
      <w:bookmarkStart w:id="86" w:name="_DV_M275"/>
      <w:bookmarkStart w:id="87" w:name="_DV_M276"/>
      <w:bookmarkStart w:id="88" w:name="_DV_M277"/>
      <w:bookmarkStart w:id="89" w:name="_DV_M278"/>
      <w:bookmarkStart w:id="90" w:name="_DV_M279"/>
      <w:bookmarkStart w:id="91" w:name="_DV_M280"/>
      <w:bookmarkStart w:id="92" w:name="_DV_M281"/>
      <w:bookmarkStart w:id="93" w:name="_DV_M282"/>
      <w:bookmarkStart w:id="94" w:name="_DV_M283"/>
      <w:bookmarkStart w:id="95" w:name="_DV_M285"/>
      <w:bookmarkStart w:id="96" w:name="_DV_M286"/>
      <w:bookmarkStart w:id="97" w:name="_DV_M287"/>
      <w:bookmarkStart w:id="98" w:name="_DV_M288"/>
      <w:bookmarkStart w:id="99" w:name="_DV_M289"/>
      <w:bookmarkStart w:id="100" w:name="_DV_M291"/>
      <w:bookmarkStart w:id="101" w:name="_DV_M293"/>
      <w:bookmarkStart w:id="102" w:name="_DV_M295"/>
      <w:bookmarkStart w:id="103" w:name="_DV_M296"/>
      <w:bookmarkStart w:id="104" w:name="_DV_M298"/>
      <w:bookmarkStart w:id="105" w:name="_DV_M300"/>
      <w:bookmarkStart w:id="106" w:name="_DV_M302"/>
      <w:bookmarkStart w:id="107" w:name="_DV_M304"/>
      <w:bookmarkStart w:id="108" w:name="_DV_M306"/>
      <w:bookmarkStart w:id="109" w:name="_DV_M308"/>
      <w:bookmarkStart w:id="110" w:name="_DV_M310"/>
      <w:bookmarkStart w:id="111" w:name="_DV_M313"/>
      <w:bookmarkStart w:id="112" w:name="_DV_M315"/>
      <w:bookmarkStart w:id="113" w:name="_DV_M317"/>
      <w:bookmarkStart w:id="114" w:name="_DV_M318"/>
      <w:bookmarkStart w:id="115" w:name="_DV_M319"/>
      <w:bookmarkStart w:id="116" w:name="_DV_M320"/>
      <w:bookmarkStart w:id="117" w:name="_DV_M323"/>
      <w:bookmarkStart w:id="118" w:name="_DV_M324"/>
      <w:bookmarkStart w:id="119" w:name="_DV_M325"/>
      <w:bookmarkStart w:id="120" w:name="_DV_M326"/>
      <w:bookmarkStart w:id="121" w:name="_DV_M329"/>
      <w:bookmarkStart w:id="122" w:name="_DV_M330"/>
      <w:bookmarkStart w:id="123" w:name="_DV_M331"/>
      <w:bookmarkStart w:id="124" w:name="_DV_M338"/>
      <w:bookmarkStart w:id="125" w:name="_DV_M339"/>
      <w:bookmarkStart w:id="126" w:name="_DV_M343"/>
      <w:bookmarkStart w:id="127" w:name="_DV_M345"/>
      <w:bookmarkStart w:id="128" w:name="_DV_M346"/>
      <w:bookmarkStart w:id="129" w:name="_DV_M347"/>
      <w:bookmarkStart w:id="130" w:name="_DV_M348"/>
      <w:bookmarkStart w:id="131" w:name="_DV_M349"/>
      <w:bookmarkStart w:id="132" w:name="_DV_M353"/>
      <w:bookmarkStart w:id="133" w:name="_DV_M356"/>
      <w:bookmarkStart w:id="134" w:name="_DV_M369"/>
      <w:bookmarkStart w:id="135" w:name="_DV_M371"/>
      <w:bookmarkStart w:id="136" w:name="_DV_M373"/>
      <w:bookmarkStart w:id="137" w:name="_DV_M375"/>
      <w:bookmarkStart w:id="138" w:name="_DV_M382"/>
      <w:bookmarkStart w:id="139" w:name="_DV_M387"/>
      <w:bookmarkStart w:id="140" w:name="_DV_M389"/>
      <w:bookmarkStart w:id="141" w:name="_DV_M390"/>
      <w:bookmarkStart w:id="142" w:name="_DV_M391"/>
      <w:bookmarkStart w:id="143" w:name="_DV_M392"/>
      <w:bookmarkStart w:id="144" w:name="_DV_M393"/>
      <w:bookmarkStart w:id="145" w:name="_DV_M394"/>
      <w:bookmarkStart w:id="146" w:name="_DV_M398"/>
      <w:bookmarkStart w:id="147" w:name="_DV_M400"/>
      <w:bookmarkStart w:id="148" w:name="_DV_M401"/>
      <w:bookmarkStart w:id="149" w:name="_DV_M402"/>
      <w:bookmarkStart w:id="150" w:name="_DV_M403"/>
      <w:bookmarkStart w:id="151" w:name="_DV_M404"/>
      <w:bookmarkStart w:id="152" w:name="_DV_M405"/>
      <w:bookmarkStart w:id="153" w:name="_DV_M406"/>
      <w:bookmarkStart w:id="154" w:name="_DV_M407"/>
      <w:bookmarkStart w:id="155" w:name="_DV_M408"/>
      <w:bookmarkStart w:id="156" w:name="_DV_M410"/>
      <w:bookmarkStart w:id="157" w:name="_DV_M165"/>
      <w:bookmarkStart w:id="158" w:name="_DV_M166"/>
      <w:bookmarkStart w:id="159" w:name="_DV_M167"/>
      <w:bookmarkStart w:id="160" w:name="_DV_M168"/>
      <w:bookmarkStart w:id="161" w:name="_DV_M170"/>
      <w:bookmarkStart w:id="162" w:name="_DV_M171"/>
      <w:bookmarkStart w:id="163" w:name="_DV_M172"/>
      <w:bookmarkStart w:id="164" w:name="_DV_M173"/>
      <w:bookmarkStart w:id="165" w:name="_DV_M174"/>
      <w:bookmarkStart w:id="166" w:name="_DV_M182"/>
      <w:bookmarkStart w:id="167" w:name="_DV_M183"/>
      <w:bookmarkStart w:id="168" w:name="_DV_M412"/>
      <w:bookmarkStart w:id="169" w:name="_DV_M413"/>
      <w:bookmarkStart w:id="170" w:name="_DV_M41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Arial" w:hAnsi="Arial" w:cs="Arial"/>
          <w:sz w:val="20"/>
          <w:szCs w:val="20"/>
        </w:rPr>
        <w:br w:type="page"/>
      </w:r>
    </w:p>
    <w:p w14:paraId="2BC3F485" w14:textId="77777777" w:rsidR="00883C1A" w:rsidRDefault="00883C1A" w:rsidP="00883C1A">
      <w:pPr>
        <w:pStyle w:val="CM13"/>
        <w:spacing w:before="140" w:line="290" w:lineRule="auto"/>
        <w:jc w:val="both"/>
        <w:rPr>
          <w:rFonts w:ascii="Arial" w:hAnsi="Arial" w:cs="Arial"/>
          <w:b/>
          <w:bCs/>
          <w:color w:val="000000"/>
          <w:sz w:val="20"/>
          <w:szCs w:val="20"/>
        </w:rPr>
      </w:pPr>
    </w:p>
    <w:p w14:paraId="17886830" w14:textId="77777777" w:rsidR="00883C1A" w:rsidRPr="009E6B2F" w:rsidRDefault="00883C1A" w:rsidP="00883C1A">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Pr>
          <w:rFonts w:ascii="Arial" w:hAnsi="Arial" w:cs="Arial"/>
          <w:b/>
          <w:bCs/>
          <w:color w:val="000000"/>
          <w:sz w:val="20"/>
          <w:szCs w:val="20"/>
        </w:rPr>
        <w:t>8</w:t>
      </w:r>
      <w:r w:rsidRPr="009E6B2F">
        <w:rPr>
          <w:rFonts w:ascii="Arial" w:hAnsi="Arial" w:cs="Arial"/>
          <w:b/>
          <w:bCs/>
          <w:color w:val="000000"/>
          <w:sz w:val="20"/>
          <w:szCs w:val="20"/>
        </w:rPr>
        <w:t>ª (</w:t>
      </w:r>
      <w:r>
        <w:rPr>
          <w:rFonts w:ascii="Arial" w:hAnsi="Arial" w:cs="Arial"/>
          <w:b/>
          <w:bCs/>
          <w:color w:val="000000"/>
          <w:sz w:val="20"/>
          <w:szCs w:val="20"/>
        </w:rPr>
        <w:t>OITAVA</w:t>
      </w:r>
      <w:r w:rsidRPr="009E6B2F">
        <w:rPr>
          <w:rFonts w:ascii="Arial" w:hAnsi="Arial" w:cs="Arial"/>
          <w:b/>
          <w:bCs/>
          <w:color w:val="000000"/>
          <w:sz w:val="20"/>
          <w:szCs w:val="20"/>
        </w:rPr>
        <w:t xml:space="preserve">) EMISSÃO DE DEBÊNTURES SIMPLES, NÃO CONVERSÍVEIS EM AÇÕES, </w:t>
      </w:r>
      <w:r w:rsidRPr="00056862">
        <w:rPr>
          <w:rFonts w:ascii="Arial" w:hAnsi="Arial" w:cs="Arial"/>
          <w:b/>
          <w:bCs/>
          <w:color w:val="000000"/>
          <w:sz w:val="20"/>
          <w:szCs w:val="20"/>
        </w:rPr>
        <w:t xml:space="preserve">EM </w:t>
      </w:r>
      <w:r w:rsidRPr="00FD5FA9">
        <w:rPr>
          <w:rFonts w:ascii="Arial" w:hAnsi="Arial" w:cs="Arial"/>
          <w:b/>
          <w:bCs/>
          <w:color w:val="000000"/>
          <w:sz w:val="20"/>
          <w:szCs w:val="20"/>
        </w:rPr>
        <w:t>SÉRIE ÚNICA,</w:t>
      </w:r>
      <w:r w:rsidRPr="00AE3DF0">
        <w:rPr>
          <w:rFonts w:ascii="Arial" w:hAnsi="Arial" w:cs="Arial"/>
          <w:b/>
          <w:bCs/>
          <w:color w:val="000000"/>
          <w:sz w:val="20"/>
          <w:szCs w:val="20"/>
        </w:rPr>
        <w:t xml:space="preserve"> </w:t>
      </w:r>
      <w:r w:rsidRPr="00056862">
        <w:rPr>
          <w:rFonts w:ascii="Arial" w:hAnsi="Arial" w:cs="Arial"/>
          <w:b/>
          <w:bCs/>
          <w:color w:val="000000"/>
          <w:sz w:val="20"/>
          <w:szCs w:val="20"/>
        </w:rPr>
        <w:t>DA ESPÉCIE COM GARANTIA REAL</w:t>
      </w:r>
      <w:r w:rsidRPr="00FD5FA9">
        <w:rPr>
          <w:rFonts w:ascii="Arial" w:hAnsi="Arial" w:cs="Arial"/>
          <w:b/>
          <w:bCs/>
          <w:color w:val="000000"/>
          <w:sz w:val="20"/>
          <w:szCs w:val="20"/>
        </w:rPr>
        <w:t>,</w:t>
      </w:r>
      <w:r w:rsidRPr="00A5543D">
        <w:rPr>
          <w:rFonts w:ascii="Arial" w:hAnsi="Arial" w:cs="Arial"/>
          <w:b/>
          <w:bCs/>
          <w:color w:val="000000"/>
          <w:sz w:val="20"/>
          <w:szCs w:val="20"/>
        </w:rPr>
        <w:t xml:space="preserve"> PARA</w:t>
      </w:r>
      <w:r w:rsidRPr="009E6B2F">
        <w:rPr>
          <w:rFonts w:ascii="Arial" w:hAnsi="Arial" w:cs="Arial"/>
          <w:b/>
          <w:bCs/>
          <w:color w:val="000000"/>
          <w:sz w:val="20"/>
          <w:szCs w:val="20"/>
        </w:rPr>
        <w:t xml:space="preserve"> DISTRIBUIÇÃO PÚBLICA, </w:t>
      </w:r>
      <w:r>
        <w:rPr>
          <w:rFonts w:ascii="Arial" w:hAnsi="Arial" w:cs="Arial"/>
          <w:b/>
          <w:bCs/>
          <w:color w:val="000000"/>
          <w:sz w:val="20"/>
          <w:szCs w:val="20"/>
        </w:rPr>
        <w:t xml:space="preserve">COM ESFORÇOS RESTRITOS DE COLOCAÇÃO, </w:t>
      </w:r>
      <w:r w:rsidRPr="009E6B2F">
        <w:rPr>
          <w:rFonts w:ascii="Arial" w:hAnsi="Arial" w:cs="Arial"/>
          <w:b/>
          <w:bCs/>
          <w:color w:val="000000"/>
          <w:sz w:val="20"/>
          <w:szCs w:val="20"/>
        </w:rPr>
        <w:t xml:space="preserve">DA </w:t>
      </w:r>
      <w:r>
        <w:rPr>
          <w:rFonts w:ascii="Arial" w:hAnsi="Arial" w:cs="Arial"/>
          <w:b/>
          <w:bCs/>
          <w:color w:val="000000"/>
          <w:sz w:val="20"/>
          <w:szCs w:val="20"/>
        </w:rPr>
        <w:t>TRANSMISSORA ALIANÇA DE ENERGIA ELÉTRICA S.A.</w:t>
      </w:r>
    </w:p>
    <w:p w14:paraId="6711B30E" w14:textId="77777777" w:rsidR="00883C1A" w:rsidRPr="009E6B2F" w:rsidRDefault="00883C1A" w:rsidP="00883C1A">
      <w:pPr>
        <w:spacing w:before="140" w:line="290" w:lineRule="auto"/>
        <w:rPr>
          <w:rFonts w:ascii="Arial" w:hAnsi="Arial" w:cs="Arial"/>
          <w:sz w:val="20"/>
          <w:szCs w:val="20"/>
        </w:rPr>
      </w:pPr>
      <w:bookmarkStart w:id="171" w:name="_DV_M1"/>
      <w:bookmarkEnd w:id="171"/>
      <w:r w:rsidRPr="009E6B2F">
        <w:rPr>
          <w:rFonts w:ascii="Arial" w:hAnsi="Arial" w:cs="Arial"/>
          <w:sz w:val="20"/>
          <w:szCs w:val="20"/>
        </w:rPr>
        <w:t>Pelo presente “</w:t>
      </w:r>
      <w:r w:rsidRPr="001B78CC">
        <w:rPr>
          <w:rFonts w:ascii="Arial" w:hAnsi="Arial"/>
          <w:i/>
          <w:sz w:val="20"/>
        </w:rPr>
        <w:t xml:space="preserve">Instrumento Particular de Escritura da </w:t>
      </w:r>
      <w:r w:rsidRPr="00056862">
        <w:rPr>
          <w:rFonts w:ascii="Arial" w:hAnsi="Arial" w:cs="Arial"/>
          <w:i/>
          <w:sz w:val="20"/>
          <w:szCs w:val="20"/>
        </w:rPr>
        <w:t>8ª (Oitava</w:t>
      </w:r>
      <w:r w:rsidRPr="001B78CC">
        <w:rPr>
          <w:rFonts w:ascii="Arial" w:hAnsi="Arial"/>
          <w:i/>
          <w:sz w:val="20"/>
        </w:rPr>
        <w:t xml:space="preserve">) Emissão de Debêntures Simples, Não Conversíveis em Ações, em Série </w:t>
      </w:r>
      <w:r w:rsidRPr="00056862">
        <w:rPr>
          <w:rFonts w:ascii="Arial" w:hAnsi="Arial" w:cs="Arial"/>
          <w:i/>
          <w:sz w:val="20"/>
          <w:szCs w:val="20"/>
        </w:rPr>
        <w:t xml:space="preserve">Única, </w:t>
      </w:r>
      <w:r w:rsidRPr="001B78CC">
        <w:rPr>
          <w:rFonts w:ascii="Arial" w:hAnsi="Arial"/>
          <w:i/>
          <w:sz w:val="20"/>
        </w:rPr>
        <w:t>da Espécie Garantia Real, para Distribuição Pública, da 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2D0F1414" w14:textId="77777777" w:rsidR="00883C1A" w:rsidRDefault="00883C1A" w:rsidP="00883C1A">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3681FDA3" w14:textId="77777777" w:rsidR="00883C1A" w:rsidRPr="002445BE" w:rsidRDefault="00883C1A" w:rsidP="00883C1A">
      <w:pPr>
        <w:pStyle w:val="Parties"/>
        <w:numPr>
          <w:ilvl w:val="0"/>
          <w:numId w:val="21"/>
        </w:numPr>
        <w:spacing w:before="140"/>
      </w:pPr>
      <w:r>
        <w:rPr>
          <w:b/>
        </w:rPr>
        <w:t>TRANSMISSORA ALIANÇA DE ENERGIA ELÉTRICA S.A.</w:t>
      </w:r>
      <w:r w:rsidRPr="004752B9">
        <w:t>, sociedade por ações com registro de companhia aberta perante a Comi</w:t>
      </w:r>
      <w:r w:rsidRPr="00D82806">
        <w:t>ssão de Valores Mobiliários (“</w:t>
      </w:r>
      <w:r w:rsidRPr="00D82806">
        <w:rPr>
          <w:b/>
        </w:rPr>
        <w:t>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Cadastro Nacional da Pessoa Jurídica do Ministério da </w:t>
      </w:r>
      <w:r>
        <w:t>Economia</w:t>
      </w:r>
      <w:r w:rsidRPr="00DB6846">
        <w:t xml:space="preserve"> (“</w:t>
      </w:r>
      <w:r>
        <w:rPr>
          <w:b/>
        </w:rPr>
        <w:t>CNPJ/ME</w:t>
      </w:r>
      <w:r w:rsidRPr="004752B9">
        <w:t>”) sob o nº </w:t>
      </w:r>
      <w:r>
        <w:t>07.859.971/0001-30</w:t>
      </w:r>
      <w:r w:rsidRPr="00E1289D">
        <w:t>,</w:t>
      </w:r>
      <w:r>
        <w:t xml:space="preserve"> com seus atos constitutivos devidamente arquivados na Junta Comercial do Estado do Rio de Janeiro (“</w:t>
      </w:r>
      <w:r w:rsidRPr="00040543">
        <w:rPr>
          <w:b/>
        </w:rPr>
        <w:t>JUCE</w:t>
      </w:r>
      <w:r>
        <w:rPr>
          <w:b/>
        </w:rPr>
        <w:t>RJA</w:t>
      </w:r>
      <w:r>
        <w:t xml:space="preserve">”)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e identificado(s) na página de assinaturas do presente instrumento, na forma do seu estatuto social</w:t>
      </w:r>
      <w:r w:rsidRPr="0026260D">
        <w:t xml:space="preserve"> (“</w:t>
      </w:r>
      <w:r w:rsidRPr="00D73FB9">
        <w:rPr>
          <w:b/>
        </w:rPr>
        <w:t>Emissora</w:t>
      </w:r>
      <w:r w:rsidRPr="002445BE">
        <w:t>”); e</w:t>
      </w:r>
    </w:p>
    <w:p w14:paraId="33EC1CCC" w14:textId="77777777" w:rsidR="00883C1A" w:rsidRPr="009E6B2F" w:rsidRDefault="00883C1A" w:rsidP="00883C1A">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 (conforme abaixo definidos):</w:t>
      </w:r>
    </w:p>
    <w:p w14:paraId="04199C00" w14:textId="77777777" w:rsidR="00883C1A" w:rsidRPr="00EC0049" w:rsidRDefault="00883C1A" w:rsidP="00883C1A">
      <w:pPr>
        <w:pStyle w:val="Parties"/>
        <w:numPr>
          <w:ilvl w:val="0"/>
          <w:numId w:val="21"/>
        </w:numPr>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9E6B2F">
        <w:t xml:space="preserve"> (“</w:t>
      </w:r>
      <w:r w:rsidRPr="00EC0049">
        <w:rPr>
          <w:b/>
        </w:rPr>
        <w:t>Agente Fiduciário</w:t>
      </w:r>
      <w:r>
        <w:t xml:space="preserve">” </w:t>
      </w:r>
      <w:r w:rsidRPr="00EC0049">
        <w:t>sendo, a Emissora e o Agente Fiduciário doravante designados, em conjunto, como “</w:t>
      </w:r>
      <w:r w:rsidRPr="00EC0049">
        <w:rPr>
          <w:b/>
        </w:rPr>
        <w:t>Partes</w:t>
      </w:r>
      <w:r w:rsidRPr="00EC0049">
        <w:t>” e, individual e indistintamente, como “</w:t>
      </w:r>
      <w:r w:rsidRPr="00EC0049">
        <w:rPr>
          <w:b/>
        </w:rPr>
        <w:t>Parte</w:t>
      </w:r>
      <w:r w:rsidRPr="00EC0049">
        <w:t>”</w:t>
      </w:r>
      <w:r>
        <w:t>)</w:t>
      </w:r>
    </w:p>
    <w:p w14:paraId="65824FF7" w14:textId="77777777" w:rsidR="00883C1A" w:rsidRPr="009E6B2F" w:rsidRDefault="00883C1A" w:rsidP="00883C1A">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p>
    <w:p w14:paraId="534297C3" w14:textId="77777777" w:rsidR="00883C1A" w:rsidRPr="009E6B2F" w:rsidRDefault="00883C1A" w:rsidP="00883C1A">
      <w:pPr>
        <w:pStyle w:val="Level1"/>
        <w:keepLines w:val="0"/>
        <w:numPr>
          <w:ilvl w:val="0"/>
          <w:numId w:val="11"/>
        </w:numPr>
        <w:autoSpaceDE w:val="0"/>
        <w:autoSpaceDN w:val="0"/>
        <w:adjustRightInd w:val="0"/>
      </w:pPr>
      <w:bookmarkStart w:id="172" w:name="_DV_M8"/>
      <w:bookmarkEnd w:id="172"/>
      <w:r>
        <w:t>AUTORIZAÇÃO</w:t>
      </w:r>
    </w:p>
    <w:p w14:paraId="3CC4F64C" w14:textId="77777777" w:rsidR="00883C1A" w:rsidRPr="00CE03EB" w:rsidRDefault="00883C1A" w:rsidP="00883C1A">
      <w:pPr>
        <w:pStyle w:val="Level2"/>
        <w:numPr>
          <w:ilvl w:val="1"/>
          <w:numId w:val="11"/>
        </w:numPr>
        <w:rPr>
          <w:rFonts w:cs="Arial"/>
          <w:szCs w:val="20"/>
        </w:rPr>
      </w:pPr>
      <w:bookmarkStart w:id="173" w:name="_DV_M9"/>
      <w:bookmarkEnd w:id="173"/>
      <w:r w:rsidRPr="00CE03EB">
        <w:t>A presente Escritura de Emissão é celebrada com base nas deliberações tomadas pe</w:t>
      </w:r>
      <w:r>
        <w:t>lo</w:t>
      </w:r>
      <w:r w:rsidRPr="00CE03EB">
        <w:t xml:space="preserve"> </w:t>
      </w:r>
      <w:r>
        <w:t>Conselho de Administração</w:t>
      </w:r>
      <w:r w:rsidRPr="00CE03EB">
        <w:t xml:space="preserve"> da Emissora, em reunião realizada em </w:t>
      </w:r>
      <w:r w:rsidRPr="00AC4925">
        <w:t xml:space="preserve">13 </w:t>
      </w:r>
      <w:r w:rsidRPr="0041113F">
        <w:t>de dezembro</w:t>
      </w:r>
      <w:r w:rsidRPr="00CE03EB">
        <w:t xml:space="preserve"> de </w:t>
      </w:r>
      <w:r w:rsidRPr="00125E03">
        <w:t>2019</w:t>
      </w:r>
      <w:r w:rsidRPr="00CE03EB">
        <w:t xml:space="preserve"> (“</w:t>
      </w:r>
      <w:r>
        <w:rPr>
          <w:b/>
        </w:rPr>
        <w:t>RCA de Emissão</w:t>
      </w:r>
      <w:r w:rsidRPr="00CE03EB">
        <w:t>”)</w:t>
      </w:r>
      <w:r>
        <w:t xml:space="preserve">, </w:t>
      </w:r>
      <w:r w:rsidRPr="00CE03EB">
        <w:t>na qua</w:t>
      </w:r>
      <w:r>
        <w:t>l</w:t>
      </w:r>
      <w:r w:rsidRPr="00CE03EB">
        <w:t xml:space="preserve"> fo</w:t>
      </w:r>
      <w:r>
        <w:t>i</w:t>
      </w:r>
      <w:r w:rsidRPr="00CE03EB">
        <w:t xml:space="preserve"> deliberado e aprovado os termos e condições da </w:t>
      </w:r>
      <w:r>
        <w:t>8</w:t>
      </w:r>
      <w:r w:rsidRPr="00CE03EB">
        <w:t>ª (</w:t>
      </w:r>
      <w:r w:rsidRPr="00FD5FA9">
        <w:t>oitava</w:t>
      </w:r>
      <w:r w:rsidRPr="00050C51">
        <w:t>) emissão (“</w:t>
      </w:r>
      <w:r w:rsidRPr="00050C51">
        <w:rPr>
          <w:b/>
        </w:rPr>
        <w:t>Emissão</w:t>
      </w:r>
      <w:r w:rsidRPr="00050C51">
        <w:t xml:space="preserve">”) de debêntures simples, não conversíveis em ações, em </w:t>
      </w:r>
      <w:r w:rsidRPr="00056862">
        <w:t>série única,</w:t>
      </w:r>
      <w:r w:rsidRPr="00FD5FA9">
        <w:rPr>
          <w:rFonts w:cs="Arial"/>
          <w:szCs w:val="20"/>
        </w:rPr>
        <w:t xml:space="preserve"> da espécie </w:t>
      </w:r>
      <w:r w:rsidRPr="00050C51">
        <w:rPr>
          <w:rFonts w:cs="Arial"/>
          <w:szCs w:val="20"/>
        </w:rPr>
        <w:t>com garantia real,</w:t>
      </w:r>
      <w:r w:rsidRPr="00050C51">
        <w:t xml:space="preserve"> da</w:t>
      </w:r>
      <w:r w:rsidRPr="00CE03EB">
        <w:t xml:space="preserve"> Emissora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w:t>
      </w:r>
    </w:p>
    <w:p w14:paraId="6B298F02" w14:textId="77777777" w:rsidR="00883C1A" w:rsidRPr="00946006" w:rsidRDefault="00883C1A" w:rsidP="00883C1A">
      <w:pPr>
        <w:pStyle w:val="Level2"/>
        <w:numPr>
          <w:ilvl w:val="1"/>
          <w:numId w:val="11"/>
        </w:numPr>
        <w:spacing w:before="140" w:after="0"/>
        <w:rPr>
          <w:rFonts w:cs="Arial"/>
          <w:caps/>
        </w:rPr>
      </w:pPr>
      <w:r w:rsidRPr="009E6B2F">
        <w:rPr>
          <w:rFonts w:cs="Arial"/>
        </w:rPr>
        <w:t xml:space="preserve">A </w:t>
      </w:r>
      <w:r>
        <w:rPr>
          <w:rFonts w:cs="Arial"/>
        </w:rPr>
        <w:t>RCA de Emissão aprovou, conforme o caso</w:t>
      </w:r>
      <w:r w:rsidRPr="009E6B2F">
        <w:rPr>
          <w:rFonts w:cs="Arial"/>
        </w:rPr>
        <w:t xml:space="preserve">, dentre outras características da Emissão e da </w:t>
      </w:r>
      <w:r w:rsidRPr="00AE3DF0">
        <w:rPr>
          <w:rFonts w:cs="Arial"/>
        </w:rPr>
        <w:t xml:space="preserve">Oferta, </w:t>
      </w:r>
      <w:r w:rsidRPr="00AE3DF0">
        <w:rPr>
          <w:rFonts w:cs="Arial"/>
          <w:b/>
        </w:rPr>
        <w:t>(i)</w:t>
      </w:r>
      <w:r w:rsidRPr="00AE3DF0">
        <w:rPr>
          <w:rFonts w:cs="Arial"/>
        </w:rPr>
        <w:t xml:space="preserve"> a taxa máxima da Remuneração das Debêntures (conforme definida abaixo), </w:t>
      </w:r>
      <w:r w:rsidRPr="00AE3DF0">
        <w:rPr>
          <w:rFonts w:cs="Arial"/>
          <w:b/>
        </w:rPr>
        <w:t>(</w:t>
      </w:r>
      <w:proofErr w:type="spellStart"/>
      <w:r w:rsidRPr="00AE3DF0">
        <w:rPr>
          <w:rFonts w:cs="Arial"/>
          <w:b/>
        </w:rPr>
        <w:t>ii</w:t>
      </w:r>
      <w:proofErr w:type="spellEnd"/>
      <w:r w:rsidRPr="00AE3DF0">
        <w:rPr>
          <w:rFonts w:cs="Arial"/>
          <w:b/>
        </w:rPr>
        <w:t>)</w:t>
      </w:r>
      <w:r w:rsidRPr="00AE3DF0">
        <w:rPr>
          <w:rFonts w:cs="Arial"/>
        </w:rPr>
        <w:t xml:space="preserve"> a constituição </w:t>
      </w:r>
      <w:r>
        <w:rPr>
          <w:rFonts w:cs="Arial"/>
        </w:rPr>
        <w:t xml:space="preserve">da </w:t>
      </w:r>
      <w:r>
        <w:t xml:space="preserve">Alienação Fiduciária da Ações e da Cessão Fiduciária </w:t>
      </w:r>
      <w:r>
        <w:rPr>
          <w:rFonts w:cs="Arial"/>
        </w:rPr>
        <w:t xml:space="preserve">pela Emissora, conforme aplicável, bem como a celebração dos respectivos Contratos de Garantia (conforme abaixo definido), </w:t>
      </w:r>
      <w:r w:rsidRPr="00ED4800">
        <w:rPr>
          <w:rFonts w:cs="Arial"/>
          <w:b/>
        </w:rPr>
        <w:t>(</w:t>
      </w:r>
      <w:proofErr w:type="spellStart"/>
      <w:r w:rsidRPr="00ED4800">
        <w:rPr>
          <w:rFonts w:cs="Arial"/>
          <w:b/>
        </w:rPr>
        <w:t>iii</w:t>
      </w:r>
      <w:proofErr w:type="spellEnd"/>
      <w:r w:rsidRPr="00ED4800">
        <w:rPr>
          <w:rFonts w:cs="Arial"/>
          <w:b/>
        </w:rPr>
        <w:t>)</w:t>
      </w:r>
      <w:r>
        <w:rPr>
          <w:rFonts w:cs="Arial"/>
        </w:rPr>
        <w:t xml:space="preserve"> a autorização à Diretoria</w:t>
      </w:r>
      <w:r w:rsidRPr="009E6B2F">
        <w:rPr>
          <w:rFonts w:cs="Arial"/>
        </w:rPr>
        <w:t xml:space="preserve"> da Emissora a </w:t>
      </w:r>
      <w:r w:rsidRPr="009E6B2F">
        <w:t xml:space="preserve">(a) </w:t>
      </w:r>
      <w:r w:rsidRPr="009E6B2F">
        <w:rPr>
          <w:rFonts w:cs="Arial"/>
        </w:rPr>
        <w:t xml:space="preserve">praticar todos os atos necessários para efetivar as deliberações lá consubstanciadas, podendo, inclusive, celebrar o aditamento a esta Escritura de Emissão de forma a prever a </w:t>
      </w:r>
      <w:r w:rsidRPr="002C68B7">
        <w:rPr>
          <w:rFonts w:cs="Arial"/>
        </w:rPr>
        <w:t xml:space="preserve">taxa final da Remuneração </w:t>
      </w:r>
      <w:r w:rsidRPr="00056862">
        <w:rPr>
          <w:rFonts w:cs="Arial"/>
        </w:rPr>
        <w:t>das Debêntures</w:t>
      </w:r>
      <w:r w:rsidRPr="002C68B7">
        <w:rPr>
          <w:rFonts w:cs="Arial"/>
        </w:rPr>
        <w:t xml:space="preserve">, de acordo com o resultado do Procedimento de </w:t>
      </w:r>
      <w:proofErr w:type="spellStart"/>
      <w:r w:rsidRPr="002C68B7">
        <w:rPr>
          <w:rFonts w:cs="Arial"/>
          <w:i/>
        </w:rPr>
        <w:t>Bookbuilding</w:t>
      </w:r>
      <w:proofErr w:type="spellEnd"/>
      <w:r w:rsidRPr="009E6B2F">
        <w:t xml:space="preserve"> e (b) formaliza</w:t>
      </w:r>
      <w:r>
        <w:t>r</w:t>
      </w:r>
      <w:r w:rsidRPr="009E6B2F">
        <w:t xml:space="preserve"> e efetiva</w:t>
      </w:r>
      <w:r>
        <w:t>r</w:t>
      </w:r>
      <w:r w:rsidRPr="009E6B2F">
        <w:t xml:space="preserve"> a contratação </w:t>
      </w:r>
      <w:r>
        <w:t xml:space="preserve">do </w:t>
      </w:r>
      <w:r>
        <w:rPr>
          <w:szCs w:val="20"/>
        </w:rPr>
        <w:t>Coordenador Líder</w:t>
      </w:r>
      <w:r w:rsidRPr="00E0190C">
        <w:t xml:space="preserve"> (conforme abaixo definido)</w:t>
      </w:r>
      <w:r w:rsidRPr="009E6B2F">
        <w:t xml:space="preserve">, </w:t>
      </w:r>
      <w:r>
        <w:t xml:space="preserve">do Agente Fiduciário, </w:t>
      </w:r>
      <w:r w:rsidRPr="009E6B2F">
        <w:t xml:space="preserve">dos assessores legais e dos prestadores de serviços necessários à implementação da Emissão e da Oferta, tais como </w:t>
      </w:r>
      <w:proofErr w:type="spellStart"/>
      <w:r w:rsidRPr="009E6B2F">
        <w:t>Escriturador</w:t>
      </w:r>
      <w:proofErr w:type="spellEnd"/>
      <w:r w:rsidRPr="009E6B2F">
        <w:t xml:space="preserve"> (conforme abaixo definido), Banco Liquidante (conforme abaixo definido),</w:t>
      </w:r>
      <w:r>
        <w:t xml:space="preserve"> a</w:t>
      </w:r>
      <w:r w:rsidRPr="009E6B2F">
        <w:t xml:space="preserve"> </w:t>
      </w:r>
      <w:r>
        <w:t xml:space="preserve">B3 S.A. – Brasil, Bolsa, Balcão – Segmento </w:t>
      </w:r>
      <w:proofErr w:type="spellStart"/>
      <w:r>
        <w:t>Cetip</w:t>
      </w:r>
      <w:proofErr w:type="spellEnd"/>
      <w:r>
        <w:t xml:space="preserve"> UTVM (“</w:t>
      </w:r>
      <w:r w:rsidRPr="00662569">
        <w:rPr>
          <w:b/>
        </w:rPr>
        <w:t xml:space="preserve">B3 – Segmento </w:t>
      </w:r>
      <w:proofErr w:type="spellStart"/>
      <w:r w:rsidRPr="00662569">
        <w:rPr>
          <w:b/>
        </w:rPr>
        <w:t>Cetip</w:t>
      </w:r>
      <w:proofErr w:type="spellEnd"/>
      <w:r w:rsidRPr="00662569">
        <w:rPr>
          <w:b/>
        </w:rPr>
        <w:t xml:space="preserve"> UTVM</w:t>
      </w:r>
      <w:r>
        <w:t>”)</w:t>
      </w:r>
      <w:r w:rsidRPr="009E6B2F">
        <w:t xml:space="preserve">, </w:t>
      </w:r>
      <w:r>
        <w:t>d</w:t>
      </w:r>
      <w:r w:rsidRPr="009E6B2F">
        <w:t>entre outros, podendo, para tanto, negociar e assinar os respectivos instrumentos de contratação e eventuais alterações em aditamentos.</w:t>
      </w:r>
      <w:bookmarkStart w:id="174" w:name="_DV_M10"/>
      <w:bookmarkEnd w:id="174"/>
    </w:p>
    <w:p w14:paraId="346031EB" w14:textId="77777777" w:rsidR="00883C1A" w:rsidRPr="00757FB6" w:rsidRDefault="00883C1A" w:rsidP="00883C1A">
      <w:pPr>
        <w:pStyle w:val="Level2"/>
        <w:numPr>
          <w:ilvl w:val="1"/>
          <w:numId w:val="11"/>
        </w:numPr>
        <w:spacing w:before="140" w:after="0"/>
        <w:rPr>
          <w:rFonts w:cs="Arial"/>
          <w:caps/>
        </w:rPr>
      </w:pPr>
      <w:r w:rsidRPr="00B24079">
        <w:t>A constituiç</w:t>
      </w:r>
      <w:r>
        <w:t>ão da Cessão Fiduciária foi aprovada em</w:t>
      </w:r>
      <w:r w:rsidRPr="00B24079">
        <w:t xml:space="preserve"> </w:t>
      </w:r>
      <w:r w:rsidRPr="00BF311A">
        <w:t>Assembleia Geral Extraordinária</w:t>
      </w:r>
      <w:r w:rsidRPr="00B24079">
        <w:t xml:space="preserve"> de acionistas </w:t>
      </w:r>
      <w:r w:rsidRPr="00FD5FA9">
        <w:t xml:space="preserve">da </w:t>
      </w:r>
      <w:r w:rsidRPr="00050C51">
        <w:t>Sant’</w:t>
      </w:r>
      <w:r>
        <w:t>A</w:t>
      </w:r>
      <w:r w:rsidRPr="00050C51">
        <w:t xml:space="preserve">na Transmissora de Energia S.A., </w:t>
      </w:r>
      <w:r w:rsidRPr="0041113F">
        <w:t xml:space="preserve">realizada em </w:t>
      </w:r>
      <w:r w:rsidRPr="00AC4925">
        <w:t xml:space="preserve">13 </w:t>
      </w:r>
      <w:r w:rsidRPr="0041113F">
        <w:t>de dezembro</w:t>
      </w:r>
      <w:r w:rsidRPr="00B24079">
        <w:t xml:space="preserve"> de 2019 (“</w:t>
      </w:r>
      <w:r w:rsidRPr="00BF311A">
        <w:rPr>
          <w:b/>
        </w:rPr>
        <w:t>AGE</w:t>
      </w:r>
      <w:r w:rsidRPr="00B24079">
        <w:rPr>
          <w:b/>
        </w:rPr>
        <w:t xml:space="preserve"> </w:t>
      </w:r>
      <w:r>
        <w:rPr>
          <w:b/>
        </w:rPr>
        <w:t>Sant’Ana</w:t>
      </w:r>
      <w:r w:rsidRPr="00B24079">
        <w:t>”</w:t>
      </w:r>
      <w:r>
        <w:t xml:space="preserve"> e, em conjunto com a RCA de Emissão, “</w:t>
      </w:r>
      <w:r w:rsidRPr="00056862">
        <w:rPr>
          <w:b/>
        </w:rPr>
        <w:t>Aprovações Societári</w:t>
      </w:r>
      <w:r>
        <w:rPr>
          <w:b/>
        </w:rPr>
        <w:t>a</w:t>
      </w:r>
      <w:r w:rsidRPr="00056862">
        <w:rPr>
          <w:b/>
        </w:rPr>
        <w:t>s</w:t>
      </w:r>
      <w:r>
        <w:t>”</w:t>
      </w:r>
      <w:r w:rsidRPr="00B24079">
        <w:t>)</w:t>
      </w:r>
      <w:r>
        <w:t>.</w:t>
      </w:r>
    </w:p>
    <w:p w14:paraId="6967D751" w14:textId="77777777" w:rsidR="00883C1A" w:rsidRPr="00AD334D" w:rsidRDefault="00883C1A" w:rsidP="00883C1A">
      <w:pPr>
        <w:pStyle w:val="Level2"/>
        <w:numPr>
          <w:ilvl w:val="1"/>
          <w:numId w:val="11"/>
        </w:numPr>
        <w:spacing w:before="140" w:after="0"/>
        <w:rPr>
          <w:rFonts w:cs="Arial"/>
          <w:caps/>
        </w:rPr>
      </w:pPr>
      <w:r w:rsidRPr="00AD334D">
        <w:t xml:space="preserve">A Emissora deverá entregar ao Agente Fiduciário 1 (uma) via eletrônica (formato </w:t>
      </w:r>
      <w:proofErr w:type="spellStart"/>
      <w:r w:rsidRPr="00AD334D">
        <w:t>pdf</w:t>
      </w:r>
      <w:proofErr w:type="spellEnd"/>
      <w:r w:rsidRPr="00AD334D">
        <w:t>), contendo a chancela digital da JUCERJA, das Aprovações Societárias, no prazo de até 5 (cinco) Dias Úteis (conforme abaixo definidos) contados da data do efetivo registro.</w:t>
      </w:r>
    </w:p>
    <w:p w14:paraId="4FBC1B30" w14:textId="77777777" w:rsidR="00883C1A" w:rsidRPr="009E6B2F" w:rsidRDefault="00883C1A" w:rsidP="00883C1A">
      <w:pPr>
        <w:pStyle w:val="Level1"/>
        <w:keepLines w:val="0"/>
        <w:numPr>
          <w:ilvl w:val="0"/>
          <w:numId w:val="11"/>
        </w:numPr>
        <w:autoSpaceDE w:val="0"/>
        <w:autoSpaceDN w:val="0"/>
        <w:adjustRightInd w:val="0"/>
      </w:pPr>
      <w:bookmarkStart w:id="175" w:name="_Ref475089583"/>
      <w:r w:rsidRPr="009E6B2F">
        <w:t>REQUISITOS</w:t>
      </w:r>
      <w:bookmarkEnd w:id="175"/>
    </w:p>
    <w:p w14:paraId="7E6BD554" w14:textId="77777777" w:rsidR="00883C1A" w:rsidRPr="009E6B2F" w:rsidRDefault="00883C1A" w:rsidP="00883C1A">
      <w:pPr>
        <w:pStyle w:val="Level2"/>
        <w:numPr>
          <w:ilvl w:val="0"/>
          <w:numId w:val="0"/>
        </w:numPr>
        <w:spacing w:before="140" w:after="0"/>
      </w:pPr>
      <w:bookmarkStart w:id="176" w:name="_DV_M11"/>
      <w:bookmarkEnd w:id="176"/>
      <w:r w:rsidRPr="009E6B2F">
        <w:t>A Emissão e a Oferta serão realizadas com observância dos seguintes requisitos:</w:t>
      </w:r>
    </w:p>
    <w:p w14:paraId="09E3F001" w14:textId="77777777" w:rsidR="00883C1A" w:rsidRPr="009E6B2F" w:rsidRDefault="00883C1A" w:rsidP="00883C1A">
      <w:pPr>
        <w:pStyle w:val="Level2"/>
        <w:numPr>
          <w:ilvl w:val="1"/>
          <w:numId w:val="11"/>
        </w:numPr>
        <w:spacing w:before="140" w:after="0"/>
        <w:rPr>
          <w:rFonts w:cs="Arial"/>
          <w:b/>
        </w:rPr>
      </w:pPr>
      <w:bookmarkStart w:id="177" w:name="_DV_M12"/>
      <w:bookmarkStart w:id="178" w:name="_DV_M13"/>
      <w:bookmarkStart w:id="179" w:name="_DV_M14"/>
      <w:bookmarkStart w:id="180" w:name="_DV_M15"/>
      <w:bookmarkEnd w:id="177"/>
      <w:bookmarkEnd w:id="178"/>
      <w:bookmarkEnd w:id="179"/>
      <w:bookmarkEnd w:id="180"/>
      <w:r w:rsidRPr="009E6B2F">
        <w:rPr>
          <w:rFonts w:cs="Arial"/>
          <w:b/>
        </w:rPr>
        <w:t>Arquivamento e Publicação da</w:t>
      </w:r>
      <w:r>
        <w:rPr>
          <w:rFonts w:cs="Arial"/>
          <w:b/>
        </w:rPr>
        <w:t>s</w:t>
      </w:r>
      <w:r w:rsidRPr="009E6B2F">
        <w:rPr>
          <w:rFonts w:cs="Arial"/>
          <w:b/>
        </w:rPr>
        <w:t xml:space="preserve"> </w:t>
      </w:r>
      <w:r>
        <w:rPr>
          <w:rFonts w:cs="Arial"/>
          <w:b/>
        </w:rPr>
        <w:t>Aprovações Societários</w:t>
      </w:r>
    </w:p>
    <w:p w14:paraId="087B0CD7" w14:textId="77777777" w:rsidR="00883C1A" w:rsidRDefault="00883C1A" w:rsidP="00883C1A">
      <w:pPr>
        <w:pStyle w:val="Level3"/>
        <w:numPr>
          <w:ilvl w:val="2"/>
          <w:numId w:val="11"/>
        </w:numPr>
        <w:spacing w:before="140"/>
        <w:ind w:left="1360"/>
        <w:rPr>
          <w:lang w:val="pt-BR"/>
        </w:rPr>
      </w:pPr>
      <w:bookmarkStart w:id="181" w:name="_DV_M16"/>
      <w:bookmarkEnd w:id="181"/>
      <w:r w:rsidRPr="007A2427">
        <w:rPr>
          <w:lang w:val="pt-BR"/>
        </w:rPr>
        <w:t>A ata da RCA</w:t>
      </w:r>
      <w:r>
        <w:rPr>
          <w:lang w:val="pt-BR"/>
        </w:rPr>
        <w:t xml:space="preserve"> </w:t>
      </w:r>
      <w:r w:rsidRPr="002171BB">
        <w:rPr>
          <w:lang w:val="pt-BR"/>
        </w:rPr>
        <w:t xml:space="preserve">de Emissão </w:t>
      </w:r>
      <w:r>
        <w:rPr>
          <w:lang w:val="pt-BR"/>
        </w:rPr>
        <w:t>foi</w:t>
      </w:r>
      <w:r w:rsidRPr="002171BB">
        <w:rPr>
          <w:lang w:val="pt-BR"/>
        </w:rPr>
        <w:t xml:space="preserve"> arquivada na JUCERJA</w:t>
      </w:r>
      <w:r w:rsidRPr="002171BB">
        <w:rPr>
          <w:rFonts w:eastAsia="Calibri"/>
          <w:lang w:val="pt-BR"/>
        </w:rPr>
        <w:t xml:space="preserve"> </w:t>
      </w:r>
      <w:bookmarkStart w:id="182" w:name="_DV_M17"/>
      <w:bookmarkStart w:id="183" w:name="_DV_M18"/>
      <w:bookmarkEnd w:id="182"/>
      <w:bookmarkEnd w:id="183"/>
      <w:r w:rsidRPr="0006066C">
        <w:rPr>
          <w:rFonts w:eastAsia="Calibri"/>
          <w:i/>
          <w:lang w:val="pt-BR"/>
        </w:rPr>
        <w:t xml:space="preserve">em 18 de dezembro de 2019 sob o nº 00003825509 </w:t>
      </w:r>
      <w:r w:rsidRPr="002171BB">
        <w:rPr>
          <w:lang w:val="pt-BR"/>
        </w:rPr>
        <w:t>e publicada</w:t>
      </w:r>
      <w:r w:rsidRPr="007A2427">
        <w:rPr>
          <w:lang w:val="pt-BR"/>
        </w:rPr>
        <w:t xml:space="preserve"> no </w:t>
      </w:r>
      <w:r w:rsidRPr="007A2427">
        <w:rPr>
          <w:b/>
          <w:lang w:val="pt-BR"/>
        </w:rPr>
        <w:t>(i)</w:t>
      </w:r>
      <w:r w:rsidRPr="007A2427">
        <w:rPr>
          <w:lang w:val="pt-BR"/>
        </w:rPr>
        <w:t xml:space="preserve"> Diário Oficial do Estado do Rio de Janeiro (“</w:t>
      </w:r>
      <w:r w:rsidRPr="007A2427">
        <w:rPr>
          <w:b/>
          <w:lang w:val="pt-BR"/>
        </w:rPr>
        <w:t>DOERJ</w:t>
      </w:r>
      <w:r w:rsidRPr="007A2427">
        <w:rPr>
          <w:lang w:val="pt-BR"/>
        </w:rPr>
        <w:t xml:space="preserve">”) e </w:t>
      </w:r>
      <w:r w:rsidRPr="007A2427">
        <w:rPr>
          <w:b/>
          <w:lang w:val="pt-BR"/>
        </w:rPr>
        <w:t>(</w:t>
      </w:r>
      <w:proofErr w:type="spellStart"/>
      <w:r w:rsidRPr="007A2427">
        <w:rPr>
          <w:b/>
          <w:lang w:val="pt-BR"/>
        </w:rPr>
        <w:t>ii</w:t>
      </w:r>
      <w:proofErr w:type="spellEnd"/>
      <w:r w:rsidRPr="007A2427">
        <w:rPr>
          <w:b/>
          <w:lang w:val="pt-BR"/>
        </w:rPr>
        <w:t>)</w:t>
      </w:r>
      <w:r w:rsidRPr="007A2427">
        <w:rPr>
          <w:lang w:val="pt-BR"/>
        </w:rPr>
        <w:t xml:space="preserve"> no jornal “</w:t>
      </w:r>
      <w:r w:rsidRPr="007A2427">
        <w:rPr>
          <w:color w:val="000000"/>
          <w:lang w:val="pt-BR"/>
        </w:rPr>
        <w:t>Valor”</w:t>
      </w:r>
      <w:r>
        <w:rPr>
          <w:lang w:val="pt-BR"/>
        </w:rPr>
        <w:t>,</w:t>
      </w:r>
      <w:r w:rsidRPr="007A2427">
        <w:rPr>
          <w:lang w:val="pt-BR"/>
        </w:rPr>
        <w:t xml:space="preserve"> </w:t>
      </w:r>
      <w:r w:rsidRPr="0006066C">
        <w:rPr>
          <w:i/>
          <w:lang w:val="pt-BR"/>
        </w:rPr>
        <w:t xml:space="preserve">em 19 de dezembro de 2019,  </w:t>
      </w:r>
      <w:r w:rsidRPr="007A2427">
        <w:rPr>
          <w:lang w:val="pt-BR"/>
        </w:rPr>
        <w:t xml:space="preserve">em atendimento ao disposto no inciso I do artigo 62 e no artigo 289 da Lei das Sociedades por Ações. </w:t>
      </w:r>
    </w:p>
    <w:p w14:paraId="73A8499A" w14:textId="77777777" w:rsidR="00883C1A" w:rsidRPr="007A2427" w:rsidRDefault="00883C1A" w:rsidP="00883C1A">
      <w:pPr>
        <w:pStyle w:val="Level3"/>
        <w:numPr>
          <w:ilvl w:val="2"/>
          <w:numId w:val="11"/>
        </w:numPr>
        <w:spacing w:before="140"/>
        <w:ind w:left="1360"/>
        <w:rPr>
          <w:lang w:val="pt-BR"/>
        </w:rPr>
      </w:pPr>
      <w:r w:rsidRPr="007A2427">
        <w:rPr>
          <w:lang w:val="pt-BR"/>
        </w:rPr>
        <w:t xml:space="preserve">A ata da </w:t>
      </w:r>
      <w:r>
        <w:rPr>
          <w:lang w:val="pt-BR"/>
        </w:rPr>
        <w:t xml:space="preserve">AGE </w:t>
      </w:r>
      <w:r w:rsidRPr="000A23BA">
        <w:rPr>
          <w:lang w:val="pt-BR"/>
        </w:rPr>
        <w:t xml:space="preserve">Sant’Ana </w:t>
      </w:r>
      <w:r>
        <w:rPr>
          <w:lang w:val="pt-BR"/>
        </w:rPr>
        <w:t>foi</w:t>
      </w:r>
      <w:r w:rsidRPr="000A23BA">
        <w:rPr>
          <w:lang w:val="pt-BR"/>
        </w:rPr>
        <w:t xml:space="preserve"> arquivada na JUCERJA</w:t>
      </w:r>
      <w:r w:rsidRPr="000A23BA">
        <w:rPr>
          <w:rFonts w:eastAsia="Calibri"/>
          <w:lang w:val="pt-BR"/>
        </w:rPr>
        <w:t xml:space="preserve"> </w:t>
      </w:r>
      <w:r>
        <w:rPr>
          <w:rFonts w:eastAsia="Calibri"/>
          <w:lang w:val="pt-BR"/>
        </w:rPr>
        <w:t xml:space="preserve">em 18 de dezembro de 2019 sob o nº 00003825780 </w:t>
      </w:r>
      <w:r w:rsidRPr="000A23BA">
        <w:rPr>
          <w:lang w:val="pt-BR"/>
        </w:rPr>
        <w:t xml:space="preserve">e publicada no </w:t>
      </w:r>
      <w:r w:rsidRPr="000A23BA">
        <w:rPr>
          <w:b/>
          <w:lang w:val="pt-BR"/>
        </w:rPr>
        <w:t>(i)</w:t>
      </w:r>
      <w:r w:rsidRPr="000A23BA">
        <w:rPr>
          <w:lang w:val="pt-BR"/>
        </w:rPr>
        <w:t xml:space="preserve"> DOERJ e </w:t>
      </w:r>
      <w:r w:rsidRPr="000A23BA">
        <w:rPr>
          <w:b/>
          <w:lang w:val="pt-BR"/>
        </w:rPr>
        <w:t>(</w:t>
      </w:r>
      <w:proofErr w:type="spellStart"/>
      <w:r w:rsidRPr="000A23BA">
        <w:rPr>
          <w:b/>
          <w:lang w:val="pt-BR"/>
        </w:rPr>
        <w:t>ii</w:t>
      </w:r>
      <w:proofErr w:type="spellEnd"/>
      <w:r w:rsidRPr="000A23BA">
        <w:rPr>
          <w:b/>
          <w:lang w:val="pt-BR"/>
        </w:rPr>
        <w:t>)</w:t>
      </w:r>
      <w:r w:rsidRPr="000A23BA">
        <w:rPr>
          <w:lang w:val="pt-BR"/>
        </w:rPr>
        <w:t xml:space="preserve"> no </w:t>
      </w:r>
      <w:r w:rsidRPr="000A23BA">
        <w:rPr>
          <w:color w:val="000000"/>
          <w:lang w:val="pt-BR"/>
        </w:rPr>
        <w:t>Monitor Mercantil</w:t>
      </w:r>
      <w:r w:rsidRPr="000A23BA">
        <w:rPr>
          <w:lang w:val="pt-BR"/>
        </w:rPr>
        <w:t xml:space="preserve">, </w:t>
      </w:r>
      <w:r>
        <w:rPr>
          <w:lang w:val="pt-BR"/>
        </w:rPr>
        <w:t xml:space="preserve">em 19 de dezembro de 2019, </w:t>
      </w:r>
      <w:r w:rsidRPr="000A23BA">
        <w:rPr>
          <w:lang w:val="pt-BR"/>
        </w:rPr>
        <w:t>em atendimento</w:t>
      </w:r>
      <w:r w:rsidRPr="007A2427">
        <w:rPr>
          <w:lang w:val="pt-BR"/>
        </w:rPr>
        <w:t xml:space="preserve"> ao disposto no artigo 289 da Lei das Sociedades por Ações.</w:t>
      </w:r>
    </w:p>
    <w:p w14:paraId="1A1C8D50" w14:textId="77777777" w:rsidR="00883C1A" w:rsidRPr="009E6B2F" w:rsidRDefault="00883C1A" w:rsidP="00883C1A">
      <w:pPr>
        <w:pStyle w:val="Level2"/>
        <w:numPr>
          <w:ilvl w:val="1"/>
          <w:numId w:val="11"/>
        </w:numPr>
        <w:spacing w:before="140" w:after="0"/>
        <w:rPr>
          <w:rFonts w:cs="Arial"/>
          <w:b/>
        </w:rPr>
      </w:pPr>
      <w:bookmarkStart w:id="184" w:name="_DV_M20"/>
      <w:bookmarkStart w:id="185" w:name="_Ref427712429"/>
      <w:bookmarkEnd w:id="184"/>
      <w:r w:rsidRPr="009E6B2F">
        <w:rPr>
          <w:rFonts w:cs="Arial"/>
          <w:b/>
        </w:rPr>
        <w:t>Inscrição desta Escritura de Emissão e seus eventuais aditamentos</w:t>
      </w:r>
      <w:bookmarkEnd w:id="185"/>
    </w:p>
    <w:p w14:paraId="5465ECFC" w14:textId="77777777" w:rsidR="00883C1A" w:rsidRPr="009E6B2F" w:rsidRDefault="00883C1A" w:rsidP="00883C1A">
      <w:pPr>
        <w:pStyle w:val="Level3"/>
        <w:numPr>
          <w:ilvl w:val="2"/>
          <w:numId w:val="11"/>
        </w:numPr>
        <w:spacing w:before="140" w:after="0"/>
        <w:rPr>
          <w:lang w:val="pt-BR"/>
        </w:rPr>
      </w:pPr>
      <w:bookmarkStart w:id="186" w:name="_DV_M21"/>
      <w:bookmarkStart w:id="187" w:name="_Ref427660038"/>
      <w:bookmarkEnd w:id="186"/>
      <w:r w:rsidRPr="009E6B2F">
        <w:rPr>
          <w:lang w:val="pt-BR"/>
        </w:rPr>
        <w:t>Esta Escritura de Emissão</w:t>
      </w:r>
      <w:r>
        <w:rPr>
          <w:lang w:val="pt-BR"/>
        </w:rPr>
        <w:t xml:space="preserve"> </w:t>
      </w:r>
      <w:r w:rsidRPr="0006066C">
        <w:rPr>
          <w:iCs/>
          <w:lang w:val="pt-BR"/>
        </w:rPr>
        <w:t>foi inscrita na JUCERJA, em 20 de dezembro de 2019, sob o nº ED33300568400</w:t>
      </w:r>
      <w:r w:rsidRPr="0006066C">
        <w:rPr>
          <w:i/>
          <w:lang w:val="pt-BR"/>
        </w:rPr>
        <w:t>,</w:t>
      </w:r>
      <w:r w:rsidRPr="009E6B2F">
        <w:rPr>
          <w:lang w:val="pt-BR"/>
        </w:rPr>
        <w:t xml:space="preserve"> e seus eventuais aditamentos serão inscritos na </w:t>
      </w:r>
      <w:r>
        <w:rPr>
          <w:bCs/>
          <w:lang w:val="pt-BR"/>
        </w:rPr>
        <w:t>JUCERJA,</w:t>
      </w:r>
      <w:r w:rsidRPr="009E6B2F">
        <w:rPr>
          <w:lang w:val="pt-BR"/>
        </w:rPr>
        <w:t xml:space="preserve"> de acordo com o inciso II e o parágrafo 3º do artigo 62 da Lei das Sociedades por Ações.</w:t>
      </w:r>
      <w:bookmarkEnd w:id="187"/>
    </w:p>
    <w:p w14:paraId="65415EDB" w14:textId="77777777" w:rsidR="00883C1A" w:rsidRDefault="00883C1A" w:rsidP="00883C1A">
      <w:pPr>
        <w:pStyle w:val="Level3"/>
        <w:numPr>
          <w:ilvl w:val="2"/>
          <w:numId w:val="11"/>
        </w:numPr>
        <w:spacing w:before="140" w:after="0"/>
        <w:rPr>
          <w:lang w:val="pt-BR"/>
        </w:rPr>
      </w:pPr>
      <w:bookmarkStart w:id="188" w:name="_Ref475356139"/>
      <w:r w:rsidRPr="009E6B2F">
        <w:rPr>
          <w:lang w:val="pt-BR"/>
        </w:rPr>
        <w:t xml:space="preserve">Nos termos da </w:t>
      </w:r>
      <w:r w:rsidRPr="00655C6F">
        <w:rPr>
          <w:lang w:val="pt-BR"/>
        </w:rPr>
        <w:t>Cláusula</w:t>
      </w:r>
      <w:r w:rsidRPr="0014104D">
        <w:rPr>
          <w:lang w:val="pt-BR"/>
        </w:rPr>
        <w:t xml:space="preserve"> </w:t>
      </w:r>
      <w:r w:rsidRPr="00125E03">
        <w:rPr>
          <w:lang w:val="pt-BR"/>
        </w:rPr>
        <w:fldChar w:fldCharType="begin"/>
      </w:r>
      <w:r w:rsidRPr="00125E03">
        <w:rPr>
          <w:lang w:val="pt-BR"/>
        </w:rPr>
        <w:instrText xml:space="preserve"> REF _Ref515972495 \r \h </w:instrText>
      </w:r>
      <w:r>
        <w:rPr>
          <w:lang w:val="pt-BR"/>
        </w:rPr>
        <w:instrText xml:space="preserve"> \* MERGEFORMAT </w:instrText>
      </w:r>
      <w:r w:rsidRPr="00125E03">
        <w:rPr>
          <w:lang w:val="pt-BR"/>
        </w:rPr>
      </w:r>
      <w:r w:rsidRPr="00125E03">
        <w:rPr>
          <w:lang w:val="pt-BR"/>
        </w:rPr>
        <w:fldChar w:fldCharType="separate"/>
      </w:r>
      <w:r>
        <w:rPr>
          <w:lang w:val="pt-BR"/>
        </w:rPr>
        <w:t>7.4.2</w:t>
      </w:r>
      <w:r w:rsidRPr="00125E03">
        <w:rPr>
          <w:lang w:val="pt-BR"/>
        </w:rPr>
        <w:fldChar w:fldCharType="end"/>
      </w:r>
      <w:r w:rsidRPr="00655C6F">
        <w:rPr>
          <w:lang w:val="pt-BR"/>
        </w:rPr>
        <w:t xml:space="preserve"> </w:t>
      </w:r>
      <w:r w:rsidRPr="0014104D">
        <w:rPr>
          <w:lang w:val="pt-BR"/>
        </w:rPr>
        <w:t>abaixo</w:t>
      </w:r>
      <w:r w:rsidRPr="009E6B2F">
        <w:rPr>
          <w:lang w:val="pt-BR"/>
        </w:rPr>
        <w:t xml:space="preserve">, esta Escritura de Emissão </w:t>
      </w:r>
      <w:r>
        <w:rPr>
          <w:lang w:val="pt-BR"/>
        </w:rPr>
        <w:t>foi</w:t>
      </w:r>
      <w:r w:rsidRPr="009E6B2F">
        <w:rPr>
          <w:lang w:val="pt-BR"/>
        </w:rPr>
        <w:t xml:space="preserve"> objeto de aditamento para refletir o resultado do Procedimento de </w:t>
      </w:r>
      <w:proofErr w:type="spellStart"/>
      <w:r w:rsidRPr="009E6B2F">
        <w:rPr>
          <w:i/>
          <w:lang w:val="pt-BR"/>
        </w:rPr>
        <w:t>Bookbuilding</w:t>
      </w:r>
      <w:proofErr w:type="spellEnd"/>
      <w:r w:rsidRPr="009E6B2F">
        <w:rPr>
          <w:i/>
          <w:lang w:val="pt-BR"/>
        </w:rPr>
        <w:t xml:space="preserve"> </w:t>
      </w:r>
      <w:r w:rsidRPr="009E6B2F">
        <w:rPr>
          <w:lang w:val="pt-BR"/>
        </w:rPr>
        <w:t>(conforme abaixo definido)</w:t>
      </w:r>
      <w:r>
        <w:rPr>
          <w:lang w:val="pt-BR"/>
        </w:rPr>
        <w:t xml:space="preserve">, o qual definiu </w:t>
      </w:r>
      <w:r w:rsidRPr="00632598">
        <w:rPr>
          <w:lang w:val="pt-BR"/>
        </w:rPr>
        <w:t>a taxa final da Remuneração das Debêntures,</w:t>
      </w:r>
      <w:r w:rsidRPr="009E6B2F">
        <w:rPr>
          <w:lang w:val="pt-BR"/>
        </w:rPr>
        <w:t xml:space="preserve"> </w:t>
      </w:r>
      <w:r>
        <w:rPr>
          <w:lang w:val="pt-BR"/>
        </w:rPr>
        <w:t xml:space="preserve">observados </w:t>
      </w:r>
      <w:r w:rsidRPr="009E6B2F">
        <w:rPr>
          <w:lang w:val="pt-BR"/>
        </w:rPr>
        <w:t>os termos e condições aprovados</w:t>
      </w:r>
      <w:r>
        <w:rPr>
          <w:lang w:val="pt-BR"/>
        </w:rPr>
        <w:t xml:space="preserve"> </w:t>
      </w:r>
      <w:r w:rsidRPr="009E6B2F">
        <w:rPr>
          <w:lang w:val="pt-BR"/>
        </w:rPr>
        <w:t xml:space="preserve">na </w:t>
      </w:r>
      <w:r>
        <w:rPr>
          <w:lang w:val="pt-BR"/>
        </w:rPr>
        <w:t>RCA de Emissão</w:t>
      </w:r>
      <w:r w:rsidRPr="009E6B2F">
        <w:rPr>
          <w:lang w:val="pt-BR"/>
        </w:rPr>
        <w:t xml:space="preserve"> e, portanto, sem a necessidade de nova aprovação societária pela Emissora. O aditamento de que trata esta Cláusula </w:t>
      </w:r>
      <w:r>
        <w:rPr>
          <w:lang w:val="pt-BR"/>
        </w:rPr>
        <w:fldChar w:fldCharType="begin"/>
      </w:r>
      <w:r>
        <w:rPr>
          <w:lang w:val="pt-BR"/>
        </w:rPr>
        <w:instrText xml:space="preserve"> REF _Ref475356139 \r \h </w:instrText>
      </w:r>
      <w:r>
        <w:rPr>
          <w:lang w:val="pt-BR"/>
        </w:rPr>
      </w:r>
      <w:r>
        <w:rPr>
          <w:lang w:val="pt-BR"/>
        </w:rPr>
        <w:fldChar w:fldCharType="separate"/>
      </w:r>
      <w:r>
        <w:rPr>
          <w:lang w:val="pt-BR"/>
        </w:rPr>
        <w:t>2.2.2</w:t>
      </w:r>
      <w:r>
        <w:rPr>
          <w:lang w:val="pt-BR"/>
        </w:rPr>
        <w:fldChar w:fldCharType="end"/>
      </w:r>
      <w:r>
        <w:rPr>
          <w:lang w:val="pt-BR"/>
        </w:rPr>
        <w:t xml:space="preserve"> </w:t>
      </w:r>
      <w:r w:rsidRPr="009E6B2F">
        <w:rPr>
          <w:lang w:val="pt-BR"/>
        </w:rPr>
        <w:t xml:space="preserve">será inscrito na </w:t>
      </w:r>
      <w:r>
        <w:rPr>
          <w:lang w:val="pt-BR"/>
        </w:rPr>
        <w:t>JUCERJA</w:t>
      </w:r>
      <w:r w:rsidRPr="009E6B2F">
        <w:rPr>
          <w:lang w:val="pt-BR"/>
        </w:rPr>
        <w:t xml:space="preserve">, nos termos da Cláusula </w:t>
      </w:r>
      <w:r w:rsidRPr="009E6B2F">
        <w:fldChar w:fldCharType="begin"/>
      </w:r>
      <w:r w:rsidRPr="009E6B2F">
        <w:rPr>
          <w:lang w:val="pt-BR"/>
        </w:rPr>
        <w:instrText xml:space="preserve"> REF _Ref427660038 \r \h  \* MERGEFORMAT </w:instrText>
      </w:r>
      <w:r w:rsidRPr="009E6B2F">
        <w:fldChar w:fldCharType="separate"/>
      </w:r>
      <w:r>
        <w:rPr>
          <w:lang w:val="pt-BR"/>
        </w:rPr>
        <w:t>2.2.1</w:t>
      </w:r>
      <w:r w:rsidRPr="009E6B2F">
        <w:fldChar w:fldCharType="end"/>
      </w:r>
      <w:r w:rsidRPr="009E6B2F">
        <w:rPr>
          <w:lang w:val="pt-BR"/>
        </w:rPr>
        <w:t xml:space="preserve"> acima.</w:t>
      </w:r>
      <w:bookmarkEnd w:id="188"/>
    </w:p>
    <w:p w14:paraId="17E0D333" w14:textId="77777777" w:rsidR="00883C1A" w:rsidRDefault="00883C1A" w:rsidP="00883C1A">
      <w:pPr>
        <w:pStyle w:val="Level3"/>
        <w:numPr>
          <w:ilvl w:val="2"/>
          <w:numId w:val="11"/>
        </w:numPr>
        <w:spacing w:before="140" w:after="0"/>
        <w:rPr>
          <w:lang w:val="pt-BR"/>
        </w:rPr>
      </w:pPr>
      <w:bookmarkStart w:id="189" w:name="_DV_M22"/>
      <w:bookmarkEnd w:id="189"/>
      <w:r w:rsidRPr="009E6B2F">
        <w:rPr>
          <w:lang w:val="pt-BR"/>
        </w:rPr>
        <w:t xml:space="preserve">A Emissora deverá entregar ao Agente Fiduciário 1 (uma) via </w:t>
      </w:r>
      <w:r>
        <w:rPr>
          <w:lang w:val="pt-BR"/>
        </w:rPr>
        <w:t xml:space="preserve">eletrônica (formato </w:t>
      </w:r>
      <w:proofErr w:type="spellStart"/>
      <w:r>
        <w:rPr>
          <w:lang w:val="pt-BR"/>
        </w:rPr>
        <w:t>pdf</w:t>
      </w:r>
      <w:proofErr w:type="spellEnd"/>
      <w:r>
        <w:rPr>
          <w:lang w:val="pt-BR"/>
        </w:rPr>
        <w:t>), contendo a chancela digital da JUCERJA,</w:t>
      </w:r>
      <w:r w:rsidRPr="009E6B2F">
        <w:rPr>
          <w:lang w:val="pt-BR"/>
        </w:rPr>
        <w:t xml:space="preserve"> do respectivo documento e eventuais aditamentos inscrito</w:t>
      </w:r>
      <w:r>
        <w:rPr>
          <w:lang w:val="pt-BR"/>
        </w:rPr>
        <w:t>s</w:t>
      </w:r>
      <w:r w:rsidRPr="009E6B2F">
        <w:rPr>
          <w:lang w:val="pt-BR"/>
        </w:rPr>
        <w:t xml:space="preserve"> na </w:t>
      </w:r>
      <w:r>
        <w:rPr>
          <w:lang w:val="pt-BR"/>
        </w:rPr>
        <w:t>JUCERJA</w:t>
      </w:r>
      <w:r w:rsidRPr="009E6B2F">
        <w:rPr>
          <w:lang w:val="pt-BR"/>
        </w:rPr>
        <w:t xml:space="preserve">, no prazo de até </w:t>
      </w:r>
      <w:r w:rsidRPr="007E6602">
        <w:rPr>
          <w:lang w:val="pt-BR"/>
        </w:rPr>
        <w:t>5 (cinco)</w:t>
      </w:r>
      <w:r w:rsidRPr="009E6B2F">
        <w:rPr>
          <w:lang w:val="pt-BR"/>
        </w:rPr>
        <w:t xml:space="preserve"> Dias Úteis (</w:t>
      </w:r>
      <w:r w:rsidRPr="0086475D">
        <w:rPr>
          <w:lang w:val="pt-BR"/>
        </w:rPr>
        <w:t>conforme a</w:t>
      </w:r>
      <w:r w:rsidRPr="00E618A4">
        <w:rPr>
          <w:lang w:val="pt-BR"/>
        </w:rPr>
        <w:t>baixo definidos) contados da data do efetivo registro.</w:t>
      </w:r>
    </w:p>
    <w:p w14:paraId="271304A0" w14:textId="77777777" w:rsidR="00883C1A" w:rsidRPr="00E618A4" w:rsidRDefault="00883C1A" w:rsidP="00883C1A">
      <w:pPr>
        <w:pStyle w:val="Level3"/>
        <w:numPr>
          <w:ilvl w:val="0"/>
          <w:numId w:val="0"/>
        </w:numPr>
        <w:spacing w:before="140" w:after="0"/>
        <w:ind w:left="1361"/>
        <w:rPr>
          <w:lang w:val="pt-BR"/>
        </w:rPr>
      </w:pPr>
    </w:p>
    <w:p w14:paraId="1FA53157" w14:textId="77777777" w:rsidR="00883C1A" w:rsidRPr="00134F48" w:rsidRDefault="00883C1A" w:rsidP="00883C1A">
      <w:pPr>
        <w:pStyle w:val="Level2"/>
        <w:numPr>
          <w:ilvl w:val="1"/>
          <w:numId w:val="11"/>
        </w:numPr>
        <w:rPr>
          <w:b/>
        </w:rPr>
      </w:pPr>
      <w:r w:rsidRPr="00134F48">
        <w:rPr>
          <w:b/>
        </w:rPr>
        <w:t>Constituição d</w:t>
      </w:r>
      <w:r>
        <w:rPr>
          <w:b/>
        </w:rPr>
        <w:t>a Alienação Fiduciária</w:t>
      </w:r>
      <w:r w:rsidRPr="00134F48">
        <w:rPr>
          <w:b/>
        </w:rPr>
        <w:t xml:space="preserve"> de Ações </w:t>
      </w:r>
    </w:p>
    <w:p w14:paraId="1F628776" w14:textId="77777777" w:rsidR="00883C1A" w:rsidRPr="00ED4800" w:rsidRDefault="00883C1A" w:rsidP="00883C1A">
      <w:pPr>
        <w:pStyle w:val="Level3"/>
        <w:numPr>
          <w:ilvl w:val="2"/>
          <w:numId w:val="11"/>
        </w:numPr>
        <w:rPr>
          <w:lang w:val="pt-BR"/>
        </w:rPr>
      </w:pPr>
      <w:r>
        <w:rPr>
          <w:lang w:val="pt-BR"/>
        </w:rPr>
        <w:t>A Alienação Fiduciária</w:t>
      </w:r>
      <w:r w:rsidRPr="00ED4800">
        <w:rPr>
          <w:lang w:val="pt-BR"/>
        </w:rPr>
        <w:t xml:space="preserve"> de Ações (conforme abaixo definido) constituíd</w:t>
      </w:r>
      <w:r>
        <w:rPr>
          <w:lang w:val="pt-BR"/>
        </w:rPr>
        <w:t>a</w:t>
      </w:r>
      <w:r w:rsidRPr="00ED4800">
        <w:rPr>
          <w:lang w:val="pt-BR"/>
        </w:rPr>
        <w:t xml:space="preserve"> </w:t>
      </w:r>
      <w:r>
        <w:rPr>
          <w:lang w:val="pt-BR"/>
        </w:rPr>
        <w:t>em benefício dos Debenturistas foi</w:t>
      </w:r>
      <w:r w:rsidRPr="00ED4800">
        <w:rPr>
          <w:lang w:val="pt-BR"/>
        </w:rPr>
        <w:t xml:space="preserve"> formalizad</w:t>
      </w:r>
      <w:r>
        <w:rPr>
          <w:lang w:val="pt-BR"/>
        </w:rPr>
        <w:t>a</w:t>
      </w:r>
      <w:r w:rsidRPr="00ED4800">
        <w:rPr>
          <w:lang w:val="pt-BR"/>
        </w:rPr>
        <w:t xml:space="preserve"> por meio do Contrato de </w:t>
      </w:r>
      <w:r>
        <w:rPr>
          <w:lang w:val="pt-BR"/>
        </w:rPr>
        <w:t>Alienação Fiduciária</w:t>
      </w:r>
      <w:r w:rsidRPr="00ED4800">
        <w:rPr>
          <w:lang w:val="pt-BR"/>
        </w:rPr>
        <w:t xml:space="preserve"> de Ações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w:t>
      </w:r>
      <w:r>
        <w:rPr>
          <w:lang w:val="pt-BR"/>
        </w:rPr>
        <w:t>9</w:t>
      </w:r>
      <w:r w:rsidRPr="00ED4800">
        <w:rPr>
          <w:lang w:val="pt-BR"/>
        </w:rPr>
        <w:t xml:space="preserve">, </w:t>
      </w:r>
      <w:r>
        <w:rPr>
          <w:lang w:val="pt-BR"/>
        </w:rPr>
        <w:t>item 5º,</w:t>
      </w:r>
      <w:r w:rsidRPr="00ED4800">
        <w:rPr>
          <w:lang w:val="pt-BR"/>
        </w:rPr>
        <w:t xml:space="preserve"> da Lei nº 6.015, de 31 de dezembro de 1973, conforme alterada (“</w:t>
      </w:r>
      <w:r w:rsidRPr="00ED4800">
        <w:rPr>
          <w:b/>
          <w:lang w:val="pt-BR"/>
        </w:rPr>
        <w:t>Lei de Registros Públicos</w:t>
      </w:r>
      <w:r w:rsidRPr="00ED4800">
        <w:rPr>
          <w:lang w:val="pt-BR"/>
        </w:rPr>
        <w:t>”)</w:t>
      </w:r>
      <w:r w:rsidRPr="00D77687">
        <w:rPr>
          <w:lang w:val="pt-BR"/>
        </w:rPr>
        <w:t xml:space="preserve"> e </w:t>
      </w:r>
      <w:r w:rsidRPr="009463ED">
        <w:rPr>
          <w:lang w:val="pt-BR"/>
        </w:rPr>
        <w:t xml:space="preserve">no artigo </w:t>
      </w:r>
      <w:r>
        <w:rPr>
          <w:lang w:val="pt-BR"/>
        </w:rPr>
        <w:t>1.361</w:t>
      </w:r>
      <w:r w:rsidRPr="009463ED">
        <w:rPr>
          <w:lang w:val="pt-BR"/>
        </w:rPr>
        <w:t xml:space="preserve"> da Lei nº 10.406,</w:t>
      </w:r>
      <w:r>
        <w:rPr>
          <w:lang w:val="pt-BR"/>
        </w:rPr>
        <w:t xml:space="preserve"> de 10 de janeiro de 2002, conforme alterada (“</w:t>
      </w:r>
      <w:r w:rsidRPr="00ED4800">
        <w:rPr>
          <w:b/>
          <w:lang w:val="pt-BR"/>
        </w:rPr>
        <w:t>Código Civil</w:t>
      </w:r>
      <w:r>
        <w:rPr>
          <w:lang w:val="pt-BR"/>
        </w:rPr>
        <w:t>”)</w:t>
      </w:r>
      <w:r w:rsidRPr="00ED4800">
        <w:rPr>
          <w:lang w:val="pt-BR"/>
        </w:rPr>
        <w:t>, bem como seus aditamentos</w:t>
      </w:r>
      <w:r>
        <w:rPr>
          <w:lang w:val="pt-BR"/>
        </w:rPr>
        <w:t>,</w:t>
      </w:r>
      <w:r w:rsidRPr="00ED4800">
        <w:rPr>
          <w:lang w:val="pt-BR"/>
        </w:rPr>
        <w:t xml:space="preserve"> deverão ser averbados às margens do respectivo registro,.</w:t>
      </w:r>
    </w:p>
    <w:p w14:paraId="21F37DD4" w14:textId="77777777" w:rsidR="00883C1A" w:rsidRPr="00ED4800" w:rsidRDefault="00883C1A" w:rsidP="00883C1A">
      <w:pPr>
        <w:pStyle w:val="Level3"/>
        <w:numPr>
          <w:ilvl w:val="2"/>
          <w:numId w:val="11"/>
        </w:numPr>
        <w:rPr>
          <w:lang w:val="pt-BR"/>
        </w:rPr>
      </w:pPr>
      <w:r w:rsidRPr="00ED4800">
        <w:rPr>
          <w:lang w:val="pt-BR"/>
        </w:rPr>
        <w:t xml:space="preserve">A Emissora deverá (i) protocolar o Contrato de </w:t>
      </w:r>
      <w:r>
        <w:rPr>
          <w:lang w:val="pt-BR"/>
        </w:rPr>
        <w:t>Alienação Fiduciária</w:t>
      </w:r>
      <w:r w:rsidRPr="00ED4800">
        <w:rPr>
          <w:lang w:val="pt-BR"/>
        </w:rPr>
        <w:t xml:space="preserve"> de Ações, e seus respectivos eventuais aditamentos, nos Cartórios de Títulos e Documentos competentes em até 2 (dois) Dias Úteis após sua respectiva celebração; (</w:t>
      </w:r>
      <w:proofErr w:type="spellStart"/>
      <w:r w:rsidRPr="00ED4800">
        <w:rPr>
          <w:lang w:val="pt-BR"/>
        </w:rPr>
        <w:t>ii</w:t>
      </w:r>
      <w:proofErr w:type="spellEnd"/>
      <w:r w:rsidRPr="00ED4800">
        <w:rPr>
          <w:lang w:val="pt-BR"/>
        </w:rPr>
        <w:t xml:space="preserve">) enviar 1 (uma) via original </w:t>
      </w:r>
      <w:r>
        <w:rPr>
          <w:lang w:val="pt-BR"/>
        </w:rPr>
        <w:t>d</w:t>
      </w:r>
      <w:r w:rsidRPr="00ED4800">
        <w:rPr>
          <w:lang w:val="pt-BR"/>
        </w:rPr>
        <w:t xml:space="preserve">o Contrato de </w:t>
      </w:r>
      <w:r>
        <w:rPr>
          <w:lang w:val="pt-BR"/>
        </w:rPr>
        <w:t>Alienação Fiduciária</w:t>
      </w:r>
      <w:r w:rsidDel="003A703E">
        <w:rPr>
          <w:lang w:val="pt-BR"/>
        </w:rPr>
        <w:t xml:space="preserve"> </w:t>
      </w:r>
      <w:r>
        <w:rPr>
          <w:lang w:val="pt-BR"/>
        </w:rPr>
        <w:t xml:space="preserve">de </w:t>
      </w:r>
      <w:r w:rsidRPr="00ED4800">
        <w:rPr>
          <w:lang w:val="pt-BR"/>
        </w:rPr>
        <w:t xml:space="preserve">Ações e de seus respectivos eventuais aditamentos, ao Agente Fiduciário, em até 05 (cinco) Dias Úteis após seus respectivos registros e/ou averbações, conforme aplicável, nos Cartórios de Títulos e Documentos competentes. </w:t>
      </w:r>
    </w:p>
    <w:p w14:paraId="152EFE31" w14:textId="77777777" w:rsidR="00883C1A" w:rsidRDefault="00883C1A" w:rsidP="00883C1A">
      <w:pPr>
        <w:pStyle w:val="Level3"/>
        <w:numPr>
          <w:ilvl w:val="2"/>
          <w:numId w:val="11"/>
        </w:numPr>
        <w:rPr>
          <w:lang w:val="pt-BR"/>
        </w:rPr>
      </w:pPr>
      <w:r w:rsidRPr="00ED4800">
        <w:rPr>
          <w:lang w:val="pt-BR"/>
        </w:rPr>
        <w:t xml:space="preserve">A Emissora registrará </w:t>
      </w:r>
      <w:r>
        <w:rPr>
          <w:lang w:val="pt-BR"/>
        </w:rPr>
        <w:t>a</w:t>
      </w:r>
      <w:r w:rsidRPr="00ED4800">
        <w:rPr>
          <w:lang w:val="pt-BR"/>
        </w:rPr>
        <w:t xml:space="preserve"> </w:t>
      </w:r>
      <w:r>
        <w:rPr>
          <w:lang w:val="pt-BR"/>
        </w:rPr>
        <w:t>Alienação Fiduciária</w:t>
      </w:r>
      <w:r w:rsidDel="003A703E">
        <w:rPr>
          <w:lang w:val="pt-BR"/>
        </w:rPr>
        <w:t xml:space="preserve"> </w:t>
      </w:r>
      <w:r>
        <w:rPr>
          <w:lang w:val="pt-BR"/>
        </w:rPr>
        <w:t xml:space="preserve">de </w:t>
      </w:r>
      <w:r w:rsidRPr="00ED4800">
        <w:rPr>
          <w:lang w:val="pt-BR"/>
        </w:rPr>
        <w:t>Ações, conforme disposto</w:t>
      </w:r>
      <w:r>
        <w:rPr>
          <w:lang w:val="pt-BR"/>
        </w:rPr>
        <w:t xml:space="preserve"> </w:t>
      </w:r>
      <w:r w:rsidRPr="008A3970">
        <w:rPr>
          <w:lang w:val="pt-BR"/>
        </w:rPr>
        <w:t xml:space="preserve">no inciso I do artigo 40 da Lei das Sociedades por Ações, no “Livro de Registro de Ações Nominativas” </w:t>
      </w:r>
      <w:r>
        <w:rPr>
          <w:lang w:val="pt-BR"/>
        </w:rPr>
        <w:t>da Garantidora (conforme abaixo definido)</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A Emissora entregará ao Agente Fiduciário uma cópia do registro da </w:t>
      </w:r>
      <w:r>
        <w:rPr>
          <w:lang w:val="pt-BR"/>
        </w:rPr>
        <w:t>Alienação Fiduciária</w:t>
      </w:r>
      <w:r w:rsidDel="003A703E">
        <w:rPr>
          <w:lang w:val="pt-BR"/>
        </w:rPr>
        <w:t xml:space="preserve"> </w:t>
      </w:r>
      <w:r w:rsidRPr="00ED4800">
        <w:rPr>
          <w:lang w:val="pt-BR"/>
        </w:rPr>
        <w:t xml:space="preserve">de Ações no “Livro de Registro de Ações Nominativas” </w:t>
      </w:r>
      <w:r>
        <w:rPr>
          <w:lang w:val="pt-BR"/>
        </w:rPr>
        <w:t>da Garantidora,</w:t>
      </w:r>
      <w:r w:rsidRPr="00ED4800">
        <w:rPr>
          <w:lang w:val="pt-BR"/>
        </w:rPr>
        <w:t xml:space="preserve"> observado o disposto no Contrato de </w:t>
      </w:r>
      <w:r>
        <w:rPr>
          <w:lang w:val="pt-BR"/>
        </w:rPr>
        <w:t>Alienação Fiduciária</w:t>
      </w:r>
      <w:r w:rsidDel="003A703E">
        <w:rPr>
          <w:lang w:val="pt-BR"/>
        </w:rPr>
        <w:t xml:space="preserve"> </w:t>
      </w:r>
      <w:r w:rsidRPr="00ED4800">
        <w:rPr>
          <w:lang w:val="pt-BR"/>
        </w:rPr>
        <w:t xml:space="preserve">de Ações, no prazo de até 2 (dois) Dias Úteis contado da data de assinatura do Contrato de </w:t>
      </w:r>
      <w:r>
        <w:rPr>
          <w:lang w:val="pt-BR"/>
        </w:rPr>
        <w:t>Alienação Fiduciária</w:t>
      </w:r>
      <w:r w:rsidDel="003A703E">
        <w:rPr>
          <w:lang w:val="pt-BR"/>
        </w:rPr>
        <w:t xml:space="preserve"> </w:t>
      </w:r>
      <w:r w:rsidRPr="00ED4800">
        <w:rPr>
          <w:lang w:val="pt-BR"/>
        </w:rPr>
        <w:t>de Ações, bem como de seus respectivos eventuais aditamentos.</w:t>
      </w:r>
    </w:p>
    <w:p w14:paraId="46DA5EEA" w14:textId="77777777" w:rsidR="00883C1A" w:rsidRPr="00DD3380" w:rsidRDefault="00883C1A" w:rsidP="00883C1A">
      <w:pPr>
        <w:pStyle w:val="Level2"/>
        <w:numPr>
          <w:ilvl w:val="1"/>
          <w:numId w:val="11"/>
        </w:numPr>
        <w:rPr>
          <w:b/>
        </w:rPr>
      </w:pPr>
      <w:r w:rsidRPr="00DD3380">
        <w:rPr>
          <w:b/>
        </w:rPr>
        <w:t xml:space="preserve">Constituição </w:t>
      </w:r>
      <w:r>
        <w:rPr>
          <w:b/>
        </w:rPr>
        <w:t>da Cessão Fiduciária</w:t>
      </w:r>
    </w:p>
    <w:p w14:paraId="42780AED" w14:textId="77777777" w:rsidR="00883C1A" w:rsidRPr="00ED4800" w:rsidRDefault="00883C1A" w:rsidP="00883C1A">
      <w:pPr>
        <w:pStyle w:val="Level3"/>
        <w:numPr>
          <w:ilvl w:val="2"/>
          <w:numId w:val="11"/>
        </w:numPr>
        <w:rPr>
          <w:lang w:val="pt-BR"/>
        </w:rPr>
      </w:pPr>
      <w:r w:rsidRPr="00ED4800">
        <w:rPr>
          <w:lang w:val="pt-BR"/>
        </w:rPr>
        <w:t>A Cessão Fiduciária (conforme abaixo d</w:t>
      </w:r>
      <w:r w:rsidRPr="008A3970">
        <w:rPr>
          <w:lang w:val="pt-BR"/>
        </w:rPr>
        <w:t xml:space="preserve">efinido) constituída em benefício dos Debenturistas </w:t>
      </w:r>
      <w:r>
        <w:rPr>
          <w:lang w:val="pt-BR"/>
        </w:rPr>
        <w:t>foi</w:t>
      </w:r>
      <w:r w:rsidRPr="00ED4800">
        <w:rPr>
          <w:lang w:val="pt-BR"/>
        </w:rPr>
        <w:t xml:space="preserve"> formalizada por meio do Contrato de Cessão Fiduciária (conforme abaixo definido), o qual </w:t>
      </w:r>
      <w:r>
        <w:rPr>
          <w:lang w:val="pt-BR"/>
        </w:rPr>
        <w:t>foi</w:t>
      </w:r>
      <w:r w:rsidRPr="00ED4800">
        <w:rPr>
          <w:lang w:val="pt-BR"/>
        </w:rPr>
        <w:t xml:space="preserve"> registrado</w:t>
      </w:r>
      <w:r>
        <w:rPr>
          <w:lang w:val="pt-BR"/>
        </w:rPr>
        <w:t xml:space="preserve"> </w:t>
      </w:r>
      <w:r w:rsidRPr="00ED4800">
        <w:rPr>
          <w:lang w:val="pt-BR"/>
        </w:rPr>
        <w:t>nos Cartórios de Títulos e Documentos competentes, nos termos do artigo 62, inciso III</w:t>
      </w:r>
      <w:r>
        <w:rPr>
          <w:lang w:val="pt-BR"/>
        </w:rPr>
        <w:t>,</w:t>
      </w:r>
      <w:r w:rsidRPr="00ED4800">
        <w:rPr>
          <w:lang w:val="pt-BR"/>
        </w:rPr>
        <w:t xml:space="preserve"> da Lei das Sociedades por Ações, e do artigo 129 da Lei de Registros Públicos, bem como seus aditamentos deverão ser averbados às margens do respectivo registro.</w:t>
      </w:r>
    </w:p>
    <w:p w14:paraId="124810B9" w14:textId="77777777" w:rsidR="00883C1A" w:rsidRPr="00ED4800" w:rsidRDefault="00883C1A" w:rsidP="00883C1A">
      <w:pPr>
        <w:pStyle w:val="Level3"/>
        <w:numPr>
          <w:ilvl w:val="2"/>
          <w:numId w:val="11"/>
        </w:numPr>
        <w:rPr>
          <w:lang w:val="pt-BR"/>
        </w:rPr>
      </w:pPr>
      <w:r w:rsidRPr="00ED4800">
        <w:rPr>
          <w:lang w:val="pt-BR"/>
        </w:rPr>
        <w:t>A Emissora deverá (i) protocolar</w:t>
      </w:r>
      <w:r w:rsidRPr="00ED4800" w:rsidDel="00F056D8">
        <w:rPr>
          <w:lang w:val="pt-BR"/>
        </w:rPr>
        <w:t xml:space="preserve"> </w:t>
      </w:r>
      <w:r w:rsidRPr="00ED4800">
        <w:rPr>
          <w:lang w:val="pt-BR"/>
        </w:rPr>
        <w:t>o Contrato de Cessão Fiduciária, e seus respectivos eventuais aditamentos, nos Cartórios de Títulos e Documentos competentes, em até 2 (dois) Dias Úteis após sua respectiva celebração; e (</w:t>
      </w:r>
      <w:proofErr w:type="spellStart"/>
      <w:r w:rsidRPr="00ED4800">
        <w:rPr>
          <w:lang w:val="pt-BR"/>
        </w:rPr>
        <w:t>ii</w:t>
      </w:r>
      <w:proofErr w:type="spellEnd"/>
      <w:r w:rsidRPr="00ED4800">
        <w:rPr>
          <w:lang w:val="pt-BR"/>
        </w:rPr>
        <w:t xml:space="preserve">) enviar 1 (uma) via original do Contrato de Cessão Fiduciária, e de seus respectivos eventuais aditamentos, ao Agente Fiduciário, em até 05 (cinco) Dias Úteis após seus respectivos registros nos Cartórios de Títulos e Documentos competentes. </w:t>
      </w:r>
    </w:p>
    <w:p w14:paraId="71B64EE3" w14:textId="77777777" w:rsidR="00883C1A" w:rsidRPr="001E73AA" w:rsidRDefault="00883C1A" w:rsidP="00883C1A">
      <w:pPr>
        <w:pStyle w:val="Level2"/>
        <w:numPr>
          <w:ilvl w:val="1"/>
          <w:numId w:val="11"/>
        </w:numPr>
        <w:rPr>
          <w:b/>
        </w:rPr>
      </w:pPr>
      <w:r w:rsidRPr="001E73AA">
        <w:rPr>
          <w:b/>
        </w:rPr>
        <w:t>Dispensa de Registro na CVM e Registro na Associação Brasileira das Entidades dos Mercados Financeiro e de Capitais (“ANBIMA”)</w:t>
      </w:r>
    </w:p>
    <w:p w14:paraId="79FD57D1" w14:textId="77777777" w:rsidR="00883C1A" w:rsidRPr="004A4BFF" w:rsidRDefault="00883C1A" w:rsidP="00883C1A">
      <w:pPr>
        <w:pStyle w:val="Level3"/>
        <w:numPr>
          <w:ilvl w:val="2"/>
          <w:numId w:val="11"/>
        </w:numPr>
        <w:rPr>
          <w:lang w:val="pt-BR"/>
        </w:rPr>
      </w:pPr>
      <w:r w:rsidRPr="00125E03">
        <w:rPr>
          <w:szCs w:val="20"/>
          <w:lang w:val="pt-BR"/>
        </w:rPr>
        <w:t xml:space="preserve">A Oferta será realizada nos termos da Instrução CVM 476 e das demais disposições </w:t>
      </w:r>
      <w:r w:rsidRPr="004A4BFF">
        <w:rPr>
          <w:lang w:val="pt-BR"/>
        </w:rPr>
        <w:t>legais</w:t>
      </w:r>
      <w:r w:rsidRPr="00125E03">
        <w:rPr>
          <w:szCs w:val="20"/>
          <w:lang w:val="pt-BR"/>
        </w:rPr>
        <w:t xml:space="preserve"> e regulamentares aplicáveis, estando, portanto, nos termos do artigo 6º da Instrução CVM 476, automaticamente dispensada do registro de distribuição de que trata o artigo 19 da Lei do Mercado de Valores Mobiliários</w:t>
      </w:r>
      <w:r>
        <w:rPr>
          <w:szCs w:val="20"/>
          <w:lang w:val="pt-BR"/>
        </w:rPr>
        <w:t>.</w:t>
      </w:r>
    </w:p>
    <w:p w14:paraId="071EE8C9" w14:textId="77777777" w:rsidR="00883C1A" w:rsidRDefault="00883C1A" w:rsidP="00883C1A">
      <w:pPr>
        <w:pStyle w:val="Level3"/>
        <w:numPr>
          <w:ilvl w:val="2"/>
          <w:numId w:val="11"/>
        </w:numPr>
        <w:rPr>
          <w:lang w:val="pt-BR"/>
        </w:rPr>
      </w:pPr>
      <w:r w:rsidRPr="00056862">
        <w:rPr>
          <w:lang w:val="pt-BR"/>
        </w:rPr>
        <w:t xml:space="preserve">A </w:t>
      </w:r>
      <w:r>
        <w:rPr>
          <w:lang w:val="pt-BR"/>
        </w:rPr>
        <w:t>Emissão</w:t>
      </w:r>
      <w:r w:rsidRPr="00056862">
        <w:rPr>
          <w:lang w:val="pt-BR"/>
        </w:rPr>
        <w:t xml:space="preserve"> </w:t>
      </w:r>
      <w:r>
        <w:rPr>
          <w:lang w:val="pt-BR"/>
        </w:rPr>
        <w:t>será</w:t>
      </w:r>
      <w:r w:rsidRPr="00056862">
        <w:rPr>
          <w:lang w:val="pt-BR"/>
        </w:rPr>
        <w:t xml:space="preserve"> objeto de registro na ANBIMA - Associação Brasileira das Entidades dos Mercados Financeiro e de Capitais (“</w:t>
      </w:r>
      <w:r w:rsidRPr="00056862">
        <w:rPr>
          <w:b/>
          <w:lang w:val="pt-BR"/>
        </w:rPr>
        <w:t>ANBIMA</w:t>
      </w:r>
      <w:r w:rsidRPr="00056862">
        <w:rPr>
          <w:lang w:val="pt-BR"/>
        </w:rPr>
        <w:t>”), nos termos do artigo 16, inciso II, do “</w:t>
      </w:r>
      <w:r w:rsidRPr="00056862">
        <w:rPr>
          <w:i/>
          <w:lang w:val="pt-BR"/>
        </w:rPr>
        <w:t>Código ANBIMA de Regulação e Melhores Práticas para Ofertas Públicas</w:t>
      </w:r>
      <w:r w:rsidRPr="00056862">
        <w:rPr>
          <w:lang w:val="pt-BR"/>
        </w:rPr>
        <w:t>” (“</w:t>
      </w:r>
      <w:r w:rsidRPr="00056862">
        <w:rPr>
          <w:b/>
          <w:lang w:val="pt-BR"/>
        </w:rPr>
        <w:t>Código ANBIMA</w:t>
      </w:r>
      <w:r w:rsidRPr="00056862">
        <w:rPr>
          <w:lang w:val="pt-BR"/>
        </w:rPr>
        <w:t>”), no prazo de até 15 (quinze) dias contados da data de envio do comunicado de encerramento da Oferta à CVM</w:t>
      </w:r>
      <w:r w:rsidRPr="008219C0">
        <w:rPr>
          <w:color w:val="000000" w:themeColor="text1"/>
          <w:lang w:val="pt-BR"/>
        </w:rPr>
        <w:t>.</w:t>
      </w:r>
    </w:p>
    <w:p w14:paraId="47D5243C" w14:textId="77777777" w:rsidR="00883C1A" w:rsidRPr="00843CAE" w:rsidRDefault="00883C1A" w:rsidP="00883C1A">
      <w:pPr>
        <w:pStyle w:val="Level2"/>
        <w:numPr>
          <w:ilvl w:val="1"/>
          <w:numId w:val="11"/>
        </w:numPr>
        <w:rPr>
          <w:b/>
          <w:bCs/>
          <w:lang w:eastAsia="x-none"/>
        </w:rPr>
      </w:pPr>
      <w:bookmarkStart w:id="190" w:name="_DV_M23"/>
      <w:bookmarkStart w:id="191" w:name="_GoBack"/>
      <w:bookmarkEnd w:id="190"/>
      <w:r w:rsidRPr="00843CAE">
        <w:rPr>
          <w:b/>
          <w:bCs/>
          <w:lang w:eastAsia="x-none"/>
        </w:rPr>
        <w:t>Distribuição, Negociação e Custódia Eletrônica</w:t>
      </w:r>
    </w:p>
    <w:p w14:paraId="56DBFAFF" w14:textId="77777777" w:rsidR="00883C1A" w:rsidRPr="009E6B2F" w:rsidRDefault="00883C1A" w:rsidP="00883C1A">
      <w:pPr>
        <w:pStyle w:val="Level3"/>
        <w:numPr>
          <w:ilvl w:val="2"/>
          <w:numId w:val="11"/>
        </w:numPr>
        <w:spacing w:before="140" w:after="0"/>
        <w:rPr>
          <w:lang w:val="pt-BR"/>
        </w:rPr>
      </w:pPr>
      <w:bookmarkStart w:id="192" w:name="_DV_M24"/>
      <w:bookmarkEnd w:id="192"/>
      <w:bookmarkEnd w:id="191"/>
      <w:r w:rsidRPr="009E6B2F">
        <w:rPr>
          <w:lang w:val="pt-BR"/>
        </w:rPr>
        <w:t xml:space="preserve">As Debêntures serão </w:t>
      </w:r>
      <w:r>
        <w:rPr>
          <w:lang w:val="pt-BR"/>
        </w:rPr>
        <w:t xml:space="preserve">depositadas na B3 – Segmento </w:t>
      </w:r>
      <w:proofErr w:type="spellStart"/>
      <w:r>
        <w:rPr>
          <w:lang w:val="pt-BR"/>
        </w:rPr>
        <w:t>Cetip</w:t>
      </w:r>
      <w:proofErr w:type="spellEnd"/>
      <w:r>
        <w:rPr>
          <w:lang w:val="pt-BR"/>
        </w:rPr>
        <w:t xml:space="preserve"> UTVM </w:t>
      </w:r>
      <w:r w:rsidRPr="009E6B2F">
        <w:rPr>
          <w:lang w:val="pt-BR"/>
        </w:rPr>
        <w:t>para distribuição no mercado primário por meio do MDA – Módulo de Distribuição de Ativos (“</w:t>
      </w:r>
      <w:r w:rsidRPr="009E6B2F">
        <w:rPr>
          <w:b/>
          <w:lang w:val="pt-BR"/>
        </w:rPr>
        <w:t>MDA</w:t>
      </w:r>
      <w:r w:rsidRPr="009E6B2F">
        <w:rPr>
          <w:lang w:val="pt-BR"/>
        </w:rPr>
        <w:t xml:space="preserve">”), administrado e operacionalizado pela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sendo a distribuição liquidada financeiramente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p>
    <w:p w14:paraId="5038E360" w14:textId="77777777" w:rsidR="00883C1A" w:rsidRDefault="00883C1A" w:rsidP="00883C1A">
      <w:pPr>
        <w:pStyle w:val="Level3"/>
        <w:numPr>
          <w:ilvl w:val="2"/>
          <w:numId w:val="11"/>
        </w:numPr>
        <w:spacing w:before="140"/>
        <w:rPr>
          <w:lang w:val="pt-BR"/>
        </w:rPr>
      </w:pPr>
      <w:bookmarkStart w:id="193" w:name="_DV_M25"/>
      <w:bookmarkStart w:id="194" w:name="_DV_M26"/>
      <w:bookmarkStart w:id="195" w:name="_DV_M27"/>
      <w:bookmarkStart w:id="196" w:name="_DV_M29"/>
      <w:bookmarkStart w:id="197" w:name="_DV_M30"/>
      <w:bookmarkStart w:id="198" w:name="_DV_M34"/>
      <w:bookmarkStart w:id="199" w:name="_DV_M35"/>
      <w:bookmarkStart w:id="200" w:name="_DV_M36"/>
      <w:bookmarkStart w:id="201" w:name="_DV_M37"/>
      <w:bookmarkEnd w:id="193"/>
      <w:bookmarkEnd w:id="194"/>
      <w:bookmarkEnd w:id="195"/>
      <w:bookmarkEnd w:id="196"/>
      <w:bookmarkEnd w:id="197"/>
      <w:bookmarkEnd w:id="198"/>
      <w:bookmarkEnd w:id="199"/>
      <w:bookmarkEnd w:id="200"/>
      <w:bookmarkEnd w:id="201"/>
      <w:r w:rsidRPr="009E6B2F">
        <w:rPr>
          <w:lang w:val="pt-BR"/>
        </w:rPr>
        <w:t xml:space="preserve">As Debêntures serão </w:t>
      </w:r>
      <w:r>
        <w:rPr>
          <w:lang w:val="pt-BR"/>
        </w:rPr>
        <w:t>depositadas</w:t>
      </w:r>
      <w:r w:rsidRPr="009E6B2F">
        <w:rPr>
          <w:lang w:val="pt-BR"/>
        </w:rPr>
        <w:t xml:space="preserve"> </w:t>
      </w:r>
      <w:r>
        <w:rPr>
          <w:lang w:val="pt-BR"/>
        </w:rPr>
        <w:t xml:space="preserve">na B3 – Segmento </w:t>
      </w:r>
      <w:proofErr w:type="spellStart"/>
      <w:r>
        <w:rPr>
          <w:lang w:val="pt-BR"/>
        </w:rPr>
        <w:t>Cetip</w:t>
      </w:r>
      <w:proofErr w:type="spellEnd"/>
      <w:r>
        <w:rPr>
          <w:lang w:val="pt-BR"/>
        </w:rPr>
        <w:t xml:space="preserve"> UTVM </w:t>
      </w:r>
      <w:r w:rsidRPr="009E6B2F">
        <w:rPr>
          <w:lang w:val="pt-BR"/>
        </w:rPr>
        <w:t>para negociação no mercado secundário por meio do CETIP21 – Títulos e Valores Mobiliários (“</w:t>
      </w:r>
      <w:r w:rsidRPr="009E6B2F">
        <w:rPr>
          <w:b/>
          <w:lang w:val="pt-BR"/>
        </w:rPr>
        <w:t>CETIP21</w:t>
      </w:r>
      <w:r w:rsidRPr="009E6B2F">
        <w:rPr>
          <w:lang w:val="pt-BR"/>
        </w:rPr>
        <w:t xml:space="preserve">”), administrado e operacionalizado pela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sendo as negociações liquidadas financeiramente e as Debêntures </w:t>
      </w:r>
      <w:r>
        <w:rPr>
          <w:lang w:val="pt-BR"/>
        </w:rPr>
        <w:t>custodiadas</w:t>
      </w:r>
      <w:r w:rsidRPr="009E6B2F">
        <w:rPr>
          <w:lang w:val="pt-BR"/>
        </w:rPr>
        <w:t xml:space="preserve"> 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p>
    <w:p w14:paraId="3177B271" w14:textId="77777777" w:rsidR="00883C1A" w:rsidRPr="00ED4800" w:rsidRDefault="00883C1A" w:rsidP="00883C1A">
      <w:pPr>
        <w:pStyle w:val="Level2"/>
        <w:numPr>
          <w:ilvl w:val="1"/>
          <w:numId w:val="11"/>
        </w:numPr>
        <w:rPr>
          <w:b/>
        </w:rPr>
      </w:pPr>
      <w:r w:rsidRPr="00ED4800">
        <w:rPr>
          <w:b/>
        </w:rPr>
        <w:t>Enquadramento do Projeto</w:t>
      </w:r>
    </w:p>
    <w:p w14:paraId="5805675A" w14:textId="77777777" w:rsidR="00883C1A" w:rsidRPr="003B6FB9" w:rsidRDefault="00883C1A" w:rsidP="00883C1A">
      <w:pPr>
        <w:pStyle w:val="Level3"/>
        <w:numPr>
          <w:ilvl w:val="2"/>
          <w:numId w:val="11"/>
        </w:numPr>
        <w:rPr>
          <w:lang w:val="pt-BR"/>
        </w:rPr>
      </w:pPr>
      <w:r w:rsidRPr="00AB4772">
        <w:rPr>
          <w:lang w:val="pt-BR"/>
        </w:rPr>
        <w:tab/>
        <w:t xml:space="preserve">As Debêntures contarão com o incentivo </w:t>
      </w:r>
      <w:r w:rsidRPr="00FD5FA9">
        <w:rPr>
          <w:lang w:val="pt-BR"/>
        </w:rPr>
        <w:t>previsto no artigo 2º da</w:t>
      </w:r>
      <w:r w:rsidRPr="00AB4772">
        <w:rPr>
          <w:lang w:val="pt-BR"/>
        </w:rPr>
        <w:t xml:space="preserve"> Lei n° 12.431, de 24 de junho de 2011, conforme alterada (“</w:t>
      </w:r>
      <w:r w:rsidRPr="00AB4772">
        <w:rPr>
          <w:b/>
          <w:lang w:val="pt-BR"/>
        </w:rPr>
        <w:t>Lei 12.431</w:t>
      </w:r>
      <w:r w:rsidRPr="00AB4772">
        <w:rPr>
          <w:lang w:val="pt-BR"/>
        </w:rPr>
        <w:t>”), do Decreto n° 8.874, de 11 de outubro de 2016 (“</w:t>
      </w:r>
      <w:r w:rsidRPr="00AB4772">
        <w:rPr>
          <w:b/>
          <w:lang w:val="pt-BR"/>
        </w:rPr>
        <w:t>Decreto 8.874</w:t>
      </w:r>
      <w:r w:rsidRPr="00AB4772">
        <w:rPr>
          <w:lang w:val="pt-BR"/>
        </w:rPr>
        <w:t>”), da Resolução do Conselho Monetário Nacional (“</w:t>
      </w:r>
      <w:r w:rsidRPr="00AB4772">
        <w:rPr>
          <w:b/>
          <w:lang w:val="pt-BR"/>
        </w:rPr>
        <w:t>CMN</w:t>
      </w:r>
      <w:r w:rsidRPr="00AB4772">
        <w:rPr>
          <w:lang w:val="pt-BR"/>
        </w:rPr>
        <w:t>”) n° 3.947, de 27 de janeiro de 2011 (“</w:t>
      </w:r>
      <w:r w:rsidRPr="00AB4772">
        <w:rPr>
          <w:b/>
          <w:lang w:val="pt-BR"/>
        </w:rPr>
        <w:t>Resolução CMN 3.947</w:t>
      </w:r>
      <w:r w:rsidRPr="00AB4772">
        <w:rPr>
          <w:lang w:val="pt-BR"/>
        </w:rPr>
        <w:t>”)</w:t>
      </w:r>
      <w:r>
        <w:rPr>
          <w:lang w:val="pt-BR"/>
        </w:rPr>
        <w:t xml:space="preserve"> e da Resolução CMN nº 4.751, de 26 de setembro de 2019 (“</w:t>
      </w:r>
      <w:r w:rsidRPr="00056862">
        <w:rPr>
          <w:b/>
          <w:lang w:val="pt-BR"/>
        </w:rPr>
        <w:t>Resolução CMN 4.751</w:t>
      </w:r>
      <w:r>
        <w:rPr>
          <w:lang w:val="pt-BR"/>
        </w:rPr>
        <w:t>”)</w:t>
      </w:r>
      <w:r w:rsidRPr="00AB4772">
        <w:rPr>
          <w:lang w:val="pt-BR"/>
        </w:rPr>
        <w:t xml:space="preserve">, sendo a totalidade dos recursos captados na Emissão das Debêntures aplicados no Projeto (conforme definido e descrito na Cláusula </w:t>
      </w:r>
      <w:r>
        <w:rPr>
          <w:lang w:val="pt-BR"/>
        </w:rPr>
        <w:t>4.2</w:t>
      </w:r>
      <w:r w:rsidRPr="00AB4772">
        <w:rPr>
          <w:lang w:val="pt-BR"/>
        </w:rPr>
        <w:t xml:space="preserve"> abaixo), tendo em vista o enquadramento do Projeto como projeto prioritário pelo </w:t>
      </w:r>
      <w:r w:rsidRPr="00FD5FA9">
        <w:rPr>
          <w:lang w:val="pt-BR"/>
        </w:rPr>
        <w:t>Ministério de Minas e Energia (“</w:t>
      </w:r>
      <w:r w:rsidRPr="00FD5FA9">
        <w:rPr>
          <w:b/>
          <w:lang w:val="pt-BR"/>
        </w:rPr>
        <w:t>MME</w:t>
      </w:r>
      <w:r w:rsidRPr="00FD5FA9">
        <w:rPr>
          <w:lang w:val="pt-BR"/>
        </w:rPr>
        <w:t>”)</w:t>
      </w:r>
      <w:r w:rsidRPr="00AB4772">
        <w:rPr>
          <w:lang w:val="pt-BR"/>
        </w:rPr>
        <w:t xml:space="preserve">, por meio da </w:t>
      </w:r>
      <w:r w:rsidRPr="00FD5FA9">
        <w:rPr>
          <w:lang w:val="pt-BR"/>
        </w:rPr>
        <w:t>Portaria</w:t>
      </w:r>
      <w:r>
        <w:rPr>
          <w:lang w:val="pt-BR"/>
        </w:rPr>
        <w:t xml:space="preserve"> do MME</w:t>
      </w:r>
      <w:r w:rsidRPr="00FD5FA9">
        <w:rPr>
          <w:lang w:val="pt-BR"/>
        </w:rPr>
        <w:t xml:space="preserve"> nº 86, de 1 de abril de 2019</w:t>
      </w:r>
      <w:r>
        <w:rPr>
          <w:lang w:val="pt-BR"/>
        </w:rPr>
        <w:t>,</w:t>
      </w:r>
      <w:r w:rsidRPr="00EA7904">
        <w:rPr>
          <w:lang w:val="pt-BR"/>
        </w:rPr>
        <w:t xml:space="preserve"> publicadas no Diário Oficial da União </w:t>
      </w:r>
      <w:r w:rsidRPr="00134F48">
        <w:rPr>
          <w:bCs/>
          <w:lang w:val="pt-BR"/>
        </w:rPr>
        <w:t>("</w:t>
      </w:r>
      <w:r w:rsidRPr="00EA7904">
        <w:rPr>
          <w:b/>
          <w:bCs/>
          <w:lang w:val="pt-BR"/>
        </w:rPr>
        <w:t>DOU</w:t>
      </w:r>
      <w:r w:rsidRPr="00134F48">
        <w:rPr>
          <w:bCs/>
          <w:lang w:val="pt-BR"/>
        </w:rPr>
        <w:t>")</w:t>
      </w:r>
      <w:r w:rsidRPr="00EA7904">
        <w:rPr>
          <w:b/>
          <w:bCs/>
          <w:lang w:val="pt-BR"/>
        </w:rPr>
        <w:t xml:space="preserve"> </w:t>
      </w:r>
      <w:r w:rsidRPr="00EA7904">
        <w:rPr>
          <w:lang w:val="pt-BR"/>
        </w:rPr>
        <w:t>no dia</w:t>
      </w:r>
      <w:r>
        <w:rPr>
          <w:lang w:val="pt-BR"/>
        </w:rPr>
        <w:t xml:space="preserve"> </w:t>
      </w:r>
      <w:r w:rsidRPr="00FD5FA9">
        <w:rPr>
          <w:lang w:val="pt-BR"/>
        </w:rPr>
        <w:t>03 de abril de 2019</w:t>
      </w:r>
      <w:r>
        <w:rPr>
          <w:lang w:val="pt-BR"/>
        </w:rPr>
        <w:t xml:space="preserve"> </w:t>
      </w:r>
      <w:r w:rsidRPr="00AB4772">
        <w:rPr>
          <w:lang w:val="pt-BR"/>
        </w:rPr>
        <w:t>(“</w:t>
      </w:r>
      <w:r w:rsidRPr="00050C51">
        <w:rPr>
          <w:b/>
          <w:lang w:val="pt-BR"/>
        </w:rPr>
        <w:t>Portaria</w:t>
      </w:r>
      <w:r w:rsidRPr="00050C51">
        <w:rPr>
          <w:lang w:val="pt-BR"/>
        </w:rPr>
        <w:t>”).</w:t>
      </w:r>
      <w:r w:rsidRPr="00AB4772">
        <w:rPr>
          <w:lang w:val="pt-BR"/>
        </w:rPr>
        <w:t xml:space="preserve"> </w:t>
      </w:r>
    </w:p>
    <w:p w14:paraId="625ABA6A" w14:textId="77777777" w:rsidR="00883C1A" w:rsidRDefault="00883C1A" w:rsidP="00883C1A">
      <w:pPr>
        <w:pStyle w:val="Level2"/>
        <w:numPr>
          <w:ilvl w:val="1"/>
          <w:numId w:val="11"/>
        </w:numPr>
        <w:rPr>
          <w:b/>
        </w:rPr>
      </w:pPr>
      <w:bookmarkStart w:id="202" w:name="_Ref6506373"/>
      <w:r w:rsidRPr="003B6FB9">
        <w:rPr>
          <w:b/>
        </w:rPr>
        <w:t xml:space="preserve">Caracterização </w:t>
      </w:r>
      <w:r>
        <w:rPr>
          <w:b/>
        </w:rPr>
        <w:t xml:space="preserve">das Debêntures </w:t>
      </w:r>
      <w:r w:rsidRPr="003B6FB9">
        <w:rPr>
          <w:b/>
        </w:rPr>
        <w:t>como “Debêntures Verdes”</w:t>
      </w:r>
      <w:bookmarkEnd w:id="202"/>
    </w:p>
    <w:p w14:paraId="4DAE62BA" w14:textId="77777777" w:rsidR="00883C1A" w:rsidRPr="00134F48" w:rsidRDefault="00883C1A" w:rsidP="00883C1A">
      <w:pPr>
        <w:pStyle w:val="Level3"/>
        <w:numPr>
          <w:ilvl w:val="2"/>
          <w:numId w:val="11"/>
        </w:numPr>
        <w:rPr>
          <w:lang w:val="pt-BR"/>
        </w:rPr>
      </w:pPr>
      <w:r w:rsidRPr="00134F48">
        <w:rPr>
          <w:lang w:val="pt-BR"/>
        </w:rPr>
        <w:t xml:space="preserve">As Debêntures serão caracterizadas como “Debêntures </w:t>
      </w:r>
      <w:r w:rsidRPr="00F60E15">
        <w:rPr>
          <w:lang w:val="pt-BR"/>
        </w:rPr>
        <w:t>Verdes” com base em: (i) Parecer de Segunda Opinião (“</w:t>
      </w:r>
      <w:r w:rsidRPr="00F60E15">
        <w:rPr>
          <w:b/>
          <w:lang w:val="pt-BR"/>
        </w:rPr>
        <w:t>Parecer</w:t>
      </w:r>
      <w:r w:rsidRPr="00F60E15">
        <w:rPr>
          <w:lang w:val="pt-BR"/>
        </w:rPr>
        <w:t xml:space="preserve">”) emitido pela consultoria especializada </w:t>
      </w:r>
      <w:proofErr w:type="spellStart"/>
      <w:r w:rsidRPr="00F60E15">
        <w:rPr>
          <w:lang w:val="pt-BR"/>
        </w:rPr>
        <w:t>SITAWl</w:t>
      </w:r>
      <w:proofErr w:type="spellEnd"/>
      <w:r w:rsidRPr="00F60E15">
        <w:rPr>
          <w:lang w:val="pt-BR"/>
        </w:rPr>
        <w:t xml:space="preserve"> Finanças do Bem, com base</w:t>
      </w:r>
      <w:r w:rsidRPr="00134F48">
        <w:rPr>
          <w:lang w:val="pt-BR"/>
        </w:rPr>
        <w:t xml:space="preserve"> nas diretrizes do </w:t>
      </w:r>
      <w:r w:rsidRPr="00134F48">
        <w:rPr>
          <w:i/>
          <w:lang w:val="pt-BR"/>
        </w:rPr>
        <w:t xml:space="preserve">Green Bond </w:t>
      </w:r>
      <w:proofErr w:type="spellStart"/>
      <w:r w:rsidRPr="00134F48">
        <w:rPr>
          <w:i/>
          <w:lang w:val="pt-BR"/>
        </w:rPr>
        <w:t>Principles</w:t>
      </w:r>
      <w:proofErr w:type="spellEnd"/>
      <w:r w:rsidRPr="00134F48">
        <w:rPr>
          <w:lang w:val="pt-BR"/>
        </w:rPr>
        <w:t xml:space="preserve"> de Junho de 2018; (</w:t>
      </w:r>
      <w:proofErr w:type="spellStart"/>
      <w:r w:rsidRPr="00134F48">
        <w:rPr>
          <w:lang w:val="pt-BR"/>
        </w:rPr>
        <w:t>ii</w:t>
      </w:r>
      <w:proofErr w:type="spellEnd"/>
      <w:r w:rsidRPr="00134F48">
        <w:rPr>
          <w:lang w:val="pt-BR"/>
        </w:rPr>
        <w:t xml:space="preserve">) reporte anual, durante a vigência das Debêntures, dos benefícios ambientais auferidos pelo </w:t>
      </w:r>
      <w:r>
        <w:rPr>
          <w:lang w:val="pt-BR"/>
        </w:rPr>
        <w:t>P</w:t>
      </w:r>
      <w:r w:rsidRPr="00134F48">
        <w:rPr>
          <w:lang w:val="pt-BR"/>
        </w:rPr>
        <w:t>rojeto conforme indicadores definidos no Parecer; e (</w:t>
      </w:r>
      <w:proofErr w:type="spellStart"/>
      <w:r w:rsidRPr="00134F48">
        <w:rPr>
          <w:lang w:val="pt-BR"/>
        </w:rPr>
        <w:t>iii</w:t>
      </w:r>
      <w:proofErr w:type="spellEnd"/>
      <w:r w:rsidRPr="00134F48">
        <w:rPr>
          <w:lang w:val="pt-BR"/>
        </w:rPr>
        <w:t>) marcação nos sistemas da B3 como título verde, com base em requerimentos desta.</w:t>
      </w:r>
    </w:p>
    <w:p w14:paraId="360E5AD4" w14:textId="77777777" w:rsidR="00883C1A" w:rsidRPr="00134F48" w:rsidRDefault="00883C1A" w:rsidP="00883C1A">
      <w:pPr>
        <w:pStyle w:val="Level3"/>
        <w:numPr>
          <w:ilvl w:val="2"/>
          <w:numId w:val="11"/>
        </w:numPr>
        <w:rPr>
          <w:lang w:val="pt-BR"/>
        </w:rPr>
      </w:pPr>
      <w:r w:rsidRPr="00134F48">
        <w:rPr>
          <w:lang w:val="pt-BR"/>
        </w:rPr>
        <w:t>O Parecer e todos os compromissos formais exigidos pela consultoria especializada nesta data serão disponibilizados na página da rede mundial de computadores da Emissora (</w:t>
      </w:r>
      <w:r w:rsidRPr="00946006">
        <w:rPr>
          <w:lang w:val="pt-BR"/>
        </w:rPr>
        <w:t>http://ri.taesa.com.br</w:t>
      </w:r>
      <w:r w:rsidRPr="00134F48">
        <w:rPr>
          <w:lang w:val="pt-BR"/>
        </w:rPr>
        <w:t>), bem como será enviada uma cópia eletrônica (</w:t>
      </w:r>
      <w:proofErr w:type="spellStart"/>
      <w:r w:rsidRPr="00134F48">
        <w:rPr>
          <w:lang w:val="pt-BR"/>
        </w:rPr>
        <w:t>pdf</w:t>
      </w:r>
      <w:proofErr w:type="spellEnd"/>
      <w:r w:rsidRPr="00134F48">
        <w:rPr>
          <w:lang w:val="pt-BR"/>
        </w:rPr>
        <w:t>) ao Agente Fiduciário em conjunto com os demais documentos da Oferta.</w:t>
      </w:r>
      <w:r>
        <w:rPr>
          <w:lang w:val="pt-BR"/>
        </w:rPr>
        <w:t xml:space="preserve"> </w:t>
      </w:r>
    </w:p>
    <w:p w14:paraId="5FBF4803" w14:textId="77777777" w:rsidR="00883C1A" w:rsidRPr="00B24079" w:rsidRDefault="00883C1A" w:rsidP="00883C1A">
      <w:pPr>
        <w:pStyle w:val="Level3"/>
        <w:numPr>
          <w:ilvl w:val="2"/>
          <w:numId w:val="11"/>
        </w:numPr>
        <w:rPr>
          <w:sz w:val="22"/>
          <w:lang w:val="pt-BR"/>
        </w:rPr>
      </w:pPr>
      <w:r w:rsidRPr="00975C89">
        <w:rPr>
          <w:lang w:val="pt-BR"/>
        </w:rPr>
        <w:t xml:space="preserve">No prazo de 1 (um) ano a contar da Data </w:t>
      </w:r>
      <w:r w:rsidRPr="00F60E15">
        <w:rPr>
          <w:lang w:val="pt-BR"/>
        </w:rPr>
        <w:t>de Emissão, a consultoria especializada SITAWI Finanças do Bem atualizará o Parecer</w:t>
      </w:r>
      <w:r w:rsidRPr="00975C89">
        <w:rPr>
          <w:lang w:val="pt-BR"/>
        </w:rPr>
        <w:t>, mediante a emissão de um novo parecer, o qual também será disponibilizado ao mercado e ao Agente Fiduciário de acordo com esta Cláusula.</w:t>
      </w:r>
      <w:bookmarkStart w:id="203" w:name="_Ref475090616"/>
    </w:p>
    <w:p w14:paraId="483A827E" w14:textId="77777777" w:rsidR="00883C1A" w:rsidRPr="009E6B2F" w:rsidRDefault="00883C1A" w:rsidP="00883C1A">
      <w:pPr>
        <w:pStyle w:val="Level1"/>
        <w:keepLines w:val="0"/>
        <w:numPr>
          <w:ilvl w:val="0"/>
          <w:numId w:val="11"/>
        </w:numPr>
        <w:autoSpaceDE w:val="0"/>
        <w:autoSpaceDN w:val="0"/>
        <w:adjustRightInd w:val="0"/>
      </w:pPr>
      <w:r w:rsidRPr="009E6B2F">
        <w:t>OBJETO SOCIAL</w:t>
      </w:r>
      <w:bookmarkEnd w:id="203"/>
    </w:p>
    <w:p w14:paraId="07ACE8BB" w14:textId="77777777" w:rsidR="00883C1A" w:rsidRPr="00AE33A7" w:rsidRDefault="00883C1A" w:rsidP="00883C1A">
      <w:pPr>
        <w:pStyle w:val="Level2"/>
        <w:numPr>
          <w:ilvl w:val="1"/>
          <w:numId w:val="11"/>
        </w:numPr>
      </w:pPr>
      <w:r w:rsidRPr="00AE33A7">
        <w:t>Nos termos do artigo 3º do Estatuto Social da Emissora, as atividades abaixo indicadas estão inseridas no objeto social da Emissora:</w:t>
      </w:r>
    </w:p>
    <w:p w14:paraId="0F68EFF4" w14:textId="77777777" w:rsidR="00883C1A" w:rsidRPr="00AE33A7" w:rsidRDefault="00883C1A" w:rsidP="00883C1A">
      <w:pPr>
        <w:pStyle w:val="Level4"/>
        <w:numPr>
          <w:ilvl w:val="3"/>
          <w:numId w:val="11"/>
        </w:numPr>
        <w:tabs>
          <w:tab w:val="clear" w:pos="2041"/>
          <w:tab w:val="num" w:pos="1361"/>
        </w:tabs>
        <w:ind w:left="1360"/>
      </w:pPr>
      <w:bookmarkStart w:id="204" w:name="_Hlk25601499"/>
      <w:r w:rsidRPr="00AE33A7">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rPr>
        <w:t>ANEEL</w:t>
      </w:r>
      <w:r w:rsidRPr="00AE33A7">
        <w:t>”) nº 02/2000, consistentes (i) na Linha de Transmissão 500 kV entre as subestações Samambaia e Imperatriz, com extensão aproximada de 1.260 km, com origem na subestação 500 kV Samambaia e término na subestação 500 kV Imperatriz; (</w:t>
      </w:r>
      <w:proofErr w:type="spellStart"/>
      <w:r w:rsidRPr="00AE33A7">
        <w:t>ii</w:t>
      </w:r>
      <w:proofErr w:type="spellEnd"/>
      <w:r w:rsidRPr="00AE33A7">
        <w:t>) nas subestações Samambaia, Serra da Mesa, Gurupi, Miracema, Colinas e Imperatriz; (</w:t>
      </w:r>
      <w:proofErr w:type="spellStart"/>
      <w:r w:rsidRPr="00AE33A7">
        <w:t>iii</w:t>
      </w:r>
      <w:proofErr w:type="spellEnd"/>
      <w:r w:rsidRPr="00AE33A7">
        <w:t>) nas respectivas Entradas de Linha, Interligações de Barra e demais instalações necessárias às funções de medição, operação, supervisão, proteção, comando, controle, telecomunicação, administração e apoio, bem como (</w:t>
      </w:r>
      <w:proofErr w:type="spellStart"/>
      <w:r w:rsidRPr="00AE33A7">
        <w:t>iv</w:t>
      </w:r>
      <w:proofErr w:type="spellEnd"/>
      <w:r w:rsidRPr="00AE33A7">
        <w:t>) em eventuais futuras ampliações ou expansões que forem determinadas pela ANEEL ou por outro órgão concedente;</w:t>
      </w:r>
    </w:p>
    <w:p w14:paraId="47CA28F3" w14:textId="77777777" w:rsidR="00883C1A" w:rsidRPr="00AE33A7" w:rsidRDefault="00883C1A" w:rsidP="00883C1A">
      <w:pPr>
        <w:pStyle w:val="Level4"/>
        <w:numPr>
          <w:ilvl w:val="3"/>
          <w:numId w:val="11"/>
        </w:numPr>
        <w:tabs>
          <w:tab w:val="clear" w:pos="2041"/>
          <w:tab w:val="num" w:pos="1361"/>
        </w:tabs>
        <w:ind w:left="1360"/>
      </w:pPr>
      <w:r w:rsidRPr="00AE33A7">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w:t>
      </w:r>
      <w:proofErr w:type="spellStart"/>
      <w:r w:rsidRPr="00AE33A7">
        <w:t>Ibicoara</w:t>
      </w:r>
      <w:proofErr w:type="spellEnd"/>
      <w:r w:rsidRPr="00AE33A7">
        <w:t xml:space="preserve"> (</w:t>
      </w:r>
      <w:proofErr w:type="spellStart"/>
      <w:r w:rsidRPr="00AE33A7">
        <w:t>Mucugê</w:t>
      </w:r>
      <w:proofErr w:type="spellEnd"/>
      <w:r w:rsidRPr="00AE33A7">
        <w:t xml:space="preserve">) e </w:t>
      </w:r>
      <w:proofErr w:type="spellStart"/>
      <w:r w:rsidRPr="00AE33A7">
        <w:t>Sapeaçu</w:t>
      </w:r>
      <w:proofErr w:type="spellEnd"/>
      <w:r w:rsidRPr="00AE33A7">
        <w:t xml:space="preserve"> (Governador Mangabeira II), com extensão aproximada de 1.050 km, com origem na subestação 500 kV Serra da Mesa e término na subestação 500 kV </w:t>
      </w:r>
      <w:proofErr w:type="spellStart"/>
      <w:r w:rsidRPr="00AE33A7">
        <w:t>Sapeaçu</w:t>
      </w:r>
      <w:proofErr w:type="spellEnd"/>
      <w:r w:rsidRPr="00AE33A7">
        <w:t>; (</w:t>
      </w:r>
      <w:proofErr w:type="spellStart"/>
      <w:r w:rsidRPr="00AE33A7">
        <w:t>ii</w:t>
      </w:r>
      <w:proofErr w:type="spellEnd"/>
      <w:r w:rsidRPr="00AE33A7">
        <w:t xml:space="preserve">) nas subestações Rio das Éguas (Correntina) – 500 kV, Bom Jesus da Lapa II – 500/230 kV, </w:t>
      </w:r>
      <w:proofErr w:type="spellStart"/>
      <w:r w:rsidRPr="00AE33A7">
        <w:t>Ibicoara</w:t>
      </w:r>
      <w:proofErr w:type="spellEnd"/>
      <w:r w:rsidRPr="00AE33A7">
        <w:t xml:space="preserve"> (</w:t>
      </w:r>
      <w:proofErr w:type="spellStart"/>
      <w:r w:rsidRPr="00AE33A7">
        <w:t>Mucugê</w:t>
      </w:r>
      <w:proofErr w:type="spellEnd"/>
      <w:r w:rsidRPr="00AE33A7">
        <w:t xml:space="preserve">) – 500 kV, </w:t>
      </w:r>
      <w:proofErr w:type="spellStart"/>
      <w:r w:rsidRPr="00AE33A7">
        <w:t>Sapeaçu</w:t>
      </w:r>
      <w:proofErr w:type="spellEnd"/>
      <w:r w:rsidRPr="00AE33A7">
        <w:t xml:space="preserve"> (Governador Mangabeira II) – 500/230 kV; (</w:t>
      </w:r>
      <w:proofErr w:type="spellStart"/>
      <w:r w:rsidRPr="00AE33A7">
        <w:t>iii</w:t>
      </w:r>
      <w:proofErr w:type="spellEnd"/>
      <w:r w:rsidRPr="00AE33A7">
        <w:t>) nas instalações de Entrada de Linha em 500 kV na subestação Serra da Mesa; (</w:t>
      </w:r>
      <w:proofErr w:type="spellStart"/>
      <w:r w:rsidRPr="00AE33A7">
        <w:t>iv</w:t>
      </w:r>
      <w:proofErr w:type="spellEnd"/>
      <w:r w:rsidRPr="00AE33A7">
        <w:t xml:space="preserve">) no seccionamento das três Linhas em 230 kV Governador Mangabeira – Funil de propriedade da CHESF, incluindo a construção dos seis trechos de Linha de 230 kV, para conexão com a nova subestação 500/230 kV </w:t>
      </w:r>
      <w:proofErr w:type="spellStart"/>
      <w:r w:rsidRPr="00AE33A7">
        <w:t>Sapeaçu</w:t>
      </w:r>
      <w:proofErr w:type="spellEnd"/>
      <w:r w:rsidRPr="00AE33A7">
        <w:t xml:space="preserve"> (Governador Mangabeira II); (v) em duas interligações em 230 kV entre a subestação de Bom Jesus da Lapa II; (vi) nas respectivas Entradas de Linha, Interligações de Barra e demais instalações necessárias às funções de medição, operação, supervisão, proteção, comando, controle, telecomunicação, administração e apoio, bem como</w:t>
      </w:r>
      <w:r>
        <w:t>;</w:t>
      </w:r>
      <w:r w:rsidRPr="00AE33A7">
        <w:t xml:space="preserve"> (</w:t>
      </w:r>
      <w:proofErr w:type="spellStart"/>
      <w:r w:rsidRPr="00AE33A7">
        <w:t>vii</w:t>
      </w:r>
      <w:proofErr w:type="spellEnd"/>
      <w:r w:rsidRPr="00AE33A7">
        <w:t>) em eventuais futuras ampliações ou expansões que forem determinadas pela ANEEL ou por outro órgão concedente;</w:t>
      </w:r>
    </w:p>
    <w:p w14:paraId="3191CCCB" w14:textId="77777777" w:rsidR="00883C1A" w:rsidRPr="00AE33A7" w:rsidRDefault="00883C1A" w:rsidP="00883C1A">
      <w:pPr>
        <w:pStyle w:val="Level4"/>
        <w:numPr>
          <w:ilvl w:val="3"/>
          <w:numId w:val="11"/>
        </w:numPr>
        <w:tabs>
          <w:tab w:val="clear" w:pos="2041"/>
          <w:tab w:val="num" w:pos="1361"/>
        </w:tabs>
        <w:ind w:left="1360"/>
      </w:pPr>
      <w:r w:rsidRPr="00AE33A7">
        <w:t xml:space="preserve">Operar e explorar a concessão de serviço público de transmissão de energia elétrica para implantação, operação e manutenção das linhas de transmissão </w:t>
      </w:r>
      <w:proofErr w:type="spellStart"/>
      <w:r w:rsidRPr="00AE33A7">
        <w:t>Taquaruçú</w:t>
      </w:r>
      <w:proofErr w:type="spellEnd"/>
      <w:r w:rsidRPr="00AE33A7">
        <w:t>-Assis e Assis-Sumaré, em 440 kV, e instalações vinculadas, incluindo eventuais futuras ampliações ou expansões que forem determinadas pela ANEEL ou por outro órgão concedente, localizadas no Estado de São Paulo, de acordo com os requisitos técnicos presentes no Edital de Concorrência Pública nº 007/1999 da ANEEL e nos termos do Contrato de Concessão nº 40/2000 – ANEEL, firmado entre a sociedade incorporada pela Companhia, a ETEO-Empresa de Transmissão de Energia do Oeste S.A., e a ANEEL;</w:t>
      </w:r>
    </w:p>
    <w:p w14:paraId="416A4B68" w14:textId="77777777" w:rsidR="00883C1A" w:rsidRPr="00AE33A7" w:rsidRDefault="00883C1A" w:rsidP="00883C1A">
      <w:pPr>
        <w:pStyle w:val="Level4"/>
        <w:numPr>
          <w:ilvl w:val="3"/>
          <w:numId w:val="11"/>
        </w:numPr>
        <w:tabs>
          <w:tab w:val="clear" w:pos="2041"/>
          <w:tab w:val="num" w:pos="1361"/>
        </w:tabs>
        <w:ind w:left="1360"/>
      </w:pPr>
      <w:r w:rsidRPr="00AE33A7">
        <w:t>Operar e explorar a concessão de serviço público de transmissão de energia elétrica para implantação, operação e manutenção das linhas de transmissão Goianinha-</w:t>
      </w:r>
      <w:proofErr w:type="spellStart"/>
      <w:r w:rsidRPr="00AE33A7">
        <w:t>Mussuré</w:t>
      </w:r>
      <w:proofErr w:type="spellEnd"/>
      <w:r w:rsidRPr="00AE33A7">
        <w:t>, em 230 kV, e instalações vinculadas, incluindo eventuais futuras ampliações ou expansões que forem determinadas pela ANEEL ou por outro órgão concedente, localizadas nos Estados de Pernambuco e Paraíba, de acordo com os requisitos técnicos presentes no Edital de Concorrência Pública nº 003/2001 da ANEEL e nos termos do Contrato de Concessão nº 001/2002 – ANEEL;</w:t>
      </w:r>
    </w:p>
    <w:p w14:paraId="25DBAF72" w14:textId="77777777" w:rsidR="00883C1A" w:rsidRPr="00AE33A7" w:rsidRDefault="00883C1A" w:rsidP="00883C1A">
      <w:pPr>
        <w:pStyle w:val="Level4"/>
        <w:numPr>
          <w:ilvl w:val="3"/>
          <w:numId w:val="11"/>
        </w:numPr>
        <w:tabs>
          <w:tab w:val="clear" w:pos="2041"/>
          <w:tab w:val="num" w:pos="1361"/>
        </w:tabs>
        <w:ind w:left="1360"/>
      </w:pPr>
      <w:r w:rsidRPr="00AE33A7">
        <w:t>Operar e explorar a concessão de serviço público de transmissão de energia elétrica para implantação, operação e manutenção das linhas de transmissão Paraíso-Açu, em 230 kV, e instalações vinculadas, incluindo eventuais futuras ampliações ou expansões que forem determinadas pela ANEEL ou por outro órgão concedente, localizadas no Estado do Rio Grande do Norte, de acordo com os requisitos técnicos presentes no Edital de Concorrência Pública nº 003/2001 da ANEEL e nos termos do Contrato de Concessão nº 87/2002 – ANEEL;</w:t>
      </w:r>
    </w:p>
    <w:p w14:paraId="77E67A02" w14:textId="77777777" w:rsidR="00883C1A" w:rsidRPr="00AE33A7" w:rsidRDefault="00883C1A" w:rsidP="00883C1A">
      <w:pPr>
        <w:pStyle w:val="Level4"/>
        <w:numPr>
          <w:ilvl w:val="3"/>
          <w:numId w:val="11"/>
        </w:numPr>
        <w:tabs>
          <w:tab w:val="clear" w:pos="2041"/>
          <w:tab w:val="num" w:pos="1361"/>
        </w:tabs>
        <w:ind w:left="1360"/>
      </w:pPr>
      <w:r w:rsidRPr="00AE33A7">
        <w:t>Operar e explorar a concessão de serviço público de transmissão de energia elétrica para implantação, operação e manutenção das linhas de transmissão Camaçari II-</w:t>
      </w:r>
      <w:proofErr w:type="spellStart"/>
      <w:r w:rsidRPr="00AE33A7">
        <w:t>Sapeaçu</w:t>
      </w:r>
      <w:proofErr w:type="spellEnd"/>
      <w:r w:rsidRPr="00AE33A7">
        <w:t>, em 500 kV, e instalações vinculadas, incluindo eventuais futuras ampliações ou expansões que forem determinadas pela ANEEL ou por outro órgão concedente, localizadas no Estado da Bahia, de acordo com os requisitos técnicos presentes no Edital de Concorrência Pública nº 001/2003 da ANEEL e nos termos do Contrato de Concessão nº 006/2004 – ANEEL;</w:t>
      </w:r>
    </w:p>
    <w:p w14:paraId="5FE39782" w14:textId="77777777" w:rsidR="00883C1A" w:rsidRPr="00AE33A7" w:rsidRDefault="00883C1A" w:rsidP="00883C1A">
      <w:pPr>
        <w:pStyle w:val="Level4"/>
        <w:numPr>
          <w:ilvl w:val="3"/>
          <w:numId w:val="11"/>
        </w:numPr>
        <w:tabs>
          <w:tab w:val="clear" w:pos="2041"/>
          <w:tab w:val="num" w:pos="1361"/>
        </w:tabs>
        <w:ind w:left="1360"/>
      </w:pPr>
      <w:r w:rsidRPr="00AE33A7">
        <w:t>Operar e explorar outras concessões de serviços públicos de transmissão de energia elétrica, incluindo as atividades de implantação, operação e manutenção de instalações de transmissão da rede básica do Sistema Interligado Nacional (SIN), conforme especificado nos Editais de Leilão publicados pela ANEEL, ou na forma estipulada pelo Poder Concedente. Para tal fim a Companhia poderá participar de concorrências, isoladamente ou na forma de consórcio, e/ou adquirir participações majoritárias ou minoritárias no capital de outras sociedades concessionárias de serviço público de transmissão de energia elétrica, na forma prevista em lei;</w:t>
      </w:r>
    </w:p>
    <w:p w14:paraId="39384EF0" w14:textId="77777777" w:rsidR="00883C1A" w:rsidRPr="00AE33A7" w:rsidRDefault="00883C1A" w:rsidP="00883C1A">
      <w:pPr>
        <w:pStyle w:val="Level4"/>
        <w:numPr>
          <w:ilvl w:val="3"/>
          <w:numId w:val="11"/>
        </w:numPr>
        <w:tabs>
          <w:tab w:val="clear" w:pos="2041"/>
          <w:tab w:val="num" w:pos="1361"/>
        </w:tabs>
        <w:ind w:left="1360"/>
      </w:pPr>
      <w:r w:rsidRPr="00AE33A7">
        <w:t>Tendo em vista a realização dos objetos previstos nos incisos (i), (</w:t>
      </w:r>
      <w:proofErr w:type="spellStart"/>
      <w:r w:rsidRPr="00AE33A7">
        <w:t>ii</w:t>
      </w:r>
      <w:proofErr w:type="spellEnd"/>
      <w:r w:rsidRPr="00AE33A7">
        <w:t>), (</w:t>
      </w:r>
      <w:proofErr w:type="spellStart"/>
      <w:r w:rsidRPr="00AE33A7">
        <w:t>iii</w:t>
      </w:r>
      <w:proofErr w:type="spellEnd"/>
      <w:r w:rsidRPr="00AE33A7">
        <w:t>), (</w:t>
      </w:r>
      <w:proofErr w:type="spellStart"/>
      <w:r w:rsidRPr="00AE33A7">
        <w:t>iv</w:t>
      </w:r>
      <w:proofErr w:type="spellEnd"/>
      <w:r w:rsidRPr="00AE33A7">
        <w:t>), (v), (vi) e (</w:t>
      </w:r>
      <w:proofErr w:type="spellStart"/>
      <w:r w:rsidRPr="00AE33A7">
        <w:t>vii</w:t>
      </w:r>
      <w:proofErr w:type="spellEnd"/>
      <w:r w:rsidRPr="00AE33A7">
        <w:t xml:space="preserve">), a Emissora promoverá o estudo e atividades de planejamento e construção das instalações relativas aos projetos, realizando e captando os investimentos necessários para o desenvolvimento das obras, prestando os relativos serviços que poderão incluir as atividades de transformação e transmissão de energia elétrica; </w:t>
      </w:r>
    </w:p>
    <w:p w14:paraId="40391891" w14:textId="77777777" w:rsidR="00883C1A" w:rsidRPr="00AE33A7" w:rsidRDefault="00883C1A" w:rsidP="00883C1A">
      <w:pPr>
        <w:pStyle w:val="Level4"/>
        <w:numPr>
          <w:ilvl w:val="3"/>
          <w:numId w:val="11"/>
        </w:numPr>
        <w:tabs>
          <w:tab w:val="clear" w:pos="2041"/>
          <w:tab w:val="num" w:pos="1361"/>
        </w:tabs>
        <w:ind w:left="1360"/>
      </w:pPr>
      <w:r w:rsidRPr="00AE33A7">
        <w:t>Realizar estudos envolvendo quaisquer fatores capazes de influenciar os projetos, a construção, a operação e a manutenção de instalações relacionadas ao setor de transmissão de energia elétrica ou em setores análogos, afins ou conexos;</w:t>
      </w:r>
    </w:p>
    <w:p w14:paraId="6970422C" w14:textId="77777777" w:rsidR="00883C1A" w:rsidRPr="00AE33A7" w:rsidRDefault="00883C1A" w:rsidP="00883C1A">
      <w:pPr>
        <w:pStyle w:val="Level4"/>
        <w:numPr>
          <w:ilvl w:val="3"/>
          <w:numId w:val="11"/>
        </w:numPr>
        <w:tabs>
          <w:tab w:val="clear" w:pos="2041"/>
          <w:tab w:val="num" w:pos="1361"/>
        </w:tabs>
        <w:ind w:left="1360"/>
      </w:pPr>
      <w:r w:rsidRPr="00AE33A7">
        <w:t>Realizar estudos e análises químicas em materiais e equipamentos relacionados ao setor de transmissão de energia elétrica ou em setores análogos, afins ou conexos, incluindo, mas não se limitando a estudos e análises químicas em materiais como papel, cobre, óleo e gás;</w:t>
      </w:r>
    </w:p>
    <w:p w14:paraId="12A7877A" w14:textId="77777777" w:rsidR="00883C1A" w:rsidRPr="00AE33A7" w:rsidRDefault="00883C1A" w:rsidP="00883C1A">
      <w:pPr>
        <w:pStyle w:val="Level4"/>
        <w:numPr>
          <w:ilvl w:val="3"/>
          <w:numId w:val="11"/>
        </w:numPr>
        <w:tabs>
          <w:tab w:val="clear" w:pos="2041"/>
          <w:tab w:val="num" w:pos="1361"/>
        </w:tabs>
        <w:ind w:left="1360"/>
      </w:pPr>
      <w:r w:rsidRPr="00AE33A7">
        <w:t>Executar serviços de engenharia básica e detalhada, processo de procura e compra, execução de construções, comissionamento, operação e manutenção de sistemas relacionados ao setor de transmissão de energia elétrica ou em setores análogos, afins ou conexos, incluindo nesse rol os respectivos serviços auxiliares;</w:t>
      </w:r>
    </w:p>
    <w:p w14:paraId="4004FF9A" w14:textId="77777777" w:rsidR="00883C1A" w:rsidRPr="00AE33A7" w:rsidRDefault="00883C1A" w:rsidP="00883C1A">
      <w:pPr>
        <w:pStyle w:val="Level4"/>
        <w:numPr>
          <w:ilvl w:val="3"/>
          <w:numId w:val="11"/>
        </w:numPr>
        <w:tabs>
          <w:tab w:val="clear" w:pos="2041"/>
          <w:tab w:val="num" w:pos="1361"/>
        </w:tabs>
        <w:ind w:left="1360"/>
      </w:pPr>
      <w:r w:rsidRPr="00AE33A7">
        <w:t xml:space="preserve">Alugar, emprestar ou ceder onerosamente equipamentos, </w:t>
      </w:r>
      <w:r>
        <w:t>infraestruturas</w:t>
      </w:r>
      <w:r w:rsidRPr="00AE33A7">
        <w:t xml:space="preserve"> e instalações relacionados ao setor de transmissão de energia elétrica ou em setores análogos, afins ou conexos;</w:t>
      </w:r>
    </w:p>
    <w:p w14:paraId="1ACE9E33" w14:textId="77777777" w:rsidR="00883C1A" w:rsidRPr="00AE33A7" w:rsidRDefault="00883C1A" w:rsidP="00883C1A">
      <w:pPr>
        <w:pStyle w:val="Level4"/>
        <w:numPr>
          <w:ilvl w:val="3"/>
          <w:numId w:val="11"/>
        </w:numPr>
        <w:tabs>
          <w:tab w:val="clear" w:pos="2041"/>
          <w:tab w:val="num" w:pos="1361"/>
        </w:tabs>
        <w:ind w:left="1360"/>
      </w:pPr>
      <w:r w:rsidRPr="00AE33A7">
        <w:t>Oferecer suporte técnico no setor de transmissão de energia elétrica ou em setores análogos, afins ou conexos;</w:t>
      </w:r>
    </w:p>
    <w:p w14:paraId="0397C98C" w14:textId="77777777" w:rsidR="00883C1A" w:rsidRPr="00635EF9" w:rsidRDefault="00883C1A" w:rsidP="00883C1A">
      <w:pPr>
        <w:pStyle w:val="Level4"/>
        <w:numPr>
          <w:ilvl w:val="3"/>
          <w:numId w:val="11"/>
        </w:numPr>
        <w:tabs>
          <w:tab w:val="clear" w:pos="2041"/>
          <w:tab w:val="num" w:pos="1361"/>
        </w:tabs>
        <w:ind w:left="1360"/>
      </w:pPr>
      <w:r w:rsidRPr="00AE33A7">
        <w:t xml:space="preserve">Praticar quaisquer outras atividades que permitam uma melhor utilização e valorização </w:t>
      </w:r>
      <w:r w:rsidRPr="00635EF9">
        <w:t>das redes, estruturas, recursos e competências empregados;</w:t>
      </w:r>
    </w:p>
    <w:p w14:paraId="711BAA1E" w14:textId="77777777" w:rsidR="00883C1A" w:rsidRPr="00635EF9" w:rsidRDefault="00883C1A" w:rsidP="00883C1A">
      <w:pPr>
        <w:pStyle w:val="Level4"/>
        <w:numPr>
          <w:ilvl w:val="3"/>
          <w:numId w:val="11"/>
        </w:numPr>
        <w:tabs>
          <w:tab w:val="clear" w:pos="2041"/>
          <w:tab w:val="num" w:pos="1361"/>
        </w:tabs>
        <w:ind w:left="1360"/>
      </w:pPr>
      <w:r w:rsidRPr="00635EF9">
        <w:t>Operar tanto no Brasil quanto no exterior, isoladamente ou em parceria com outras sociedades, participar de leilões e desenvolver qualquer outra atividade conexa, afim, complementar ou que seja, de qualquer forma, útil para a obtenção do objeto social; e</w:t>
      </w:r>
    </w:p>
    <w:p w14:paraId="4D5A2BD2" w14:textId="77777777" w:rsidR="00883C1A" w:rsidRPr="00635EF9" w:rsidRDefault="00883C1A" w:rsidP="00883C1A">
      <w:pPr>
        <w:pStyle w:val="Level4"/>
        <w:numPr>
          <w:ilvl w:val="3"/>
          <w:numId w:val="11"/>
        </w:numPr>
        <w:tabs>
          <w:tab w:val="clear" w:pos="2041"/>
          <w:tab w:val="num" w:pos="1361"/>
        </w:tabs>
        <w:ind w:left="1360"/>
      </w:pPr>
      <w:r w:rsidRPr="00635EF9">
        <w:t>a participação em outras sociedades, nacionais ou estrangeiras, que atuem no setor de transmissão de energia elétrica, na qualidade de sócia, acionista ou quotista.</w:t>
      </w:r>
    </w:p>
    <w:p w14:paraId="174FF8EC" w14:textId="77777777" w:rsidR="00883C1A" w:rsidRPr="00635EF9" w:rsidRDefault="00883C1A" w:rsidP="00883C1A">
      <w:pPr>
        <w:pStyle w:val="Level2"/>
        <w:numPr>
          <w:ilvl w:val="1"/>
          <w:numId w:val="11"/>
        </w:numPr>
        <w:rPr>
          <w:rFonts w:cs="Arial"/>
          <w:b/>
        </w:rPr>
      </w:pPr>
      <w:r w:rsidRPr="00635EF9">
        <w:rPr>
          <w:rFonts w:cs="Arial"/>
        </w:rPr>
        <w:t>Afora as atividades mencionadas, bem como a realização de atividades inerentes, acessórias ou complementares aos serviços e trabalhos contratados, poderá a Emissora, ainda, promover a implementação de projeto associado à concessão de serviço público que estiver explorando, notadamente a prestação dos serviços de telecomunicações e transmissão de dados, bem como a prestação de serviços de operação e manutenção de instalações de outras concessionárias, além de serviços complementares ligados a atividades de engenharia, ensaios e pesquisa.</w:t>
      </w:r>
    </w:p>
    <w:p w14:paraId="720D4335" w14:textId="77777777" w:rsidR="00883C1A" w:rsidRPr="00635EF9" w:rsidRDefault="00883C1A" w:rsidP="00883C1A">
      <w:pPr>
        <w:pStyle w:val="Level1"/>
        <w:keepLines w:val="0"/>
        <w:numPr>
          <w:ilvl w:val="0"/>
          <w:numId w:val="11"/>
        </w:numPr>
        <w:autoSpaceDE w:val="0"/>
        <w:autoSpaceDN w:val="0"/>
        <w:adjustRightInd w:val="0"/>
      </w:pPr>
      <w:bookmarkStart w:id="205" w:name="_Ref459767256"/>
      <w:bookmarkEnd w:id="204"/>
      <w:r w:rsidRPr="00635EF9">
        <w:t>DESTINAÇÃO DOS RECURSOS</w:t>
      </w:r>
      <w:bookmarkEnd w:id="205"/>
    </w:p>
    <w:p w14:paraId="01D8416B" w14:textId="77777777" w:rsidR="00883C1A" w:rsidRPr="00615FF5" w:rsidRDefault="00883C1A" w:rsidP="00883C1A">
      <w:pPr>
        <w:pStyle w:val="Level2"/>
        <w:numPr>
          <w:ilvl w:val="1"/>
          <w:numId w:val="11"/>
        </w:numPr>
      </w:pPr>
      <w:bookmarkStart w:id="206" w:name="_Ref520464775"/>
      <w:r>
        <w:t>O</w:t>
      </w:r>
      <w:r w:rsidRPr="000C59AB">
        <w:t xml:space="preserve">s recursos líquidos captados pela </w:t>
      </w:r>
      <w:r>
        <w:t xml:space="preserve">Emissora </w:t>
      </w:r>
      <w:r w:rsidRPr="000C59AB">
        <w:t>por meio da integralização das Debêntures</w:t>
      </w:r>
      <w:r>
        <w:t>,</w:t>
      </w:r>
      <w:r w:rsidRPr="000C59AB">
        <w:t xml:space="preserve"> </w:t>
      </w:r>
      <w:r>
        <w:t>n</w:t>
      </w:r>
      <w:r w:rsidRPr="00ED4800">
        <w:t>os termos do artigo 2º, parágrafo 1º, da Lei 12.431,</w:t>
      </w:r>
      <w:r w:rsidRPr="00A9602C">
        <w:t xml:space="preserve"> </w:t>
      </w:r>
      <w:r>
        <w:t xml:space="preserve">da </w:t>
      </w:r>
      <w:r w:rsidRPr="00C64290">
        <w:t>Resolução CMN 3.947</w:t>
      </w:r>
      <w:r w:rsidRPr="00ED4800">
        <w:t xml:space="preserve"> e do Decreto 8.874</w:t>
      </w:r>
      <w:r>
        <w:t xml:space="preserve"> e da regulamentação aplicável</w:t>
      </w:r>
      <w:r w:rsidRPr="00ED4800">
        <w:t xml:space="preserve">, observado o disposto na Cláusula </w:t>
      </w:r>
      <w:r>
        <w:rPr>
          <w:highlight w:val="yellow"/>
        </w:rPr>
        <w:fldChar w:fldCharType="begin"/>
      </w:r>
      <w:r>
        <w:instrText xml:space="preserve"> REF _Ref521520849 \r \h </w:instrText>
      </w:r>
      <w:r>
        <w:rPr>
          <w:highlight w:val="yellow"/>
        </w:rPr>
      </w:r>
      <w:r>
        <w:rPr>
          <w:highlight w:val="yellow"/>
        </w:rPr>
        <w:fldChar w:fldCharType="separate"/>
      </w:r>
      <w:r>
        <w:t>4.2</w:t>
      </w:r>
      <w:r>
        <w:rPr>
          <w:highlight w:val="yellow"/>
        </w:rPr>
        <w:fldChar w:fldCharType="end"/>
      </w:r>
      <w:r>
        <w:t xml:space="preserve"> </w:t>
      </w:r>
      <w:r w:rsidRPr="00ED4800">
        <w:t xml:space="preserve">abaixo, </w:t>
      </w:r>
      <w:r>
        <w:t xml:space="preserve">serão </w:t>
      </w:r>
      <w:r w:rsidRPr="00ED4800">
        <w:t>utilizad</w:t>
      </w:r>
      <w:r>
        <w:t>os</w:t>
      </w:r>
      <w:r w:rsidRPr="00ED4800">
        <w:t xml:space="preserve"> exclusivamente para realização de investimentos para implementação </w:t>
      </w:r>
      <w:r w:rsidRPr="00050C51">
        <w:t xml:space="preserve">do Projeto </w:t>
      </w:r>
      <w:r w:rsidRPr="00D342CA">
        <w:t>Sant’Ana</w:t>
      </w:r>
      <w:r>
        <w:t xml:space="preserve"> (“</w:t>
      </w:r>
      <w:r w:rsidRPr="00211D1E">
        <w:rPr>
          <w:b/>
        </w:rPr>
        <w:t>Projeto</w:t>
      </w:r>
      <w:r>
        <w:t>”)</w:t>
      </w:r>
      <w:r w:rsidRPr="00ED4800">
        <w:t>,</w:t>
      </w:r>
      <w:r w:rsidRPr="00A9602C">
        <w:t xml:space="preserve"> </w:t>
      </w:r>
      <w:r>
        <w:t>o qual possui as licenças e/ou autorizações ambientais plenamente válidas, vigentes e eficazes, conforme exigido pelas Leis Ambientais (termo definido abaixo),</w:t>
      </w:r>
      <w:r w:rsidRPr="00ED4800">
        <w:t xml:space="preserve"> conforme abaixo detalhado:</w:t>
      </w:r>
      <w:bookmarkEnd w:id="206"/>
      <w:r>
        <w:t xml:space="preserve"> </w:t>
      </w:r>
    </w:p>
    <w:p w14:paraId="60524E68" w14:textId="77777777" w:rsidR="00883C1A" w:rsidRPr="00ED4800" w:rsidRDefault="00883C1A" w:rsidP="00883C1A">
      <w:pPr>
        <w:pStyle w:val="Level2"/>
        <w:numPr>
          <w:ilvl w:val="0"/>
          <w:numId w:val="0"/>
        </w:numPr>
        <w:ind w:left="680"/>
        <w:rPr>
          <w:b/>
          <w:i/>
        </w:rPr>
      </w:pPr>
      <w:r w:rsidRPr="00ED4800">
        <w:rPr>
          <w:b/>
          <w:i/>
        </w:rPr>
        <w:t xml:space="preserve">Projeto </w:t>
      </w:r>
      <w:r>
        <w:rPr>
          <w:b/>
          <w:i/>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883C1A" w:rsidRPr="00313E2E" w14:paraId="7FDE3D07" w14:textId="77777777" w:rsidTr="00A4059A">
        <w:trPr>
          <w:trHeight w:val="17"/>
          <w:jc w:val="right"/>
        </w:trPr>
        <w:tc>
          <w:tcPr>
            <w:tcW w:w="2740" w:type="dxa"/>
          </w:tcPr>
          <w:p w14:paraId="5096CFE3"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44B21BB8" w14:textId="77777777" w:rsidR="00883C1A" w:rsidRPr="00646AA4" w:rsidRDefault="00883C1A" w:rsidP="00A4059A">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w:t>
            </w:r>
            <w:proofErr w:type="spellStart"/>
            <w:r w:rsidRPr="007C7711">
              <w:rPr>
                <w:b/>
                <w:color w:val="000000" w:themeColor="text1"/>
                <w:sz w:val="20"/>
              </w:rPr>
              <w:t>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iii</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w:t>
            </w:r>
            <w:proofErr w:type="spellStart"/>
            <w:r w:rsidRPr="007C7711">
              <w:rPr>
                <w:b/>
                <w:color w:val="000000" w:themeColor="text1"/>
                <w:sz w:val="20"/>
              </w:rPr>
              <w:t>iv</w:t>
            </w:r>
            <w:proofErr w:type="spellEnd"/>
            <w:r w:rsidRPr="007C7711">
              <w:rPr>
                <w:b/>
                <w:color w:val="000000" w:themeColor="text1"/>
                <w:sz w:val="20"/>
              </w:rPr>
              <w:t>)</w:t>
            </w:r>
            <w:r>
              <w:rPr>
                <w:color w:val="000000" w:themeColor="text1"/>
                <w:sz w:val="20"/>
              </w:rPr>
              <w:t xml:space="preserve"> Linha de Transmissão </w:t>
            </w:r>
            <w:r w:rsidRPr="00D44D33">
              <w:rPr>
                <w:color w:val="000000" w:themeColor="text1"/>
                <w:sz w:val="20"/>
              </w:rPr>
              <w:t xml:space="preserve">230 kV - CS - Livramento 3 – </w:t>
            </w:r>
            <w:proofErr w:type="spellStart"/>
            <w:r w:rsidRPr="00D44D33">
              <w:rPr>
                <w:color w:val="000000" w:themeColor="text1"/>
                <w:sz w:val="20"/>
              </w:rPr>
              <w:t>Maçambará</w:t>
            </w:r>
            <w:proofErr w:type="spellEnd"/>
            <w:r w:rsidRPr="00D44D33">
              <w:rPr>
                <w:color w:val="000000" w:themeColor="text1"/>
                <w:sz w:val="20"/>
              </w:rPr>
              <w:t xml:space="preserve">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 xml:space="preserve">Subestação 230 kV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e </w:t>
            </w:r>
            <w:r w:rsidRPr="007C7711">
              <w:rPr>
                <w:b/>
                <w:color w:val="000000" w:themeColor="text1"/>
                <w:sz w:val="20"/>
              </w:rPr>
              <w:t>(</w:t>
            </w:r>
            <w:proofErr w:type="spellStart"/>
            <w:r w:rsidRPr="007C7711">
              <w:rPr>
                <w:b/>
                <w:color w:val="000000" w:themeColor="text1"/>
                <w:sz w:val="20"/>
              </w:rPr>
              <w:t>vii</w:t>
            </w:r>
            <w:proofErr w:type="spellEnd"/>
            <w:r w:rsidRPr="007C7711">
              <w:rPr>
                <w:b/>
                <w:color w:val="000000" w:themeColor="text1"/>
                <w:sz w:val="20"/>
              </w:rPr>
              <w:t>)</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w:t>
            </w:r>
            <w:proofErr w:type="spellStart"/>
            <w:r w:rsidRPr="00D44D33">
              <w:rPr>
                <w:color w:val="000000" w:themeColor="text1"/>
                <w:sz w:val="20"/>
              </w:rPr>
              <w:t>Maçambará</w:t>
            </w:r>
            <w:proofErr w:type="spellEnd"/>
            <w:r w:rsidRPr="00D44D33">
              <w:rPr>
                <w:color w:val="000000" w:themeColor="text1"/>
                <w:sz w:val="20"/>
              </w:rPr>
              <w:t xml:space="preserve"> – Santo Ângelo C1/C2 na SE </w:t>
            </w:r>
            <w:proofErr w:type="spellStart"/>
            <w:r w:rsidRPr="00D44D33">
              <w:rPr>
                <w:color w:val="000000" w:themeColor="text1"/>
                <w:sz w:val="20"/>
              </w:rPr>
              <w:t>Maçambará</w:t>
            </w:r>
            <w:proofErr w:type="spellEnd"/>
            <w:r w:rsidRPr="00D44D33">
              <w:rPr>
                <w:color w:val="000000" w:themeColor="text1"/>
                <w:sz w:val="20"/>
              </w:rPr>
              <w:t xml:space="preserve"> 3</w:t>
            </w:r>
            <w:r>
              <w:rPr>
                <w:color w:val="000000" w:themeColor="text1"/>
                <w:sz w:val="20"/>
              </w:rPr>
              <w:t xml:space="preserve"> </w:t>
            </w:r>
            <w:r w:rsidRPr="0078583E">
              <w:rPr>
                <w:color w:val="000000" w:themeColor="text1"/>
                <w:sz w:val="20"/>
              </w:rPr>
              <w:t>(“</w:t>
            </w:r>
            <w:r w:rsidRPr="0078583E">
              <w:rPr>
                <w:b/>
                <w:color w:val="000000" w:themeColor="text1"/>
                <w:sz w:val="20"/>
              </w:rPr>
              <w:t>Projeto</w:t>
            </w:r>
            <w:r w:rsidRPr="0078583E">
              <w:rPr>
                <w:color w:val="000000" w:themeColor="text1"/>
                <w:sz w:val="20"/>
              </w:rPr>
              <w:t>”).</w:t>
            </w:r>
          </w:p>
        </w:tc>
      </w:tr>
      <w:tr w:rsidR="00883C1A" w:rsidRPr="00313E2E" w14:paraId="14BFC1AC" w14:textId="77777777" w:rsidTr="00A4059A">
        <w:trPr>
          <w:trHeight w:val="17"/>
          <w:jc w:val="right"/>
        </w:trPr>
        <w:tc>
          <w:tcPr>
            <w:tcW w:w="2740" w:type="dxa"/>
          </w:tcPr>
          <w:p w14:paraId="0BD837EC"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00E60E50" w14:textId="77777777" w:rsidR="00883C1A" w:rsidRPr="00116931" w:rsidRDefault="00883C1A" w:rsidP="00A4059A">
            <w:pPr>
              <w:pStyle w:val="TabBody"/>
              <w:spacing w:before="0" w:after="140" w:line="288" w:lineRule="auto"/>
              <w:rPr>
                <w:color w:val="000000" w:themeColor="text1"/>
                <w:sz w:val="20"/>
              </w:rPr>
            </w:pPr>
            <w:r>
              <w:rPr>
                <w:color w:val="000000" w:themeColor="text1"/>
                <w:sz w:val="20"/>
              </w:rPr>
              <w:t>22/03/2019</w:t>
            </w:r>
          </w:p>
        </w:tc>
      </w:tr>
      <w:tr w:rsidR="00883C1A" w:rsidRPr="00313E2E" w14:paraId="581ECB43" w14:textId="77777777" w:rsidTr="00A4059A">
        <w:trPr>
          <w:trHeight w:val="17"/>
          <w:jc w:val="right"/>
        </w:trPr>
        <w:tc>
          <w:tcPr>
            <w:tcW w:w="2740" w:type="dxa"/>
          </w:tcPr>
          <w:p w14:paraId="1B759637"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091079D6" w14:textId="77777777" w:rsidR="00883C1A" w:rsidRPr="00615FF5" w:rsidRDefault="00883C1A" w:rsidP="00A4059A">
            <w:pPr>
              <w:pStyle w:val="TabBody"/>
              <w:spacing w:before="0" w:after="140" w:line="288" w:lineRule="auto"/>
              <w:rPr>
                <w:b/>
                <w:color w:val="000000" w:themeColor="text1"/>
                <w:sz w:val="20"/>
              </w:rPr>
            </w:pPr>
            <w:r w:rsidRPr="00832BB4">
              <w:rPr>
                <w:sz w:val="20"/>
              </w:rPr>
              <w:t>Aprovação dos Projetos Básicos e Elaboração de Projetos Executivos</w:t>
            </w:r>
            <w:r w:rsidRPr="007C7711">
              <w:rPr>
                <w:sz w:val="20"/>
              </w:rPr>
              <w:t>.</w:t>
            </w:r>
          </w:p>
        </w:tc>
      </w:tr>
      <w:tr w:rsidR="00883C1A" w:rsidRPr="00313E2E" w14:paraId="5ABA74E3" w14:textId="77777777" w:rsidTr="00A4059A">
        <w:trPr>
          <w:trHeight w:val="17"/>
          <w:jc w:val="right"/>
        </w:trPr>
        <w:tc>
          <w:tcPr>
            <w:tcW w:w="2740" w:type="dxa"/>
          </w:tcPr>
          <w:p w14:paraId="3068BA98"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3CCB34EE" w14:textId="77777777" w:rsidR="00883C1A" w:rsidRPr="00116931" w:rsidRDefault="00883C1A" w:rsidP="00A4059A">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junho de 2021</w:t>
            </w:r>
            <w:r w:rsidRPr="007D1898">
              <w:rPr>
                <w:color w:val="000000" w:themeColor="text1"/>
                <w:sz w:val="20"/>
              </w:rPr>
              <w:t>.</w:t>
            </w:r>
          </w:p>
        </w:tc>
      </w:tr>
      <w:tr w:rsidR="00883C1A" w:rsidRPr="00313E2E" w14:paraId="7AD90F2A" w14:textId="77777777" w:rsidTr="00A4059A">
        <w:trPr>
          <w:trHeight w:val="17"/>
          <w:jc w:val="right"/>
        </w:trPr>
        <w:tc>
          <w:tcPr>
            <w:tcW w:w="2740" w:type="dxa"/>
          </w:tcPr>
          <w:p w14:paraId="3E230DEB"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61D9C7F6" w14:textId="77777777" w:rsidR="00883C1A" w:rsidRPr="00116931" w:rsidRDefault="00883C1A" w:rsidP="00A4059A">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estão estimados em aproximadamente R$</w:t>
            </w:r>
            <w:r w:rsidRPr="00832BB4">
              <w:rPr>
                <w:color w:val="000000" w:themeColor="text1"/>
                <w:sz w:val="20"/>
              </w:rPr>
              <w:t>566.122.320,00 (data base: novembro de 2019) (Usos e Fontes atualizado)</w:t>
            </w:r>
            <w:r w:rsidRPr="00116931">
              <w:rPr>
                <w:color w:val="000000" w:themeColor="text1"/>
                <w:sz w:val="20"/>
              </w:rPr>
              <w:t>.</w:t>
            </w:r>
          </w:p>
        </w:tc>
      </w:tr>
      <w:tr w:rsidR="00883C1A" w:rsidRPr="00313E2E" w14:paraId="4E67C1A9" w14:textId="77777777" w:rsidTr="00A4059A">
        <w:trPr>
          <w:trHeight w:val="17"/>
          <w:jc w:val="right"/>
        </w:trPr>
        <w:tc>
          <w:tcPr>
            <w:tcW w:w="2740" w:type="dxa"/>
          </w:tcPr>
          <w:p w14:paraId="7427C68D" w14:textId="77777777" w:rsidR="00883C1A" w:rsidRPr="00116931" w:rsidRDefault="00883C1A" w:rsidP="00A4059A">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que </w:t>
            </w:r>
            <w:r>
              <w:rPr>
                <w:b/>
                <w:color w:val="000000" w:themeColor="text1"/>
                <w:sz w:val="20"/>
              </w:rPr>
              <w:t xml:space="preserve">se estima alocar no Projeto </w:t>
            </w:r>
          </w:p>
        </w:tc>
        <w:tc>
          <w:tcPr>
            <w:tcW w:w="5755" w:type="dxa"/>
            <w:vAlign w:val="center"/>
          </w:tcPr>
          <w:p w14:paraId="34F8F8A6" w14:textId="77777777" w:rsidR="00883C1A" w:rsidRPr="00116931" w:rsidRDefault="00883C1A" w:rsidP="00A4059A">
            <w:pPr>
              <w:pStyle w:val="TabBody"/>
              <w:spacing w:before="0" w:after="140" w:line="288" w:lineRule="auto"/>
              <w:rPr>
                <w:color w:val="000000" w:themeColor="text1"/>
                <w:sz w:val="20"/>
              </w:rPr>
            </w:pPr>
            <w:r>
              <w:rPr>
                <w:sz w:val="20"/>
              </w:rPr>
              <w:t>Estima-se alocar R$</w:t>
            </w:r>
            <w:r w:rsidRPr="00832BB4">
              <w:rPr>
                <w:sz w:val="20"/>
              </w:rPr>
              <w:t>280.702.984,</w:t>
            </w:r>
            <w:proofErr w:type="gramStart"/>
            <w:r w:rsidRPr="00832BB4">
              <w:rPr>
                <w:sz w:val="20"/>
              </w:rPr>
              <w:t xml:space="preserve">59 </w:t>
            </w:r>
            <w:r>
              <w:rPr>
                <w:sz w:val="20"/>
              </w:rPr>
              <w:t xml:space="preserve"> (</w:t>
            </w:r>
            <w:proofErr w:type="gramEnd"/>
            <w:r>
              <w:rPr>
                <w:sz w:val="20"/>
              </w:rPr>
              <w:t>duzentos e oitenta milhões, setecentos e dois mil, novecentos e oitenta e quatro reais e cinquenta e nove centavos</w:t>
            </w:r>
            <w:r w:rsidRPr="00295933">
              <w:rPr>
                <w:sz w:val="20"/>
              </w:rPr>
              <w:t>)</w:t>
            </w:r>
            <w:r>
              <w:rPr>
                <w:sz w:val="20"/>
              </w:rPr>
              <w:t>.</w:t>
            </w:r>
          </w:p>
        </w:tc>
      </w:tr>
      <w:tr w:rsidR="00883C1A" w:rsidRPr="00313E2E" w14:paraId="154B51CB" w14:textId="77777777" w:rsidTr="00A4059A">
        <w:trPr>
          <w:trHeight w:val="17"/>
          <w:jc w:val="right"/>
        </w:trPr>
        <w:tc>
          <w:tcPr>
            <w:tcW w:w="2740" w:type="dxa"/>
          </w:tcPr>
          <w:p w14:paraId="7D7D4390"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p>
        </w:tc>
        <w:tc>
          <w:tcPr>
            <w:tcW w:w="5755" w:type="dxa"/>
            <w:vAlign w:val="center"/>
          </w:tcPr>
          <w:p w14:paraId="4995DCFA" w14:textId="77777777" w:rsidR="00883C1A" w:rsidRPr="00116931" w:rsidRDefault="00883C1A" w:rsidP="00A4059A">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w:t>
            </w:r>
            <w:r w:rsidRPr="00116931">
              <w:rPr>
                <w:color w:val="000000" w:themeColor="text1"/>
                <w:sz w:val="20"/>
              </w:rPr>
              <w:t>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s relacionados ao Projeto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883C1A" w:rsidRPr="00313E2E" w14:paraId="1564CC15" w14:textId="77777777" w:rsidTr="00A4059A">
        <w:trPr>
          <w:trHeight w:val="17"/>
          <w:jc w:val="right"/>
        </w:trPr>
        <w:tc>
          <w:tcPr>
            <w:tcW w:w="2740" w:type="dxa"/>
          </w:tcPr>
          <w:p w14:paraId="058D8C9A" w14:textId="77777777" w:rsidR="00883C1A" w:rsidRPr="00116931" w:rsidRDefault="00883C1A" w:rsidP="00A4059A">
            <w:pPr>
              <w:pStyle w:val="TabBody"/>
              <w:spacing w:before="0" w:after="140" w:line="288" w:lineRule="auto"/>
              <w:rPr>
                <w:b/>
                <w:color w:val="000000" w:themeColor="text1"/>
                <w:sz w:val="20"/>
              </w:rPr>
            </w:pPr>
            <w:r w:rsidRPr="00116931">
              <w:rPr>
                <w:b/>
                <w:color w:val="000000" w:themeColor="text1"/>
                <w:sz w:val="20"/>
              </w:rPr>
              <w:t xml:space="preserve">Percentual dos recursos financeiros necessários ao </w:t>
            </w:r>
            <w:r>
              <w:rPr>
                <w:b/>
                <w:color w:val="000000" w:themeColor="text1"/>
                <w:sz w:val="20"/>
              </w:rPr>
              <w:t>P</w:t>
            </w:r>
            <w:r w:rsidRPr="00116931">
              <w:rPr>
                <w:b/>
                <w:color w:val="000000" w:themeColor="text1"/>
                <w:sz w:val="20"/>
              </w:rPr>
              <w:t xml:space="preserve">rojeto </w:t>
            </w:r>
            <w:r>
              <w:rPr>
                <w:b/>
                <w:color w:val="000000" w:themeColor="text1"/>
                <w:sz w:val="20"/>
              </w:rPr>
              <w:t xml:space="preserve">que se estima serem </w:t>
            </w:r>
            <w:r w:rsidRPr="00116931">
              <w:rPr>
                <w:b/>
                <w:color w:val="000000" w:themeColor="text1"/>
                <w:sz w:val="20"/>
              </w:rPr>
              <w:t xml:space="preserve">provenientes das Debêntures </w:t>
            </w:r>
          </w:p>
        </w:tc>
        <w:tc>
          <w:tcPr>
            <w:tcW w:w="5755" w:type="dxa"/>
            <w:vAlign w:val="center"/>
          </w:tcPr>
          <w:p w14:paraId="225797BC" w14:textId="77777777" w:rsidR="00883C1A" w:rsidRPr="00116931" w:rsidRDefault="00883C1A" w:rsidP="00A4059A">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representa</w:t>
            </w:r>
            <w:r>
              <w:rPr>
                <w:color w:val="000000" w:themeColor="text1"/>
                <w:sz w:val="20"/>
              </w:rPr>
              <w:t xml:space="preserve">rão 49,58% (quarenta e nove inteiros e cinquenta e oito centésimos por cento) </w:t>
            </w:r>
            <w:r w:rsidRPr="00116931">
              <w:rPr>
                <w:color w:val="000000" w:themeColor="text1"/>
                <w:sz w:val="20"/>
              </w:rPr>
              <w:t>do uso total de recursos financeiros estimados do Projeto.</w:t>
            </w:r>
            <w:r>
              <w:rPr>
                <w:color w:val="000000" w:themeColor="text1"/>
                <w:sz w:val="20"/>
              </w:rPr>
              <w:t xml:space="preserve"> </w:t>
            </w:r>
          </w:p>
        </w:tc>
      </w:tr>
    </w:tbl>
    <w:p w14:paraId="56F611BA" w14:textId="77777777" w:rsidR="00883C1A" w:rsidRPr="00ED4800" w:rsidRDefault="00883C1A" w:rsidP="00883C1A">
      <w:pPr>
        <w:pStyle w:val="Level2"/>
        <w:numPr>
          <w:ilvl w:val="0"/>
          <w:numId w:val="0"/>
        </w:numPr>
        <w:ind w:left="680"/>
        <w:rPr>
          <w:b/>
          <w:highlight w:val="yellow"/>
        </w:rPr>
      </w:pPr>
    </w:p>
    <w:p w14:paraId="3912ED14" w14:textId="77777777" w:rsidR="00883C1A" w:rsidRPr="00ED4800" w:rsidRDefault="00883C1A" w:rsidP="00883C1A">
      <w:pPr>
        <w:pStyle w:val="Level2"/>
        <w:numPr>
          <w:ilvl w:val="1"/>
          <w:numId w:val="11"/>
        </w:numPr>
      </w:pPr>
      <w:bookmarkStart w:id="207" w:name="_Ref521520849"/>
      <w:r w:rsidRPr="00ED4800">
        <w:t>Para fins do disposto nas cláusulas acima, entende-se como “recursos líquidos” os recursos captados pela Emissora por meio da Emissão, excluídos os custos incorridos para a realização da Emissão.</w:t>
      </w:r>
      <w:bookmarkEnd w:id="207"/>
    </w:p>
    <w:p w14:paraId="261DF04F" w14:textId="77777777" w:rsidR="00883C1A" w:rsidRPr="009E6B2F" w:rsidRDefault="00883C1A" w:rsidP="00883C1A">
      <w:pPr>
        <w:pStyle w:val="Level1"/>
        <w:keepLines w:val="0"/>
        <w:numPr>
          <w:ilvl w:val="0"/>
          <w:numId w:val="11"/>
        </w:numPr>
        <w:autoSpaceDE w:val="0"/>
        <w:autoSpaceDN w:val="0"/>
        <w:adjustRightInd w:val="0"/>
      </w:pPr>
      <w:r w:rsidRPr="009E6B2F">
        <w:t>CARACTERÍSTICAS DA EMISSÃO E DAS DEBÊNTURES</w:t>
      </w:r>
    </w:p>
    <w:p w14:paraId="6598CA95" w14:textId="77777777" w:rsidR="00883C1A" w:rsidRPr="00166558" w:rsidRDefault="00883C1A" w:rsidP="00883C1A">
      <w:pPr>
        <w:pStyle w:val="Level2"/>
        <w:numPr>
          <w:ilvl w:val="1"/>
          <w:numId w:val="11"/>
        </w:numPr>
        <w:spacing w:before="140" w:after="0"/>
        <w:rPr>
          <w:rFonts w:cs="Arial"/>
          <w:b/>
        </w:rPr>
      </w:pPr>
      <w:r w:rsidRPr="00166558">
        <w:rPr>
          <w:rFonts w:cs="Arial"/>
          <w:b/>
        </w:rPr>
        <w:t>Valor Total da Emissão</w:t>
      </w:r>
    </w:p>
    <w:p w14:paraId="31A0A5B3" w14:textId="77777777" w:rsidR="00883C1A" w:rsidRPr="009E6B2F" w:rsidRDefault="00883C1A" w:rsidP="00883C1A">
      <w:pPr>
        <w:pStyle w:val="Level3"/>
        <w:numPr>
          <w:ilvl w:val="2"/>
          <w:numId w:val="11"/>
        </w:numPr>
        <w:spacing w:before="140" w:after="0"/>
        <w:rPr>
          <w:lang w:val="pt-BR"/>
        </w:rPr>
      </w:pPr>
      <w:r w:rsidRPr="009E6B2F">
        <w:rPr>
          <w:lang w:val="pt-BR"/>
        </w:rPr>
        <w:t>O valor total da Emissão será de</w:t>
      </w:r>
      <w:r>
        <w:rPr>
          <w:lang w:val="pt-BR"/>
        </w:rPr>
        <w:t xml:space="preserve"> R$ </w:t>
      </w:r>
      <w:r w:rsidRPr="00D753AF">
        <w:rPr>
          <w:lang w:val="pt-BR"/>
        </w:rPr>
        <w:t>300.000.000,00</w:t>
      </w:r>
      <w:r w:rsidRPr="00C34D12">
        <w:rPr>
          <w:lang w:val="pt-BR"/>
        </w:rPr>
        <w:t xml:space="preserve"> (</w:t>
      </w:r>
      <w:r w:rsidRPr="00D753AF">
        <w:rPr>
          <w:lang w:val="pt-BR"/>
        </w:rPr>
        <w:t>trezentos milhões de reais</w:t>
      </w:r>
      <w:r w:rsidRPr="00C34D12">
        <w:rPr>
          <w:lang w:val="pt-BR"/>
        </w:rPr>
        <w:t>).</w:t>
      </w:r>
    </w:p>
    <w:p w14:paraId="7B018942" w14:textId="77777777" w:rsidR="00883C1A" w:rsidRPr="002476E1" w:rsidRDefault="00883C1A" w:rsidP="00883C1A">
      <w:pPr>
        <w:pStyle w:val="Level2"/>
        <w:numPr>
          <w:ilvl w:val="1"/>
          <w:numId w:val="11"/>
        </w:numPr>
        <w:spacing w:before="140" w:after="0"/>
        <w:rPr>
          <w:rFonts w:cs="Arial"/>
          <w:b/>
        </w:rPr>
      </w:pPr>
      <w:r w:rsidRPr="002476E1">
        <w:rPr>
          <w:rFonts w:cs="Arial"/>
          <w:b/>
        </w:rPr>
        <w:t>Valor Nominal Unitário</w:t>
      </w:r>
    </w:p>
    <w:p w14:paraId="04FBA2E4" w14:textId="77777777" w:rsidR="00883C1A" w:rsidRPr="009E6B2F" w:rsidRDefault="00883C1A" w:rsidP="00883C1A">
      <w:pPr>
        <w:pStyle w:val="Level3"/>
        <w:numPr>
          <w:ilvl w:val="2"/>
          <w:numId w:val="11"/>
        </w:numPr>
        <w:spacing w:before="140" w:after="0"/>
        <w:rPr>
          <w:lang w:val="pt-BR"/>
        </w:rPr>
      </w:pPr>
      <w:r w:rsidRPr="009E6B2F">
        <w:rPr>
          <w:lang w:val="pt-BR"/>
        </w:rPr>
        <w:t>O valor nominal unitário das Debêntures</w:t>
      </w:r>
      <w:r>
        <w:rPr>
          <w:lang w:val="pt-BR"/>
        </w:rPr>
        <w:t>, na Data de Emissão (conforme abaixo definida),</w:t>
      </w:r>
      <w:r w:rsidRPr="009E6B2F">
        <w:rPr>
          <w:lang w:val="pt-BR"/>
        </w:rPr>
        <w:t xml:space="preserve"> será de </w:t>
      </w:r>
      <w:r>
        <w:rPr>
          <w:lang w:val="pt-BR"/>
        </w:rPr>
        <w:t>R$</w:t>
      </w:r>
      <w:r w:rsidRPr="006B750C">
        <w:rPr>
          <w:lang w:val="pt-BR"/>
        </w:rPr>
        <w:t>1.000,00</w:t>
      </w:r>
      <w:r>
        <w:rPr>
          <w:lang w:val="pt-BR"/>
        </w:rPr>
        <w:t xml:space="preserve"> (</w:t>
      </w:r>
      <w:r w:rsidRPr="006B750C">
        <w:rPr>
          <w:lang w:val="pt-BR"/>
        </w:rPr>
        <w:t xml:space="preserve">mil </w:t>
      </w:r>
      <w:r>
        <w:rPr>
          <w:lang w:val="pt-BR"/>
        </w:rPr>
        <w:t>reais)</w:t>
      </w:r>
      <w:r w:rsidRPr="009E6B2F">
        <w:rPr>
          <w:lang w:val="pt-BR"/>
        </w:rPr>
        <w:t xml:space="preserve"> (“</w:t>
      </w:r>
      <w:r w:rsidRPr="009E6B2F">
        <w:rPr>
          <w:b/>
          <w:lang w:val="pt-BR"/>
        </w:rPr>
        <w:t>Valor Nominal Unitário</w:t>
      </w:r>
      <w:r w:rsidRPr="009E6B2F">
        <w:rPr>
          <w:lang w:val="pt-BR"/>
        </w:rPr>
        <w:t>”).</w:t>
      </w:r>
    </w:p>
    <w:p w14:paraId="44A4A652" w14:textId="77777777" w:rsidR="00883C1A" w:rsidRPr="009E6B2F" w:rsidRDefault="00883C1A" w:rsidP="00883C1A">
      <w:pPr>
        <w:pStyle w:val="Level2"/>
        <w:numPr>
          <w:ilvl w:val="1"/>
          <w:numId w:val="11"/>
        </w:numPr>
        <w:spacing w:before="140" w:after="0"/>
        <w:rPr>
          <w:rFonts w:cs="Arial"/>
          <w:b/>
        </w:rPr>
      </w:pPr>
      <w:bookmarkStart w:id="208" w:name="_Ref420335418"/>
      <w:r w:rsidRPr="009E6B2F">
        <w:rPr>
          <w:rFonts w:cs="Arial"/>
          <w:b/>
        </w:rPr>
        <w:t>Data de Emissão</w:t>
      </w:r>
      <w:bookmarkEnd w:id="208"/>
    </w:p>
    <w:p w14:paraId="7B8D790B" w14:textId="77777777" w:rsidR="00883C1A" w:rsidRPr="002B1B81" w:rsidRDefault="00883C1A" w:rsidP="00883C1A">
      <w:pPr>
        <w:pStyle w:val="Level3"/>
        <w:numPr>
          <w:ilvl w:val="2"/>
          <w:numId w:val="11"/>
        </w:numPr>
        <w:spacing w:before="140" w:after="0"/>
        <w:rPr>
          <w:lang w:val="pt-BR"/>
        </w:rPr>
      </w:pPr>
      <w:r w:rsidRPr="009E6B2F">
        <w:rPr>
          <w:lang w:val="pt-BR"/>
        </w:rPr>
        <w:t xml:space="preserve">Para todos os fins e efeitos legais, a data de emissão das Debêntures será </w:t>
      </w:r>
      <w:r>
        <w:rPr>
          <w:lang w:val="pt-BR"/>
        </w:rPr>
        <w:t xml:space="preserve">15 de dezembro </w:t>
      </w:r>
      <w:r w:rsidRPr="009E6B2F">
        <w:rPr>
          <w:lang w:val="pt-BR"/>
        </w:rPr>
        <w:t xml:space="preserve">de </w:t>
      </w:r>
      <w:r w:rsidRPr="00050C51">
        <w:rPr>
          <w:lang w:val="pt-BR"/>
        </w:rPr>
        <w:t>2019</w:t>
      </w:r>
      <w:r w:rsidRPr="009E6B2F">
        <w:rPr>
          <w:lang w:val="pt-BR"/>
        </w:rPr>
        <w:t xml:space="preserve"> (“</w:t>
      </w:r>
      <w:r w:rsidRPr="009E6B2F">
        <w:rPr>
          <w:b/>
          <w:lang w:val="pt-BR"/>
        </w:rPr>
        <w:t>Data de Emissão</w:t>
      </w:r>
      <w:r w:rsidRPr="009E6B2F">
        <w:rPr>
          <w:lang w:val="pt-BR"/>
        </w:rPr>
        <w:t>”).</w:t>
      </w:r>
    </w:p>
    <w:p w14:paraId="7D69925A" w14:textId="77777777" w:rsidR="00883C1A" w:rsidRPr="009E6B2F" w:rsidRDefault="00883C1A" w:rsidP="00883C1A">
      <w:pPr>
        <w:pStyle w:val="Level2"/>
        <w:numPr>
          <w:ilvl w:val="1"/>
          <w:numId w:val="11"/>
        </w:numPr>
        <w:spacing w:before="140" w:after="0"/>
        <w:rPr>
          <w:rFonts w:cs="Arial"/>
          <w:b/>
        </w:rPr>
      </w:pPr>
      <w:r w:rsidRPr="00CE03EB">
        <w:rPr>
          <w:rFonts w:cs="Arial"/>
          <w:b/>
        </w:rPr>
        <w:t>Número</w:t>
      </w:r>
      <w:r w:rsidRPr="009E6B2F">
        <w:rPr>
          <w:rFonts w:cs="Arial"/>
          <w:b/>
        </w:rPr>
        <w:t xml:space="preserve"> da Emissão </w:t>
      </w:r>
    </w:p>
    <w:p w14:paraId="56209489" w14:textId="77777777" w:rsidR="00883C1A" w:rsidRPr="009E6B2F" w:rsidRDefault="00883C1A" w:rsidP="00883C1A">
      <w:pPr>
        <w:pStyle w:val="Level3"/>
        <w:numPr>
          <w:ilvl w:val="2"/>
          <w:numId w:val="11"/>
        </w:numPr>
        <w:spacing w:before="140" w:after="0"/>
        <w:rPr>
          <w:lang w:val="pt-BR"/>
        </w:rPr>
      </w:pPr>
      <w:r w:rsidRPr="009E6B2F">
        <w:rPr>
          <w:lang w:val="pt-BR"/>
        </w:rPr>
        <w:t xml:space="preserve">A presente Emissão representa a </w:t>
      </w:r>
      <w:r>
        <w:rPr>
          <w:lang w:val="pt-BR"/>
        </w:rPr>
        <w:t>8ª</w:t>
      </w:r>
      <w:r w:rsidRPr="009E6B2F">
        <w:rPr>
          <w:lang w:val="pt-BR"/>
        </w:rPr>
        <w:t xml:space="preserve"> (</w:t>
      </w:r>
      <w:r>
        <w:rPr>
          <w:lang w:val="pt-BR"/>
        </w:rPr>
        <w:t>oitava</w:t>
      </w:r>
      <w:r w:rsidRPr="009E6B2F">
        <w:rPr>
          <w:lang w:val="pt-BR"/>
        </w:rPr>
        <w:t xml:space="preserve">) emissão de debêntures da Emissora. </w:t>
      </w:r>
    </w:p>
    <w:p w14:paraId="3AEF1FC4" w14:textId="77777777" w:rsidR="00883C1A" w:rsidRPr="00C34D12" w:rsidRDefault="00883C1A" w:rsidP="00883C1A">
      <w:pPr>
        <w:pStyle w:val="Level2"/>
        <w:numPr>
          <w:ilvl w:val="1"/>
          <w:numId w:val="11"/>
        </w:numPr>
        <w:spacing w:before="140" w:after="0"/>
        <w:rPr>
          <w:b/>
        </w:rPr>
      </w:pPr>
      <w:bookmarkStart w:id="209" w:name="_Ref420334827"/>
      <w:r w:rsidRPr="00C34D12">
        <w:rPr>
          <w:b/>
        </w:rPr>
        <w:t>Número de Séries</w:t>
      </w:r>
      <w:bookmarkEnd w:id="209"/>
    </w:p>
    <w:p w14:paraId="02A26D6F" w14:textId="77777777" w:rsidR="00883C1A" w:rsidRPr="008B53CF" w:rsidRDefault="00883C1A" w:rsidP="00883C1A">
      <w:pPr>
        <w:pStyle w:val="Level3"/>
        <w:numPr>
          <w:ilvl w:val="2"/>
          <w:numId w:val="11"/>
        </w:numPr>
        <w:rPr>
          <w:b/>
          <w:lang w:val="pt-BR"/>
        </w:rPr>
      </w:pPr>
      <w:bookmarkStart w:id="210" w:name="_Ref420334801"/>
      <w:bookmarkStart w:id="211" w:name="_Ref475552498"/>
      <w:r>
        <w:rPr>
          <w:lang w:val="pt-BR"/>
        </w:rPr>
        <w:t xml:space="preserve">As Debêntures serão </w:t>
      </w:r>
      <w:bookmarkEnd w:id="210"/>
      <w:bookmarkEnd w:id="211"/>
      <w:r>
        <w:rPr>
          <w:lang w:val="pt-BR"/>
        </w:rPr>
        <w:t xml:space="preserve">emitidas </w:t>
      </w:r>
      <w:r w:rsidRPr="00050C51">
        <w:rPr>
          <w:lang w:val="pt-BR"/>
        </w:rPr>
        <w:t xml:space="preserve">em </w:t>
      </w:r>
      <w:r w:rsidRPr="00056862">
        <w:rPr>
          <w:lang w:val="pt-BR"/>
        </w:rPr>
        <w:t>série única</w:t>
      </w:r>
      <w:r w:rsidRPr="00050C51">
        <w:rPr>
          <w:lang w:val="pt-BR"/>
        </w:rPr>
        <w:t>.</w:t>
      </w:r>
    </w:p>
    <w:p w14:paraId="2C4CFCE3" w14:textId="77777777" w:rsidR="00883C1A" w:rsidRPr="009E6B2F" w:rsidRDefault="00883C1A" w:rsidP="00883C1A">
      <w:pPr>
        <w:pStyle w:val="Level2"/>
        <w:numPr>
          <w:ilvl w:val="1"/>
          <w:numId w:val="11"/>
        </w:numPr>
        <w:spacing w:before="140" w:after="0"/>
        <w:rPr>
          <w:rFonts w:cs="Arial"/>
          <w:b/>
        </w:rPr>
      </w:pPr>
      <w:bookmarkStart w:id="212" w:name="_Ref420335400"/>
      <w:r w:rsidRPr="009E6B2F">
        <w:rPr>
          <w:rFonts w:cs="Arial"/>
          <w:b/>
        </w:rPr>
        <w:t>Quantidade de Debêntures</w:t>
      </w:r>
      <w:bookmarkEnd w:id="212"/>
    </w:p>
    <w:p w14:paraId="208E67D6" w14:textId="77777777" w:rsidR="00883C1A" w:rsidRPr="009E6B2F" w:rsidRDefault="00883C1A" w:rsidP="00883C1A">
      <w:pPr>
        <w:pStyle w:val="Level3"/>
        <w:numPr>
          <w:ilvl w:val="2"/>
          <w:numId w:val="11"/>
        </w:numPr>
        <w:spacing w:before="140" w:after="0"/>
        <w:rPr>
          <w:lang w:val="pt-BR"/>
        </w:rPr>
      </w:pPr>
      <w:r w:rsidRPr="009E6B2F">
        <w:rPr>
          <w:lang w:val="pt-BR"/>
        </w:rPr>
        <w:t xml:space="preserve">Serão </w:t>
      </w:r>
      <w:r w:rsidRPr="00C34D12">
        <w:rPr>
          <w:lang w:val="pt-BR"/>
        </w:rPr>
        <w:t xml:space="preserve">emitidas </w:t>
      </w:r>
      <w:r w:rsidRPr="00D753AF">
        <w:rPr>
          <w:lang w:val="pt-BR"/>
        </w:rPr>
        <w:t>300.000</w:t>
      </w:r>
      <w:r w:rsidRPr="00C34D12">
        <w:rPr>
          <w:lang w:val="pt-BR"/>
        </w:rPr>
        <w:t xml:space="preserve"> (</w:t>
      </w:r>
      <w:r w:rsidRPr="00D753AF">
        <w:rPr>
          <w:lang w:val="pt-BR"/>
        </w:rPr>
        <w:t>trezentas mil</w:t>
      </w:r>
      <w:r w:rsidRPr="00C34D12">
        <w:rPr>
          <w:lang w:val="pt-BR"/>
        </w:rPr>
        <w:t>) Debêntures</w:t>
      </w:r>
      <w:r w:rsidRPr="009E6B2F">
        <w:rPr>
          <w:lang w:val="pt-BR"/>
        </w:rPr>
        <w:t>.</w:t>
      </w:r>
    </w:p>
    <w:p w14:paraId="12323F48" w14:textId="77777777" w:rsidR="00883C1A" w:rsidRPr="009E6B2F" w:rsidRDefault="00883C1A" w:rsidP="00883C1A">
      <w:pPr>
        <w:pStyle w:val="Level2"/>
        <w:numPr>
          <w:ilvl w:val="1"/>
          <w:numId w:val="11"/>
        </w:numPr>
        <w:spacing w:before="140" w:after="0"/>
        <w:rPr>
          <w:rFonts w:cs="Arial"/>
          <w:b/>
        </w:rPr>
      </w:pPr>
      <w:r w:rsidRPr="009E6B2F">
        <w:rPr>
          <w:rFonts w:cs="Arial"/>
          <w:b/>
        </w:rPr>
        <w:t>Prazo e Data de Vencimento</w:t>
      </w:r>
    </w:p>
    <w:p w14:paraId="2CB26C06" w14:textId="77777777" w:rsidR="00883C1A" w:rsidRPr="00AB4F5B" w:rsidRDefault="00883C1A" w:rsidP="00883C1A">
      <w:pPr>
        <w:pStyle w:val="Level3"/>
        <w:numPr>
          <w:ilvl w:val="2"/>
          <w:numId w:val="11"/>
        </w:numPr>
        <w:tabs>
          <w:tab w:val="left" w:pos="2041"/>
        </w:tabs>
        <w:spacing w:before="140" w:after="0"/>
        <w:rPr>
          <w:lang w:val="pt-BR"/>
        </w:rPr>
      </w:pPr>
      <w:r w:rsidRPr="00AB4F5B">
        <w:rPr>
          <w:lang w:val="pt-BR"/>
        </w:rPr>
        <w:t>Ressalvadas as hipóteses de vencimento antecipado das obrigações decorrentes das Debêntures</w:t>
      </w:r>
      <w:r>
        <w:rPr>
          <w:lang w:val="pt-BR"/>
        </w:rPr>
        <w:t xml:space="preserve"> e as hipóteses de Resgate Antecipado Facultativo e Oferta de Resgate Antecipado Facultativo Total das Debêntures (termos definidos abaixo), conforme aplicável</w:t>
      </w:r>
      <w:r w:rsidRPr="00AB4F5B">
        <w:rPr>
          <w:lang w:val="pt-BR"/>
        </w:rPr>
        <w:t>,</w:t>
      </w:r>
      <w:r>
        <w:rPr>
          <w:lang w:val="pt-BR"/>
        </w:rPr>
        <w:t xml:space="preserve"> ou ainda, de aquisição facultativa com o consequente cancelamento das Debêntures,</w:t>
      </w:r>
      <w:r w:rsidRPr="00AB4F5B">
        <w:rPr>
          <w:lang w:val="pt-BR"/>
        </w:rPr>
        <w:t xml:space="preserve"> nos termos previstos nesta Escritura de Emissão, o prazo das Debêntures será de </w:t>
      </w:r>
      <w:r>
        <w:rPr>
          <w:lang w:val="pt-BR"/>
        </w:rPr>
        <w:t>25</w:t>
      </w:r>
      <w:r w:rsidRPr="00AB4F5B">
        <w:rPr>
          <w:lang w:val="pt-BR"/>
        </w:rPr>
        <w:t xml:space="preserve"> (</w:t>
      </w:r>
      <w:r>
        <w:rPr>
          <w:lang w:val="pt-BR"/>
        </w:rPr>
        <w:t>vinte e cinco</w:t>
      </w:r>
      <w:r w:rsidRPr="00AB4F5B">
        <w:rPr>
          <w:lang w:val="pt-BR"/>
        </w:rPr>
        <w:t xml:space="preserve">) anos, contados da Data de Emissão, vencendo-se, </w:t>
      </w:r>
      <w:r w:rsidRPr="00406090">
        <w:rPr>
          <w:lang w:val="pt-BR"/>
        </w:rPr>
        <w:t xml:space="preserve">portanto, em 15 de dezembro de </w:t>
      </w:r>
      <w:r w:rsidRPr="00D753AF">
        <w:rPr>
          <w:lang w:val="pt-BR"/>
        </w:rPr>
        <w:t>2044</w:t>
      </w:r>
      <w:r>
        <w:rPr>
          <w:lang w:val="pt-BR"/>
        </w:rPr>
        <w:t xml:space="preserve"> (“</w:t>
      </w:r>
      <w:r w:rsidRPr="00211D1E">
        <w:rPr>
          <w:b/>
          <w:lang w:val="pt-BR"/>
        </w:rPr>
        <w:t>Data de Vencimento</w:t>
      </w:r>
      <w:r>
        <w:rPr>
          <w:lang w:val="pt-BR"/>
        </w:rPr>
        <w:t>”)</w:t>
      </w:r>
      <w:r w:rsidRPr="00AB4F5B">
        <w:rPr>
          <w:lang w:val="pt-BR"/>
        </w:rPr>
        <w:t>.</w:t>
      </w:r>
    </w:p>
    <w:p w14:paraId="53E6E4DD" w14:textId="77777777" w:rsidR="00883C1A" w:rsidRPr="00211D1E" w:rsidRDefault="00883C1A" w:rsidP="00883C1A">
      <w:pPr>
        <w:pStyle w:val="Level2"/>
        <w:numPr>
          <w:ilvl w:val="1"/>
          <w:numId w:val="11"/>
        </w:numPr>
        <w:spacing w:before="140"/>
        <w:rPr>
          <w:rFonts w:cs="Arial"/>
          <w:b/>
        </w:rPr>
      </w:pPr>
      <w:r w:rsidRPr="00211D1E">
        <w:rPr>
          <w:rFonts w:cs="Arial"/>
          <w:b/>
        </w:rPr>
        <w:t xml:space="preserve">Banco Liquidante e </w:t>
      </w:r>
      <w:proofErr w:type="spellStart"/>
      <w:r w:rsidRPr="00211D1E">
        <w:rPr>
          <w:rFonts w:cs="Arial"/>
          <w:b/>
        </w:rPr>
        <w:t>Escriturador</w:t>
      </w:r>
      <w:proofErr w:type="spellEnd"/>
    </w:p>
    <w:p w14:paraId="5BE6E573" w14:textId="77777777" w:rsidR="00883C1A" w:rsidRPr="00660195" w:rsidRDefault="00883C1A" w:rsidP="00883C1A">
      <w:pPr>
        <w:pStyle w:val="Level3"/>
        <w:numPr>
          <w:ilvl w:val="2"/>
          <w:numId w:val="11"/>
        </w:numPr>
        <w:rPr>
          <w:b/>
          <w:lang w:val="pt-BR"/>
        </w:rPr>
      </w:pPr>
      <w:r w:rsidRPr="009A0391">
        <w:rPr>
          <w:lang w:val="pt-BR"/>
        </w:rPr>
        <w:t xml:space="preserve">O banco liquidante da Emissão e o </w:t>
      </w:r>
      <w:proofErr w:type="spellStart"/>
      <w:r w:rsidRPr="009A0391">
        <w:rPr>
          <w:lang w:val="pt-BR"/>
        </w:rPr>
        <w:t>escriturador</w:t>
      </w:r>
      <w:proofErr w:type="spellEnd"/>
      <w:r w:rsidRPr="009A0391">
        <w:rPr>
          <w:lang w:val="pt-BR"/>
        </w:rPr>
        <w:t xml:space="preserve"> das Debêntures será o </w:t>
      </w:r>
      <w:r w:rsidRPr="00D753AF">
        <w:rPr>
          <w:b/>
          <w:szCs w:val="20"/>
          <w:lang w:val="pt-BR"/>
        </w:rPr>
        <w:t>Banco Bradesco S.A.</w:t>
      </w:r>
      <w:r w:rsidRPr="00733BBE">
        <w:rPr>
          <w:szCs w:val="20"/>
          <w:lang w:val="pt-BR"/>
        </w:rPr>
        <w:t>, instituição financeira, com sede na Cidade de Osasco, Estado de São Paulo, na Cidade de Deus, s/nº, Prédio Amarelo, 2º andar, Vila Yara, CEP 06029-900, inscrita no CNPJ/</w:t>
      </w:r>
      <w:r>
        <w:rPr>
          <w:szCs w:val="20"/>
          <w:lang w:val="pt-BR"/>
        </w:rPr>
        <w:t>ME</w:t>
      </w:r>
      <w:r w:rsidRPr="00733BBE">
        <w:rPr>
          <w:szCs w:val="20"/>
          <w:lang w:val="pt-BR"/>
        </w:rPr>
        <w:t xml:space="preserve"> sob o nº 60.746.948/0001-12</w:t>
      </w:r>
      <w:r w:rsidRPr="00DB6613">
        <w:rPr>
          <w:lang w:val="pt-BR"/>
        </w:rPr>
        <w:t xml:space="preserve"> (“</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proofErr w:type="spellStart"/>
      <w:r w:rsidRPr="00660195">
        <w:rPr>
          <w:b/>
          <w:lang w:val="pt-BR"/>
        </w:rPr>
        <w:t>Escriturador</w:t>
      </w:r>
      <w:proofErr w:type="spellEnd"/>
      <w:r w:rsidRPr="00660195">
        <w:rPr>
          <w:lang w:val="pt-BR"/>
        </w:rPr>
        <w:t xml:space="preserve">”, cuja definição inclui qualquer outra instituição que venha a suceder o </w:t>
      </w:r>
      <w:proofErr w:type="spellStart"/>
      <w:r w:rsidRPr="00660195">
        <w:rPr>
          <w:lang w:val="pt-BR"/>
        </w:rPr>
        <w:t>Escriturador</w:t>
      </w:r>
      <w:proofErr w:type="spellEnd"/>
      <w:r w:rsidRPr="00660195">
        <w:rPr>
          <w:lang w:val="pt-BR"/>
        </w:rPr>
        <w:t xml:space="preserve"> na prestação dos serviços de </w:t>
      </w:r>
      <w:proofErr w:type="spellStart"/>
      <w:r w:rsidRPr="00660195">
        <w:rPr>
          <w:lang w:val="pt-BR"/>
        </w:rPr>
        <w:t>escriturador</w:t>
      </w:r>
      <w:proofErr w:type="spellEnd"/>
      <w:r w:rsidRPr="00660195">
        <w:rPr>
          <w:lang w:val="pt-BR"/>
        </w:rPr>
        <w:t xml:space="preserve"> das Debêntures).</w:t>
      </w:r>
    </w:p>
    <w:p w14:paraId="43FD4D96" w14:textId="77777777" w:rsidR="00883C1A" w:rsidRPr="009E6B2F" w:rsidRDefault="00883C1A" w:rsidP="00883C1A">
      <w:pPr>
        <w:pStyle w:val="Level2"/>
        <w:numPr>
          <w:ilvl w:val="1"/>
          <w:numId w:val="11"/>
        </w:numPr>
        <w:spacing w:before="140" w:after="0"/>
        <w:rPr>
          <w:rFonts w:cs="Arial"/>
          <w:b/>
        </w:rPr>
      </w:pPr>
      <w:r w:rsidRPr="009E6B2F">
        <w:rPr>
          <w:rFonts w:cs="Arial"/>
          <w:b/>
        </w:rPr>
        <w:t>Forma e Comprovação da Titularidade das Debêntures</w:t>
      </w:r>
    </w:p>
    <w:p w14:paraId="6796410A" w14:textId="77777777" w:rsidR="00883C1A" w:rsidRPr="009E6B2F" w:rsidRDefault="00883C1A" w:rsidP="00883C1A">
      <w:pPr>
        <w:pStyle w:val="Level3"/>
        <w:numPr>
          <w:ilvl w:val="2"/>
          <w:numId w:val="11"/>
        </w:numPr>
        <w:spacing w:before="140" w:after="0"/>
        <w:rPr>
          <w:lang w:val="pt-BR"/>
        </w:rPr>
      </w:pPr>
      <w:bookmarkStart w:id="213" w:name="_DV_M70"/>
      <w:bookmarkEnd w:id="213"/>
      <w:r w:rsidRPr="009E6B2F">
        <w:rPr>
          <w:lang w:val="pt-BR"/>
        </w:rPr>
        <w:t>As Debêntures serão emitidas na forma nominativa e escritural, sem a emissão de certificados e/ou cautelas.</w:t>
      </w:r>
    </w:p>
    <w:p w14:paraId="0A4A1CC4" w14:textId="77777777" w:rsidR="00883C1A" w:rsidRPr="009E6B2F" w:rsidRDefault="00883C1A" w:rsidP="00883C1A">
      <w:pPr>
        <w:pStyle w:val="Level3"/>
        <w:numPr>
          <w:ilvl w:val="2"/>
          <w:numId w:val="11"/>
        </w:numPr>
        <w:spacing w:before="140" w:after="0"/>
        <w:rPr>
          <w:szCs w:val="20"/>
          <w:lang w:val="pt-BR"/>
        </w:rPr>
      </w:pPr>
      <w:bookmarkStart w:id="214" w:name="_DV_M71"/>
      <w:bookmarkEnd w:id="214"/>
      <w:r w:rsidRPr="009E6B2F">
        <w:rPr>
          <w:szCs w:val="20"/>
          <w:lang w:val="pt-BR"/>
        </w:rPr>
        <w:t xml:space="preserve">Para todos os fins de direito, a titularidade das Debêntures será comprovada pelo extrato emitido pelo </w:t>
      </w:r>
      <w:proofErr w:type="spellStart"/>
      <w:r w:rsidRPr="009E6B2F">
        <w:rPr>
          <w:szCs w:val="20"/>
          <w:lang w:val="pt-BR"/>
        </w:rPr>
        <w:t>Escriturador</w:t>
      </w:r>
      <w:proofErr w:type="spellEnd"/>
      <w:r w:rsidRPr="009E6B2F">
        <w:rPr>
          <w:szCs w:val="20"/>
          <w:lang w:val="pt-BR"/>
        </w:rPr>
        <w:t xml:space="preserve">. Adicionalmente, com relação às Debêntures que estiverem </w:t>
      </w:r>
      <w:r>
        <w:rPr>
          <w:lang w:val="pt-BR"/>
        </w:rPr>
        <w:t>custodiadas</w:t>
      </w:r>
      <w:r w:rsidRPr="009E6B2F">
        <w:rPr>
          <w:lang w:val="pt-BR"/>
        </w:rPr>
        <w:t xml:space="preserve"> </w:t>
      </w:r>
      <w:r w:rsidRPr="009E6B2F">
        <w:rPr>
          <w:szCs w:val="20"/>
          <w:lang w:val="pt-BR"/>
        </w:rPr>
        <w:t xml:space="preserve">eletronicamente na </w:t>
      </w:r>
      <w:r>
        <w:rPr>
          <w:lang w:val="pt-BR"/>
        </w:rPr>
        <w:t xml:space="preserve">B3 – Segmento </w:t>
      </w:r>
      <w:proofErr w:type="spellStart"/>
      <w:r>
        <w:rPr>
          <w:lang w:val="pt-BR"/>
        </w:rPr>
        <w:t>Cetip</w:t>
      </w:r>
      <w:proofErr w:type="spellEnd"/>
      <w:r>
        <w:rPr>
          <w:lang w:val="pt-BR"/>
        </w:rPr>
        <w:t xml:space="preserve"> UTVM</w:t>
      </w:r>
      <w:r w:rsidRPr="009E6B2F">
        <w:rPr>
          <w:szCs w:val="20"/>
          <w:lang w:val="pt-BR"/>
        </w:rPr>
        <w:t>, será expedido, por esta, extrato em nome do Debenturista, que servirá de comprovante de titularidade de tais Debêntures.</w:t>
      </w:r>
    </w:p>
    <w:p w14:paraId="583E2F8B" w14:textId="77777777" w:rsidR="00883C1A" w:rsidRPr="009E6B2F" w:rsidRDefault="00883C1A" w:rsidP="00883C1A">
      <w:pPr>
        <w:pStyle w:val="Level2"/>
        <w:numPr>
          <w:ilvl w:val="1"/>
          <w:numId w:val="11"/>
        </w:numPr>
        <w:spacing w:before="140" w:after="0"/>
        <w:rPr>
          <w:rFonts w:cs="Arial"/>
          <w:b/>
        </w:rPr>
      </w:pPr>
      <w:r w:rsidRPr="009E6B2F">
        <w:rPr>
          <w:rFonts w:cs="Arial"/>
          <w:b/>
        </w:rPr>
        <w:t>Conversibilidade</w:t>
      </w:r>
    </w:p>
    <w:p w14:paraId="64B2C501" w14:textId="77777777" w:rsidR="00883C1A" w:rsidRPr="009E6B2F" w:rsidRDefault="00883C1A" w:rsidP="00883C1A">
      <w:pPr>
        <w:pStyle w:val="Level3"/>
        <w:numPr>
          <w:ilvl w:val="2"/>
          <w:numId w:val="11"/>
        </w:numPr>
        <w:spacing w:before="140" w:after="0"/>
        <w:rPr>
          <w:lang w:val="pt-BR"/>
        </w:rPr>
      </w:pPr>
      <w:r w:rsidRPr="009E6B2F">
        <w:rPr>
          <w:lang w:val="pt-BR"/>
        </w:rPr>
        <w:t>As Debêntures não</w:t>
      </w:r>
      <w:r>
        <w:rPr>
          <w:lang w:val="pt-BR"/>
        </w:rPr>
        <w:t xml:space="preserve"> serão</w:t>
      </w:r>
      <w:r w:rsidRPr="009E6B2F">
        <w:rPr>
          <w:lang w:val="pt-BR"/>
        </w:rPr>
        <w:t xml:space="preserve"> conversíveis em ações de emissão da Emissora.</w:t>
      </w:r>
    </w:p>
    <w:p w14:paraId="393CAB94" w14:textId="77777777" w:rsidR="00883C1A" w:rsidRPr="009E6B2F" w:rsidRDefault="00883C1A" w:rsidP="00883C1A">
      <w:pPr>
        <w:pStyle w:val="Level2"/>
        <w:numPr>
          <w:ilvl w:val="1"/>
          <w:numId w:val="11"/>
        </w:numPr>
        <w:spacing w:before="140" w:after="0"/>
        <w:rPr>
          <w:rFonts w:cs="Arial"/>
          <w:b/>
        </w:rPr>
      </w:pPr>
      <w:r w:rsidRPr="009E6B2F">
        <w:rPr>
          <w:rFonts w:cs="Arial"/>
          <w:b/>
        </w:rPr>
        <w:t>Espécie</w:t>
      </w:r>
    </w:p>
    <w:p w14:paraId="678F1C0A" w14:textId="77777777" w:rsidR="00883C1A" w:rsidRPr="00050C51" w:rsidRDefault="00883C1A" w:rsidP="00883C1A">
      <w:pPr>
        <w:pStyle w:val="Level3"/>
        <w:numPr>
          <w:ilvl w:val="2"/>
          <w:numId w:val="11"/>
        </w:numPr>
        <w:rPr>
          <w:lang w:val="pt-BR"/>
        </w:rPr>
      </w:pPr>
      <w:r w:rsidRPr="00050C51">
        <w:rPr>
          <w:lang w:val="pt-BR"/>
        </w:rPr>
        <w:t xml:space="preserve">As Debêntures serão da espécie com garantia real, nos termos do artigo 58, </w:t>
      </w:r>
      <w:r w:rsidRPr="00D753AF">
        <w:rPr>
          <w:lang w:val="pt-BR"/>
        </w:rPr>
        <w:t>caput</w:t>
      </w:r>
      <w:r w:rsidRPr="00050C51">
        <w:rPr>
          <w:lang w:val="pt-BR"/>
        </w:rPr>
        <w:t xml:space="preserve">, da Lei das Sociedades por Ações, e contarão com </w:t>
      </w:r>
      <w:r w:rsidRPr="00056862">
        <w:rPr>
          <w:lang w:val="pt-BR"/>
        </w:rPr>
        <w:t>a Alienação Fiduciária</w:t>
      </w:r>
      <w:r w:rsidRPr="00050C51">
        <w:rPr>
          <w:lang w:val="pt-BR"/>
        </w:rPr>
        <w:t xml:space="preserve"> </w:t>
      </w:r>
      <w:r w:rsidRPr="00056862">
        <w:rPr>
          <w:lang w:val="pt-BR"/>
        </w:rPr>
        <w:t>de</w:t>
      </w:r>
      <w:r w:rsidRPr="00050C51">
        <w:rPr>
          <w:lang w:val="pt-BR"/>
        </w:rPr>
        <w:t xml:space="preserve"> Ações e a Cessão Fiduciária.</w:t>
      </w:r>
    </w:p>
    <w:p w14:paraId="78338C36" w14:textId="77777777" w:rsidR="00883C1A" w:rsidRPr="00D753AF" w:rsidRDefault="00883C1A" w:rsidP="00883C1A">
      <w:pPr>
        <w:pStyle w:val="Level2"/>
        <w:numPr>
          <w:ilvl w:val="1"/>
          <w:numId w:val="11"/>
        </w:numPr>
        <w:rPr>
          <w:b/>
        </w:rPr>
      </w:pPr>
      <w:r w:rsidRPr="00D753AF">
        <w:rPr>
          <w:b/>
        </w:rPr>
        <w:t>Direito de Preferência</w:t>
      </w:r>
    </w:p>
    <w:p w14:paraId="6C96F8FD" w14:textId="77777777" w:rsidR="00883C1A" w:rsidRPr="009E6B2F" w:rsidRDefault="00883C1A" w:rsidP="00883C1A">
      <w:pPr>
        <w:pStyle w:val="Level3"/>
        <w:numPr>
          <w:ilvl w:val="2"/>
          <w:numId w:val="11"/>
        </w:numPr>
        <w:rPr>
          <w:lang w:val="pt-BR"/>
        </w:rPr>
      </w:pPr>
      <w:r w:rsidRPr="009E6B2F">
        <w:rPr>
          <w:lang w:val="pt-BR"/>
        </w:rPr>
        <w:t>Não haverá direito de preferência dos atuais acionistas da Emissora na subscrição das Debêntures.</w:t>
      </w:r>
    </w:p>
    <w:p w14:paraId="76DAE809" w14:textId="77777777" w:rsidR="00883C1A" w:rsidRPr="00125E03" w:rsidRDefault="00883C1A" w:rsidP="00883C1A">
      <w:pPr>
        <w:pStyle w:val="Level2"/>
        <w:numPr>
          <w:ilvl w:val="1"/>
          <w:numId w:val="11"/>
        </w:numPr>
        <w:rPr>
          <w:b/>
        </w:rPr>
      </w:pPr>
      <w:r w:rsidRPr="00125E03">
        <w:rPr>
          <w:b/>
        </w:rPr>
        <w:t>Repactuação Programada</w:t>
      </w:r>
    </w:p>
    <w:p w14:paraId="4704914A" w14:textId="77777777" w:rsidR="00883C1A" w:rsidRPr="00125E03" w:rsidRDefault="00883C1A" w:rsidP="00883C1A">
      <w:pPr>
        <w:pStyle w:val="Level3"/>
        <w:numPr>
          <w:ilvl w:val="2"/>
          <w:numId w:val="11"/>
        </w:numPr>
        <w:rPr>
          <w:lang w:val="pt-BR"/>
        </w:rPr>
      </w:pPr>
      <w:r w:rsidRPr="00125E03">
        <w:rPr>
          <w:lang w:val="pt-BR"/>
        </w:rPr>
        <w:t>As Debêntures não serão objeto de repactuação programada.</w:t>
      </w:r>
    </w:p>
    <w:p w14:paraId="15468CA4" w14:textId="77777777" w:rsidR="00883C1A" w:rsidRPr="00211D51" w:rsidRDefault="00883C1A" w:rsidP="00883C1A">
      <w:pPr>
        <w:pStyle w:val="Level2"/>
        <w:numPr>
          <w:ilvl w:val="1"/>
          <w:numId w:val="11"/>
        </w:numPr>
        <w:rPr>
          <w:b/>
        </w:rPr>
      </w:pPr>
      <w:bookmarkStart w:id="215" w:name="_Ref427685207"/>
      <w:r w:rsidRPr="00211D51">
        <w:rPr>
          <w:b/>
        </w:rPr>
        <w:t>Amortização Programada</w:t>
      </w:r>
      <w:bookmarkEnd w:id="215"/>
    </w:p>
    <w:p w14:paraId="4E8E315D" w14:textId="77777777" w:rsidR="00883C1A" w:rsidRDefault="00883C1A" w:rsidP="00883C1A">
      <w:pPr>
        <w:pStyle w:val="Level3"/>
        <w:numPr>
          <w:ilvl w:val="2"/>
          <w:numId w:val="11"/>
        </w:numPr>
        <w:spacing w:before="240"/>
        <w:rPr>
          <w:lang w:val="pt-BR"/>
        </w:rPr>
      </w:pPr>
      <w:r w:rsidRPr="00125E03">
        <w:rPr>
          <w:lang w:val="pt-BR"/>
        </w:rPr>
        <w:t xml:space="preserve">Sem prejuízo </w:t>
      </w:r>
      <w:r>
        <w:rPr>
          <w:lang w:val="pt-BR"/>
        </w:rPr>
        <w:t>d</w:t>
      </w:r>
      <w:r w:rsidRPr="00125E03">
        <w:rPr>
          <w:lang w:val="pt-BR"/>
        </w:rPr>
        <w:t xml:space="preserve">os pagamentos decorrentes de </w:t>
      </w:r>
      <w:r w:rsidRPr="0071229F">
        <w:rPr>
          <w:lang w:val="pt-BR"/>
        </w:rPr>
        <w:t>vencimento antecipado das obrigações decorrentes das Debêntures e nas hipóteses de Resgate Antecipado Facultativo Total e da Oferta de Resgate Antecipado Facultativo Total</w:t>
      </w:r>
      <w:r w:rsidRPr="00BA06D4">
        <w:rPr>
          <w:lang w:val="pt-BR"/>
        </w:rPr>
        <w:t>, nos termo</w:t>
      </w:r>
      <w:r w:rsidRPr="00125E03">
        <w:rPr>
          <w:lang w:val="pt-BR"/>
        </w:rPr>
        <w:t xml:space="preserve">s previstos nesta Escritura de Emissão, o Valor Nominal </w:t>
      </w:r>
      <w:r>
        <w:rPr>
          <w:lang w:val="pt-BR"/>
        </w:rPr>
        <w:t>Unitário Atualizado (conforme abaixo definido)</w:t>
      </w:r>
      <w:r w:rsidRPr="00125E03">
        <w:rPr>
          <w:lang w:val="pt-BR"/>
        </w:rPr>
        <w:t xml:space="preserve"> das Debêntures será </w:t>
      </w:r>
      <w:r w:rsidRPr="00070715">
        <w:rPr>
          <w:lang w:val="pt-BR"/>
        </w:rPr>
        <w:t xml:space="preserve">amortizado em </w:t>
      </w:r>
      <w:r>
        <w:rPr>
          <w:lang w:val="pt-BR"/>
        </w:rPr>
        <w:t>45</w:t>
      </w:r>
      <w:r w:rsidRPr="00A5543D">
        <w:rPr>
          <w:lang w:val="pt-BR"/>
        </w:rPr>
        <w:t xml:space="preserve"> (</w:t>
      </w:r>
      <w:r>
        <w:rPr>
          <w:lang w:val="pt-BR"/>
        </w:rPr>
        <w:t>quarenta e cinco</w:t>
      </w:r>
      <w:r w:rsidRPr="00A5543D">
        <w:rPr>
          <w:lang w:val="pt-BR"/>
        </w:rPr>
        <w:t>)</w:t>
      </w:r>
      <w:r w:rsidRPr="00070715">
        <w:rPr>
          <w:lang w:val="pt-BR"/>
        </w:rPr>
        <w:t xml:space="preserve"> parcelas</w:t>
      </w:r>
      <w:r>
        <w:rPr>
          <w:lang w:val="pt-BR"/>
        </w:rPr>
        <w:t xml:space="preserve"> semestrais, sempre no dia 15 dos meses de junho e dezembro de cada ano, sendo a primeira parcela devida em 15 de dezembro de 2022, e a última parcela devida na Data de Vencimento, </w:t>
      </w:r>
      <w:r w:rsidRPr="00211D51">
        <w:rPr>
          <w:lang w:val="pt-BR"/>
        </w:rPr>
        <w:t xml:space="preserve">conforme cronograma detalhado no </w:t>
      </w:r>
      <w:r w:rsidRPr="00211D51">
        <w:rPr>
          <w:b/>
          <w:lang w:val="pt-BR"/>
        </w:rPr>
        <w:t>Anexo I</w:t>
      </w:r>
      <w:r w:rsidRPr="00211D51">
        <w:rPr>
          <w:lang w:val="pt-BR"/>
        </w:rPr>
        <w:t xml:space="preserve"> à presente</w:t>
      </w:r>
      <w:r>
        <w:rPr>
          <w:lang w:val="pt-BR"/>
        </w:rPr>
        <w:t xml:space="preserve"> Escritura de Emissão</w:t>
      </w:r>
      <w:r w:rsidRPr="00125E03">
        <w:rPr>
          <w:lang w:val="pt-BR"/>
        </w:rPr>
        <w:t>.</w:t>
      </w:r>
      <w:r>
        <w:rPr>
          <w:lang w:val="pt-BR"/>
        </w:rPr>
        <w:t xml:space="preserve"> </w:t>
      </w:r>
    </w:p>
    <w:p w14:paraId="4008A90F" w14:textId="77777777" w:rsidR="00883C1A" w:rsidRPr="009E6B2F" w:rsidRDefault="00883C1A" w:rsidP="00883C1A">
      <w:pPr>
        <w:pStyle w:val="Level3"/>
        <w:numPr>
          <w:ilvl w:val="2"/>
          <w:numId w:val="11"/>
        </w:numPr>
        <w:spacing w:before="140"/>
        <w:ind w:left="1360"/>
        <w:rPr>
          <w:lang w:val="pt-BR"/>
        </w:rPr>
      </w:pPr>
      <w:r w:rsidRPr="009E6B2F">
        <w:rPr>
          <w:lang w:val="pt-BR"/>
        </w:rPr>
        <w:t>A Emissora obriga-se a, na respectiva Data de Vencimento, realizar o pagamento das Debêntures</w:t>
      </w:r>
      <w:r>
        <w:rPr>
          <w:lang w:val="pt-BR"/>
        </w:rPr>
        <w:t xml:space="preserve"> </w:t>
      </w:r>
      <w:r w:rsidRPr="009E6B2F">
        <w:rPr>
          <w:lang w:val="pt-BR"/>
        </w:rPr>
        <w:t>pelo Valor Nominal Unitário</w:t>
      </w:r>
      <w:r>
        <w:rPr>
          <w:lang w:val="pt-BR"/>
        </w:rPr>
        <w:t xml:space="preserve"> ou pelo Valor Nominal Unitário Atualizado, conforme o caso</w:t>
      </w:r>
      <w:r w:rsidRPr="009E6B2F">
        <w:rPr>
          <w:lang w:val="pt-BR"/>
        </w:rPr>
        <w:t>, acrescido da Remuneração</w:t>
      </w:r>
      <w:r>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274A69FC" w14:textId="77777777" w:rsidR="00883C1A" w:rsidRPr="00211D51" w:rsidRDefault="00883C1A" w:rsidP="00883C1A">
      <w:pPr>
        <w:pStyle w:val="Level2"/>
        <w:numPr>
          <w:ilvl w:val="1"/>
          <w:numId w:val="11"/>
        </w:numPr>
        <w:tabs>
          <w:tab w:val="clear" w:pos="680"/>
        </w:tabs>
        <w:spacing w:before="140" w:after="0"/>
        <w:rPr>
          <w:rFonts w:cs="Arial"/>
          <w:b/>
        </w:rPr>
      </w:pPr>
      <w:r w:rsidRPr="00211D51">
        <w:rPr>
          <w:rFonts w:cs="Arial"/>
          <w:b/>
        </w:rPr>
        <w:t xml:space="preserve">Atualização Monetária </w:t>
      </w:r>
    </w:p>
    <w:p w14:paraId="6CD0B199" w14:textId="77777777" w:rsidR="00883C1A" w:rsidRDefault="00883C1A" w:rsidP="00883C1A">
      <w:pPr>
        <w:pStyle w:val="Level3"/>
        <w:numPr>
          <w:ilvl w:val="2"/>
          <w:numId w:val="11"/>
        </w:numPr>
        <w:spacing w:before="140"/>
        <w:ind w:left="1360"/>
        <w:rPr>
          <w:lang w:val="pt-BR"/>
        </w:rPr>
      </w:pPr>
      <w:bookmarkStart w:id="216" w:name="_Ref24988380"/>
      <w:bookmarkStart w:id="217" w:name="_Ref420335344"/>
      <w:r w:rsidRPr="00ED4800">
        <w:rPr>
          <w:lang w:val="pt-BR"/>
        </w:rPr>
        <w:t>O Valor Nominal Unitário ou o saldo do Valor Nominal Unitário</w:t>
      </w:r>
      <w:r>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conforme o caso, (“</w:t>
      </w:r>
      <w:r w:rsidRPr="00ED4800">
        <w:rPr>
          <w:b/>
          <w:lang w:val="pt-BR"/>
        </w:rPr>
        <w:t xml:space="preserve">Valor Nominal </w:t>
      </w:r>
      <w:r w:rsidRPr="00134F48">
        <w:rPr>
          <w:b/>
          <w:lang w:val="pt-BR"/>
        </w:rPr>
        <w:t>Unitário</w:t>
      </w:r>
      <w:r>
        <w:rPr>
          <w:lang w:val="pt-BR"/>
        </w:rPr>
        <w:t xml:space="preserve"> </w:t>
      </w:r>
      <w:r w:rsidRPr="00ED4800">
        <w:rPr>
          <w:b/>
          <w:lang w:val="pt-BR"/>
        </w:rPr>
        <w:t>Atualizado</w:t>
      </w:r>
      <w:r w:rsidRPr="00ED4800">
        <w:rPr>
          <w:lang w:val="pt-BR"/>
        </w:rPr>
        <w:t>”)</w:t>
      </w:r>
      <w:r>
        <w:rPr>
          <w:lang w:val="pt-BR"/>
        </w:rPr>
        <w:t>, segundo a seguinte fórmula:</w:t>
      </w:r>
      <w:bookmarkEnd w:id="216"/>
    </w:p>
    <w:p w14:paraId="1D3A3E9C" w14:textId="77777777" w:rsidR="00883C1A" w:rsidRPr="00B10EEF" w:rsidRDefault="00883C1A" w:rsidP="00883C1A">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rPr>
        <w:drawing>
          <wp:inline distT="0" distB="0" distL="0" distR="0" wp14:anchorId="424C72E3" wp14:editId="09E03C3E">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5E809C3E" w14:textId="77777777" w:rsidR="00883C1A" w:rsidRPr="00B10EEF" w:rsidRDefault="00883C1A" w:rsidP="00883C1A">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883C1A" w:rsidRPr="00313E2E" w14:paraId="26AF000E" w14:textId="77777777" w:rsidTr="00A4059A">
        <w:tc>
          <w:tcPr>
            <w:tcW w:w="701" w:type="dxa"/>
            <w:tcBorders>
              <w:top w:val="nil"/>
              <w:left w:val="nil"/>
              <w:bottom w:val="nil"/>
              <w:right w:val="nil"/>
            </w:tcBorders>
          </w:tcPr>
          <w:p w14:paraId="06F6F1DC" w14:textId="77777777" w:rsidR="00883C1A" w:rsidRPr="00B10EEF" w:rsidRDefault="00883C1A" w:rsidP="00A4059A">
            <w:pPr>
              <w:pStyle w:val="Body"/>
              <w:ind w:left="680"/>
            </w:pPr>
            <w:proofErr w:type="spellStart"/>
            <w:r w:rsidRPr="00B10EEF">
              <w:t>VNa</w:t>
            </w:r>
            <w:proofErr w:type="spellEnd"/>
          </w:p>
        </w:tc>
        <w:tc>
          <w:tcPr>
            <w:tcW w:w="458" w:type="dxa"/>
            <w:tcBorders>
              <w:top w:val="nil"/>
              <w:left w:val="nil"/>
              <w:bottom w:val="nil"/>
              <w:right w:val="nil"/>
            </w:tcBorders>
          </w:tcPr>
          <w:p w14:paraId="4AA937A6" w14:textId="77777777" w:rsidR="00883C1A" w:rsidRPr="00B10EEF" w:rsidRDefault="00883C1A" w:rsidP="00A4059A">
            <w:pPr>
              <w:pStyle w:val="Body"/>
              <w:ind w:left="680"/>
            </w:pPr>
            <w:r w:rsidRPr="00B10EEF">
              <w:t>=</w:t>
            </w:r>
          </w:p>
        </w:tc>
        <w:tc>
          <w:tcPr>
            <w:tcW w:w="7133" w:type="dxa"/>
            <w:tcBorders>
              <w:top w:val="nil"/>
              <w:left w:val="nil"/>
              <w:bottom w:val="nil"/>
              <w:right w:val="nil"/>
            </w:tcBorders>
          </w:tcPr>
          <w:p w14:paraId="58C8B405" w14:textId="77777777" w:rsidR="00883C1A" w:rsidRPr="00B10EEF" w:rsidRDefault="00883C1A" w:rsidP="00A4059A">
            <w:pPr>
              <w:pStyle w:val="Body"/>
              <w:ind w:left="680"/>
            </w:pPr>
            <w:proofErr w:type="spellStart"/>
            <w:r>
              <w:t>VNa</w:t>
            </w:r>
            <w:proofErr w:type="spellEnd"/>
            <w:r>
              <w:t xml:space="preserve"> = </w:t>
            </w:r>
            <w:r w:rsidRPr="00B10EEF">
              <w:t xml:space="preserve">Valor Nominal </w:t>
            </w:r>
            <w:r>
              <w:t xml:space="preserve">Unitário </w:t>
            </w:r>
            <w:r w:rsidRPr="00B10EEF">
              <w:t>Atualizado das Debêntures, calculado com 8 (oito) casas decimais, sem arredondamento;</w:t>
            </w:r>
          </w:p>
        </w:tc>
      </w:tr>
      <w:tr w:rsidR="00883C1A" w:rsidRPr="00313E2E" w14:paraId="3A5AE8AA" w14:textId="77777777" w:rsidTr="00A4059A">
        <w:tc>
          <w:tcPr>
            <w:tcW w:w="701" w:type="dxa"/>
            <w:tcBorders>
              <w:top w:val="nil"/>
              <w:left w:val="nil"/>
              <w:bottom w:val="nil"/>
              <w:right w:val="nil"/>
            </w:tcBorders>
          </w:tcPr>
          <w:p w14:paraId="22A1E391" w14:textId="77777777" w:rsidR="00883C1A" w:rsidRPr="00B10EEF" w:rsidRDefault="00883C1A" w:rsidP="00A4059A">
            <w:pPr>
              <w:pStyle w:val="Body"/>
              <w:ind w:left="680"/>
            </w:pPr>
            <w:proofErr w:type="spellStart"/>
            <w:r w:rsidRPr="00B10EEF">
              <w:t>VNe</w:t>
            </w:r>
            <w:proofErr w:type="spellEnd"/>
          </w:p>
        </w:tc>
        <w:tc>
          <w:tcPr>
            <w:tcW w:w="458" w:type="dxa"/>
            <w:tcBorders>
              <w:top w:val="nil"/>
              <w:left w:val="nil"/>
              <w:bottom w:val="nil"/>
              <w:right w:val="nil"/>
            </w:tcBorders>
          </w:tcPr>
          <w:p w14:paraId="37A3FA48" w14:textId="77777777" w:rsidR="00883C1A" w:rsidRPr="00B10EEF" w:rsidRDefault="00883C1A" w:rsidP="00A4059A">
            <w:pPr>
              <w:pStyle w:val="Body"/>
              <w:ind w:left="680"/>
            </w:pPr>
            <w:r w:rsidRPr="00B10EEF">
              <w:t>=</w:t>
            </w:r>
          </w:p>
        </w:tc>
        <w:tc>
          <w:tcPr>
            <w:tcW w:w="7133" w:type="dxa"/>
            <w:tcBorders>
              <w:top w:val="nil"/>
              <w:left w:val="nil"/>
              <w:bottom w:val="nil"/>
              <w:right w:val="nil"/>
            </w:tcBorders>
          </w:tcPr>
          <w:p w14:paraId="28C5765F" w14:textId="77777777" w:rsidR="00883C1A" w:rsidRPr="00B10EEF" w:rsidRDefault="00883C1A" w:rsidP="00A4059A">
            <w:pPr>
              <w:pStyle w:val="Body"/>
              <w:ind w:left="680"/>
            </w:pPr>
            <w:proofErr w:type="spellStart"/>
            <w:r>
              <w:t>VNe</w:t>
            </w:r>
            <w:proofErr w:type="spellEnd"/>
            <w:r>
              <w:t xml:space="preserve"> = </w:t>
            </w:r>
            <w:r w:rsidRPr="00B10EEF">
              <w:t>Valor Nominal Unitário</w:t>
            </w:r>
            <w:r>
              <w:t xml:space="preserve"> ou saldo do Valor Nominal Unitário</w:t>
            </w:r>
            <w:r w:rsidRPr="00B10EEF">
              <w:t xml:space="preserve"> das Debêntures,</w:t>
            </w:r>
            <w:r>
              <w:t xml:space="preserve"> conforme o caso,</w:t>
            </w:r>
            <w:r w:rsidRPr="00B10EEF">
              <w:t xml:space="preserve"> informado/calculado com 8 (oito) casas decimais, sem arredondamento; e</w:t>
            </w:r>
          </w:p>
        </w:tc>
      </w:tr>
      <w:tr w:rsidR="00883C1A" w:rsidRPr="00313E2E" w14:paraId="7B22C49C" w14:textId="77777777" w:rsidTr="00A4059A">
        <w:tc>
          <w:tcPr>
            <w:tcW w:w="701" w:type="dxa"/>
            <w:tcBorders>
              <w:top w:val="nil"/>
              <w:left w:val="nil"/>
              <w:bottom w:val="nil"/>
              <w:right w:val="nil"/>
            </w:tcBorders>
          </w:tcPr>
          <w:p w14:paraId="4C9C868B" w14:textId="77777777" w:rsidR="00883C1A" w:rsidRPr="00B10EEF" w:rsidRDefault="00883C1A" w:rsidP="00A4059A">
            <w:pPr>
              <w:pStyle w:val="Body"/>
              <w:ind w:left="680"/>
            </w:pPr>
            <w:r w:rsidRPr="00B10EEF">
              <w:t>C</w:t>
            </w:r>
          </w:p>
        </w:tc>
        <w:tc>
          <w:tcPr>
            <w:tcW w:w="458" w:type="dxa"/>
            <w:tcBorders>
              <w:top w:val="nil"/>
              <w:left w:val="nil"/>
              <w:bottom w:val="nil"/>
              <w:right w:val="nil"/>
            </w:tcBorders>
          </w:tcPr>
          <w:p w14:paraId="2BE25299" w14:textId="77777777" w:rsidR="00883C1A" w:rsidRPr="00B10EEF" w:rsidRDefault="00883C1A" w:rsidP="00A4059A">
            <w:pPr>
              <w:pStyle w:val="Body"/>
              <w:ind w:left="680"/>
            </w:pPr>
            <w:r w:rsidRPr="00B10EEF">
              <w:t>=</w:t>
            </w:r>
          </w:p>
        </w:tc>
        <w:tc>
          <w:tcPr>
            <w:tcW w:w="7133" w:type="dxa"/>
            <w:tcBorders>
              <w:top w:val="nil"/>
              <w:left w:val="nil"/>
              <w:bottom w:val="nil"/>
              <w:right w:val="nil"/>
            </w:tcBorders>
          </w:tcPr>
          <w:p w14:paraId="248771BA" w14:textId="77777777" w:rsidR="00883C1A" w:rsidRPr="00B10EEF" w:rsidRDefault="00883C1A" w:rsidP="00A4059A">
            <w:pPr>
              <w:pStyle w:val="Body"/>
              <w:ind w:left="680"/>
            </w:pPr>
            <w:r>
              <w:t xml:space="preserve">C = </w:t>
            </w:r>
            <w:r w:rsidRPr="00B10EEF">
              <w:t>fator acumulado das variações mensais do IPCA, calculado com 8 (oito) casas decimais, sem arredondamento, apurado da seguinte forma:</w:t>
            </w:r>
          </w:p>
        </w:tc>
      </w:tr>
    </w:tbl>
    <w:p w14:paraId="7FDD7EEB" w14:textId="77777777" w:rsidR="00883C1A" w:rsidRPr="00B10EEF" w:rsidRDefault="00883C1A" w:rsidP="00883C1A">
      <w:pPr>
        <w:pStyle w:val="Body"/>
        <w:jc w:val="center"/>
      </w:pPr>
      <w:r w:rsidRPr="00B10EEF">
        <w:rPr>
          <w:noProof/>
        </w:rPr>
        <w:drawing>
          <wp:inline distT="0" distB="0" distL="0" distR="0" wp14:anchorId="7A73DED3" wp14:editId="4A384FB8">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6F5AED16" w14:textId="77777777" w:rsidR="00883C1A" w:rsidRPr="00B10EEF" w:rsidRDefault="00883C1A" w:rsidP="00883C1A">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883C1A" w:rsidRPr="00313E2E" w14:paraId="15EC64A0" w14:textId="77777777" w:rsidTr="00A4059A">
        <w:tc>
          <w:tcPr>
            <w:tcW w:w="1276" w:type="dxa"/>
            <w:tcBorders>
              <w:top w:val="nil"/>
              <w:left w:val="nil"/>
              <w:bottom w:val="nil"/>
              <w:right w:val="nil"/>
            </w:tcBorders>
          </w:tcPr>
          <w:p w14:paraId="0E465E9B" w14:textId="77777777" w:rsidR="00883C1A" w:rsidRPr="00B10EEF" w:rsidRDefault="00883C1A" w:rsidP="00A4059A">
            <w:pPr>
              <w:pStyle w:val="Body"/>
              <w:ind w:left="680"/>
            </w:pPr>
            <w:r w:rsidRPr="00B10EEF">
              <w:t>N</w:t>
            </w:r>
          </w:p>
        </w:tc>
        <w:tc>
          <w:tcPr>
            <w:tcW w:w="6894" w:type="dxa"/>
            <w:tcBorders>
              <w:top w:val="nil"/>
              <w:left w:val="nil"/>
              <w:bottom w:val="nil"/>
              <w:right w:val="nil"/>
            </w:tcBorders>
          </w:tcPr>
          <w:p w14:paraId="3CA80C4B" w14:textId="77777777" w:rsidR="00883C1A" w:rsidRPr="00B10EEF" w:rsidRDefault="00883C1A" w:rsidP="00A4059A">
            <w:pPr>
              <w:pStyle w:val="Body"/>
              <w:ind w:left="680"/>
            </w:pPr>
            <w:r w:rsidRPr="00B10EEF">
              <w:t>número total de índices considerados na Atualização Monetária das Debêntures, sendo “n” um número inteiro;</w:t>
            </w:r>
          </w:p>
        </w:tc>
      </w:tr>
      <w:tr w:rsidR="00883C1A" w:rsidRPr="00313E2E" w14:paraId="644E33E5" w14:textId="77777777" w:rsidTr="00A4059A">
        <w:tc>
          <w:tcPr>
            <w:tcW w:w="1276" w:type="dxa"/>
            <w:tcBorders>
              <w:top w:val="nil"/>
              <w:left w:val="nil"/>
              <w:bottom w:val="nil"/>
              <w:right w:val="nil"/>
            </w:tcBorders>
          </w:tcPr>
          <w:p w14:paraId="28DD1DA0" w14:textId="77777777" w:rsidR="00883C1A" w:rsidRPr="00B10EEF" w:rsidRDefault="00883C1A" w:rsidP="00A4059A">
            <w:pPr>
              <w:pStyle w:val="Body"/>
              <w:ind w:left="680"/>
            </w:pPr>
            <w:r w:rsidRPr="00B10EEF">
              <w:t>NI</w:t>
            </w:r>
            <w:r w:rsidRPr="00B10EEF">
              <w:rPr>
                <w:vertAlign w:val="subscript"/>
              </w:rPr>
              <w:t>K</w:t>
            </w:r>
          </w:p>
        </w:tc>
        <w:tc>
          <w:tcPr>
            <w:tcW w:w="6894" w:type="dxa"/>
            <w:tcBorders>
              <w:top w:val="nil"/>
              <w:left w:val="nil"/>
              <w:bottom w:val="nil"/>
              <w:right w:val="nil"/>
            </w:tcBorders>
          </w:tcPr>
          <w:p w14:paraId="45C65240" w14:textId="77777777" w:rsidR="00883C1A" w:rsidRPr="00B10EEF" w:rsidRDefault="00883C1A" w:rsidP="00A4059A">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883C1A" w:rsidRPr="00313E2E" w14:paraId="75354795" w14:textId="77777777" w:rsidTr="00A4059A">
        <w:tc>
          <w:tcPr>
            <w:tcW w:w="1276" w:type="dxa"/>
            <w:tcBorders>
              <w:top w:val="nil"/>
              <w:left w:val="nil"/>
              <w:bottom w:val="nil"/>
              <w:right w:val="nil"/>
            </w:tcBorders>
          </w:tcPr>
          <w:p w14:paraId="2729BF72" w14:textId="77777777" w:rsidR="00883C1A" w:rsidRPr="00B10EEF" w:rsidRDefault="00883C1A" w:rsidP="00A4059A">
            <w:pPr>
              <w:pStyle w:val="Body"/>
              <w:ind w:left="680"/>
            </w:pPr>
            <w:r w:rsidRPr="00B10EEF">
              <w:t>NI</w:t>
            </w:r>
            <w:r w:rsidRPr="00B10EEF">
              <w:rPr>
                <w:vertAlign w:val="subscript"/>
              </w:rPr>
              <w:t>K-1</w:t>
            </w:r>
          </w:p>
        </w:tc>
        <w:tc>
          <w:tcPr>
            <w:tcW w:w="6894" w:type="dxa"/>
            <w:tcBorders>
              <w:top w:val="nil"/>
              <w:left w:val="nil"/>
              <w:bottom w:val="nil"/>
              <w:right w:val="nil"/>
            </w:tcBorders>
          </w:tcPr>
          <w:p w14:paraId="07A2376F" w14:textId="77777777" w:rsidR="00883C1A" w:rsidRPr="00B10EEF" w:rsidRDefault="00883C1A" w:rsidP="00A4059A">
            <w:pPr>
              <w:pStyle w:val="Body"/>
              <w:ind w:left="680"/>
            </w:pPr>
            <w:r w:rsidRPr="00B10EEF">
              <w:t>valor do número-índice do IPCA do mês anterior ao mês “k”;</w:t>
            </w:r>
          </w:p>
        </w:tc>
      </w:tr>
      <w:tr w:rsidR="00883C1A" w:rsidRPr="00313E2E" w14:paraId="66A74E88" w14:textId="77777777" w:rsidTr="00A4059A">
        <w:tc>
          <w:tcPr>
            <w:tcW w:w="1276" w:type="dxa"/>
            <w:tcBorders>
              <w:top w:val="nil"/>
              <w:left w:val="nil"/>
              <w:bottom w:val="nil"/>
              <w:right w:val="nil"/>
            </w:tcBorders>
          </w:tcPr>
          <w:p w14:paraId="18080A0E" w14:textId="77777777" w:rsidR="00883C1A" w:rsidRPr="00B10EEF" w:rsidRDefault="00883C1A" w:rsidP="00A4059A">
            <w:pPr>
              <w:pStyle w:val="Body"/>
              <w:ind w:left="680"/>
            </w:pPr>
            <w:proofErr w:type="spellStart"/>
            <w:r w:rsidRPr="00B10EEF">
              <w:t>dup</w:t>
            </w:r>
            <w:proofErr w:type="spellEnd"/>
          </w:p>
        </w:tc>
        <w:tc>
          <w:tcPr>
            <w:tcW w:w="6894" w:type="dxa"/>
            <w:tcBorders>
              <w:top w:val="nil"/>
              <w:left w:val="nil"/>
              <w:bottom w:val="nil"/>
              <w:right w:val="nil"/>
            </w:tcBorders>
          </w:tcPr>
          <w:p w14:paraId="0776765C" w14:textId="77777777" w:rsidR="00883C1A" w:rsidRPr="00B10EEF" w:rsidRDefault="00883C1A" w:rsidP="00A4059A">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w:t>
            </w:r>
            <w:proofErr w:type="spellStart"/>
            <w:r w:rsidRPr="00B10EEF">
              <w:t>dup</w:t>
            </w:r>
            <w:proofErr w:type="spellEnd"/>
            <w:r w:rsidRPr="00B10EEF">
              <w:t>” um número inteiro; e</w:t>
            </w:r>
          </w:p>
        </w:tc>
      </w:tr>
      <w:tr w:rsidR="00883C1A" w:rsidRPr="00313E2E" w14:paraId="29D800A3" w14:textId="77777777" w:rsidTr="00A4059A">
        <w:tc>
          <w:tcPr>
            <w:tcW w:w="1276" w:type="dxa"/>
            <w:tcBorders>
              <w:top w:val="nil"/>
              <w:left w:val="nil"/>
              <w:bottom w:val="nil"/>
              <w:right w:val="nil"/>
            </w:tcBorders>
          </w:tcPr>
          <w:p w14:paraId="3B7CB091" w14:textId="77777777" w:rsidR="00883C1A" w:rsidRPr="00B10EEF" w:rsidRDefault="00883C1A" w:rsidP="00A4059A">
            <w:pPr>
              <w:pStyle w:val="Body"/>
              <w:ind w:left="680"/>
            </w:pPr>
            <w:proofErr w:type="spellStart"/>
            <w:r w:rsidRPr="00B10EEF">
              <w:t>dut</w:t>
            </w:r>
            <w:proofErr w:type="spellEnd"/>
          </w:p>
        </w:tc>
        <w:tc>
          <w:tcPr>
            <w:tcW w:w="6894" w:type="dxa"/>
            <w:tcBorders>
              <w:top w:val="nil"/>
              <w:left w:val="nil"/>
              <w:bottom w:val="nil"/>
              <w:right w:val="nil"/>
            </w:tcBorders>
          </w:tcPr>
          <w:p w14:paraId="398E7980" w14:textId="77777777" w:rsidR="00883C1A" w:rsidRPr="00B10EEF" w:rsidRDefault="00883C1A" w:rsidP="00A4059A">
            <w:pPr>
              <w:pStyle w:val="Body"/>
              <w:ind w:left="680"/>
            </w:pPr>
            <w:r w:rsidRPr="00B10EEF">
              <w:t>número de Dias Úteis contidos entre a última Data de Aniversário e a próxima Data de Aniversário das Debêntures, sendo “</w:t>
            </w:r>
            <w:proofErr w:type="spellStart"/>
            <w:r w:rsidRPr="00B10EEF">
              <w:t>dut</w:t>
            </w:r>
            <w:proofErr w:type="spellEnd"/>
            <w:r w:rsidRPr="00B10EEF">
              <w:t xml:space="preserve">” um número inteiro. </w:t>
            </w:r>
          </w:p>
        </w:tc>
      </w:tr>
    </w:tbl>
    <w:p w14:paraId="5E9D3E96" w14:textId="77777777" w:rsidR="00883C1A" w:rsidRPr="00B10EEF" w:rsidRDefault="00883C1A" w:rsidP="00883C1A">
      <w:pPr>
        <w:pStyle w:val="Body"/>
        <w:ind w:left="1361"/>
      </w:pPr>
      <w:r w:rsidRPr="00B10EEF">
        <w:t>Sendo que:</w:t>
      </w:r>
    </w:p>
    <w:p w14:paraId="5176E45F" w14:textId="77777777" w:rsidR="00883C1A" w:rsidRPr="00B10EEF" w:rsidRDefault="00883C1A" w:rsidP="00883C1A">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5923EF38" w14:textId="77777777" w:rsidR="00883C1A" w:rsidRPr="00B10EEF" w:rsidRDefault="00883C1A" w:rsidP="00883C1A">
      <w:pPr>
        <w:pStyle w:val="Body"/>
        <w:ind w:left="1361"/>
      </w:pPr>
      <w:r w:rsidRPr="00B10EEF">
        <w:t>O IPCA deverá ser utilizado considerando idêntico número de casas decimais divulgado pelo órgão responsável por seu cálculo;</w:t>
      </w:r>
    </w:p>
    <w:p w14:paraId="529D27F6" w14:textId="77777777" w:rsidR="00883C1A" w:rsidRPr="00B10EEF" w:rsidRDefault="00883C1A" w:rsidP="00883C1A">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7212E26E" w14:textId="77777777" w:rsidR="00883C1A" w:rsidRPr="00B10EEF" w:rsidRDefault="00883C1A" w:rsidP="00883C1A">
      <w:pPr>
        <w:pStyle w:val="Body"/>
        <w:ind w:left="1361"/>
      </w:pPr>
      <w:r w:rsidRPr="00B10EEF">
        <w:t>Considera-se como mês de atualização, o período mensal compreendido entre duas datas de aniversários consecutivas das Debêntures em questão;</w:t>
      </w:r>
    </w:p>
    <w:p w14:paraId="59857C89" w14:textId="77777777" w:rsidR="00883C1A" w:rsidRPr="00B10EEF" w:rsidRDefault="00883C1A" w:rsidP="00883C1A">
      <w:pPr>
        <w:pStyle w:val="Body"/>
        <w:ind w:left="1361"/>
      </w:pPr>
      <w:r w:rsidRPr="00B10EEF">
        <w:t xml:space="preserve">Os fatores resultantes da expressão: </w:t>
      </w:r>
      <w:r w:rsidRPr="00B10EEF">
        <w:rPr>
          <w:noProof/>
        </w:rPr>
        <w:drawing>
          <wp:inline distT="0" distB="0" distL="0" distR="0" wp14:anchorId="6D57247A" wp14:editId="431F45F8">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7107873B" w14:textId="77777777" w:rsidR="00883C1A" w:rsidRPr="00B10EEF" w:rsidRDefault="00883C1A" w:rsidP="00883C1A">
      <w:pPr>
        <w:pStyle w:val="Body"/>
        <w:ind w:left="1361"/>
      </w:pPr>
      <w:r w:rsidRPr="00B10EEF">
        <w:t xml:space="preserve">O </w:t>
      </w:r>
      <w:proofErr w:type="spellStart"/>
      <w:r w:rsidRPr="00B10EEF">
        <w:t>produtório</w:t>
      </w:r>
      <w:proofErr w:type="spellEnd"/>
      <w:r w:rsidRPr="00B10EEF">
        <w:t xml:space="preserve"> é executado a partir do fator mais recente, acrescentando-se, em seguida, os mais remotos. Os resultados intermediários são calculados com 16 (dezesseis) casas decimais, sem arredondamento; e</w:t>
      </w:r>
    </w:p>
    <w:p w14:paraId="48DBDF1D" w14:textId="77777777" w:rsidR="00883C1A" w:rsidRPr="00B10EEF" w:rsidRDefault="00883C1A" w:rsidP="00883C1A">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60B3EF7" w14:textId="77777777" w:rsidR="00883C1A" w:rsidRPr="00B10EEF" w:rsidRDefault="00883C1A" w:rsidP="00883C1A">
      <w:pPr>
        <w:pStyle w:val="Body"/>
        <w:ind w:left="1361"/>
        <w:rPr>
          <w:rFonts w:eastAsia="Arial Unicode MS"/>
        </w:rPr>
      </w:pPr>
      <w:r w:rsidRPr="00B10EEF">
        <w:rPr>
          <w:rFonts w:eastAsia="Arial Unicode MS"/>
        </w:rPr>
        <w:t xml:space="preserve">Caso até a Data de Aniversário, o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não tenha sido divulgado, deverá ser utilizado em substituição a </w:t>
      </w:r>
      <w:proofErr w:type="spellStart"/>
      <w:r w:rsidRPr="00B10EEF">
        <w:rPr>
          <w:rFonts w:eastAsia="Arial Unicode MS"/>
        </w:rPr>
        <w:t>NI</w:t>
      </w:r>
      <w:r w:rsidRPr="00B10EEF">
        <w:rPr>
          <w:rFonts w:eastAsia="Arial Unicode MS"/>
          <w:vertAlign w:val="subscript"/>
        </w:rPr>
        <w:t>k</w:t>
      </w:r>
      <w:proofErr w:type="spellEnd"/>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687B64FE" w14:textId="77777777" w:rsidR="00883C1A" w:rsidRPr="00B10EEF" w:rsidRDefault="00883C1A" w:rsidP="00883C1A">
      <w:pPr>
        <w:pStyle w:val="Body"/>
        <w:ind w:left="1361"/>
        <w:jc w:val="center"/>
      </w:pPr>
      <w:r w:rsidRPr="00B10EEF">
        <w:object w:dxaOrig="2780" w:dyaOrig="380" w14:anchorId="1F5F7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20" o:title=""/>
          </v:shape>
          <o:OLEObject Type="Embed" ProgID="Equation.3" ShapeID="_x0000_i1025" DrawAspect="Content" ObjectID="_1644672169" r:id="rId21"/>
        </w:object>
      </w:r>
    </w:p>
    <w:p w14:paraId="60DE4741" w14:textId="77777777" w:rsidR="00883C1A" w:rsidRPr="00B10EEF" w:rsidRDefault="00883C1A" w:rsidP="00883C1A">
      <w:pPr>
        <w:pStyle w:val="Body"/>
        <w:ind w:left="1361"/>
      </w:pPr>
      <w:r w:rsidRPr="00B10EEF">
        <w:t>onde:</w:t>
      </w:r>
    </w:p>
    <w:p w14:paraId="4A60606E" w14:textId="77777777" w:rsidR="00883C1A" w:rsidRPr="00B10EEF" w:rsidRDefault="00883C1A" w:rsidP="00883C1A">
      <w:pPr>
        <w:pStyle w:val="Body"/>
        <w:ind w:left="1361"/>
      </w:pPr>
      <w:proofErr w:type="spellStart"/>
      <w:r w:rsidRPr="00B10EEF">
        <w:t>NI</w:t>
      </w:r>
      <w:r w:rsidRPr="00B10EEF">
        <w:rPr>
          <w:vertAlign w:val="subscript"/>
        </w:rPr>
        <w:t>kp</w:t>
      </w:r>
      <w:proofErr w:type="spellEnd"/>
      <w:r w:rsidRPr="00B10EEF">
        <w:t>: Número-Índice Projetado do IPCA para o mês de atualização, calculado com 2 casas decimais, com arredondamento; e</w:t>
      </w:r>
    </w:p>
    <w:p w14:paraId="6E60314D" w14:textId="77777777" w:rsidR="00883C1A" w:rsidRPr="00B10EEF" w:rsidRDefault="00883C1A" w:rsidP="00883C1A">
      <w:pPr>
        <w:pStyle w:val="Body"/>
        <w:ind w:left="1361"/>
      </w:pPr>
      <w:r w:rsidRPr="00B10EEF">
        <w:t>Projeção: variação percentual projetada pela ANBIMA referente ao mês de atualização.</w:t>
      </w:r>
    </w:p>
    <w:p w14:paraId="7B5052E7" w14:textId="77777777" w:rsidR="00883C1A" w:rsidRPr="00B10EEF" w:rsidRDefault="00883C1A" w:rsidP="00883C1A">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5389528A" w14:textId="77777777" w:rsidR="00883C1A" w:rsidRPr="00B10EEF" w:rsidRDefault="00883C1A" w:rsidP="00883C1A">
      <w:pPr>
        <w:pStyle w:val="Body"/>
        <w:ind w:left="1361"/>
      </w:pPr>
      <w:r w:rsidRPr="00B10EEF">
        <w:t>(</w:t>
      </w:r>
      <w:proofErr w:type="spellStart"/>
      <w:r w:rsidRPr="00B10EEF">
        <w:t>ii</w:t>
      </w:r>
      <w:proofErr w:type="spellEnd"/>
      <w:r w:rsidRPr="00B10EEF">
        <w:t>) o número-índice do IPCA, bem como as projeções de sua variação, deverão ser utilizados considerando idêntico número de casas decimais divulgado pelo órgão responsável por seu cálculo/apuração.</w:t>
      </w:r>
    </w:p>
    <w:p w14:paraId="56306441" w14:textId="77777777" w:rsidR="00883C1A" w:rsidRPr="00ED4800" w:rsidRDefault="00883C1A" w:rsidP="00883C1A">
      <w:pPr>
        <w:pStyle w:val="Level3"/>
        <w:numPr>
          <w:ilvl w:val="2"/>
          <w:numId w:val="11"/>
        </w:numPr>
        <w:spacing w:before="140"/>
        <w:ind w:left="1360"/>
        <w:rPr>
          <w:lang w:val="pt-BR"/>
        </w:rPr>
      </w:pPr>
      <w:bookmarkStart w:id="218" w:name="_Ref517971405"/>
      <w:bookmarkStart w:id="219" w:name="_Ref463897242"/>
      <w:bookmarkStart w:id="220"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titulares das Debêntures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218"/>
      <w:r w:rsidRPr="00ED4800">
        <w:rPr>
          <w:lang w:val="pt-BR"/>
        </w:rPr>
        <w:t xml:space="preserve"> </w:t>
      </w:r>
      <w:bookmarkEnd w:id="219"/>
    </w:p>
    <w:p w14:paraId="1982EF93" w14:textId="77777777" w:rsidR="00883C1A" w:rsidRPr="00ED4800" w:rsidRDefault="00883C1A" w:rsidP="00883C1A">
      <w:pPr>
        <w:pStyle w:val="Level3"/>
        <w:numPr>
          <w:ilvl w:val="2"/>
          <w:numId w:val="11"/>
        </w:numPr>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 </w:t>
      </w:r>
    </w:p>
    <w:p w14:paraId="4F2DABB3" w14:textId="77777777" w:rsidR="00883C1A" w:rsidRPr="00ED4800" w:rsidRDefault="00883C1A" w:rsidP="00883C1A">
      <w:pPr>
        <w:pStyle w:val="Level3"/>
        <w:numPr>
          <w:ilvl w:val="2"/>
          <w:numId w:val="11"/>
        </w:numPr>
        <w:spacing w:before="140"/>
        <w:ind w:left="1360"/>
        <w:rPr>
          <w:lang w:val="pt-BR"/>
        </w:rPr>
      </w:pPr>
      <w:r w:rsidRPr="00ED4800">
        <w:rPr>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220"/>
      <w:r w:rsidRPr="00ED4800">
        <w:rPr>
          <w:lang w:val="pt-BR"/>
        </w:rPr>
        <w:t xml:space="preserve"> </w:t>
      </w:r>
    </w:p>
    <w:p w14:paraId="2620CEF1" w14:textId="77777777" w:rsidR="00883C1A" w:rsidRPr="00696DB3" w:rsidRDefault="00883C1A" w:rsidP="00883C1A">
      <w:pPr>
        <w:pStyle w:val="Level3"/>
        <w:numPr>
          <w:ilvl w:val="2"/>
          <w:numId w:val="11"/>
        </w:numPr>
        <w:spacing w:before="140"/>
        <w:ind w:left="1360"/>
        <w:rPr>
          <w:lang w:val="pt-BR"/>
        </w:rPr>
      </w:pPr>
      <w:bookmarkStart w:id="221" w:name="_Ref464099608"/>
      <w:r w:rsidRPr="00ED4800">
        <w:rPr>
          <w:lang w:val="pt-BR"/>
        </w:rPr>
        <w:t xml:space="preserve">Não havendo acordo sobre a Taxa Substitutiva IPCA entre a Emissora e os Debenturistas titulares das Debêntures representando, no mínimo, 50% (cinquenta por cento) mais uma das Debêntures em Circulação, em primeira convocação e 50% (cinquenta por cento) mais uma das Debêntures em Circulação presentes, em segunda convocação, na Assembleia Geral de Debenturistas de que trata a Cláusula </w:t>
      </w:r>
      <w:r>
        <w:rPr>
          <w:lang w:val="pt-BR"/>
        </w:rPr>
        <w:fldChar w:fldCharType="begin"/>
      </w:r>
      <w:r>
        <w:rPr>
          <w:lang w:val="pt-BR"/>
        </w:rPr>
        <w:instrText xml:space="preserve"> REF _Ref517971405 \r \h </w:instrText>
      </w:r>
      <w:r>
        <w:rPr>
          <w:lang w:val="pt-BR"/>
        </w:rPr>
      </w:r>
      <w:r>
        <w:rPr>
          <w:lang w:val="pt-BR"/>
        </w:rPr>
        <w:fldChar w:fldCharType="separate"/>
      </w:r>
      <w:r>
        <w:rPr>
          <w:lang w:val="pt-BR"/>
        </w:rPr>
        <w:t>5.15.2</w:t>
      </w:r>
      <w:r>
        <w:rPr>
          <w:lang w:val="pt-BR"/>
        </w:rPr>
        <w:fldChar w:fldCharType="end"/>
      </w:r>
      <w:r w:rsidRPr="00ED4800">
        <w:rPr>
          <w:lang w:val="pt-BR"/>
        </w:rPr>
        <w:t xml:space="preserve"> acima, será utilizada a mesma variação produzida pelo último IPCA divulgado.</w:t>
      </w:r>
      <w:bookmarkEnd w:id="221"/>
    </w:p>
    <w:bookmarkEnd w:id="217"/>
    <w:p w14:paraId="53AFB004" w14:textId="77777777" w:rsidR="00883C1A" w:rsidRPr="00DD3380" w:rsidRDefault="00883C1A" w:rsidP="00883C1A">
      <w:pPr>
        <w:pStyle w:val="Level2"/>
        <w:numPr>
          <w:ilvl w:val="1"/>
          <w:numId w:val="11"/>
        </w:numPr>
        <w:rPr>
          <w:b/>
        </w:rPr>
      </w:pPr>
      <w:r w:rsidRPr="00E46212">
        <w:rPr>
          <w:b/>
        </w:rPr>
        <w:t xml:space="preserve">Remuneração das Debêntures </w:t>
      </w:r>
    </w:p>
    <w:p w14:paraId="160079B3" w14:textId="77777777" w:rsidR="00883C1A" w:rsidRPr="00ED4800" w:rsidRDefault="00883C1A" w:rsidP="00883C1A">
      <w:pPr>
        <w:pStyle w:val="Level3"/>
        <w:numPr>
          <w:ilvl w:val="2"/>
          <w:numId w:val="11"/>
        </w:numPr>
        <w:rPr>
          <w:i/>
          <w:lang w:val="pt-BR"/>
        </w:rPr>
      </w:pPr>
      <w:bookmarkStart w:id="222" w:name="_Ref147895178"/>
      <w:bookmarkStart w:id="223" w:name="_Ref130611438"/>
      <w:bookmarkStart w:id="224" w:name="_Ref168463955"/>
      <w:bookmarkStart w:id="225" w:name="_DV_C187"/>
      <w:r w:rsidRPr="00ED4800">
        <w:rPr>
          <w:lang w:val="pt-BR"/>
        </w:rPr>
        <w:t xml:space="preserve">Sobre o Valor Nominal </w:t>
      </w:r>
      <w:r w:rsidRPr="00E46212">
        <w:rPr>
          <w:lang w:val="pt-BR"/>
        </w:rPr>
        <w:t>Unitário Atualizado incidirão juros remuneratórios correspondentes a</w:t>
      </w:r>
      <w:r>
        <w:rPr>
          <w:lang w:val="pt-BR"/>
        </w:rPr>
        <w:t xml:space="preserve"> </w:t>
      </w:r>
      <w:r w:rsidRPr="0006066C">
        <w:rPr>
          <w:i/>
          <w:szCs w:val="20"/>
          <w:lang w:val="pt-BR"/>
        </w:rPr>
        <w:t>4,7742% (quatro inteiros, sete mil setecentos e quarenta e dois décimos de milésimos por cento) ao ano, base 252 (duzentos e cinquenta e dois) Dias Úteis (“</w:t>
      </w:r>
      <w:r w:rsidRPr="0006066C">
        <w:rPr>
          <w:b/>
          <w:bCs/>
          <w:i/>
          <w:szCs w:val="20"/>
          <w:lang w:val="pt-BR"/>
        </w:rPr>
        <w:t>Remuneração</w:t>
      </w:r>
      <w:r w:rsidRPr="0006066C">
        <w:rPr>
          <w:i/>
          <w:szCs w:val="20"/>
          <w:lang w:val="pt-BR"/>
        </w:rPr>
        <w:t>”)</w:t>
      </w:r>
      <w:r w:rsidRPr="00ED4800">
        <w:rPr>
          <w:i/>
          <w:szCs w:val="20"/>
          <w:lang w:val="pt-BR"/>
        </w:rPr>
        <w:t>.</w:t>
      </w:r>
    </w:p>
    <w:bookmarkEnd w:id="222"/>
    <w:bookmarkEnd w:id="223"/>
    <w:bookmarkEnd w:id="224"/>
    <w:p w14:paraId="2B497F40" w14:textId="77777777" w:rsidR="00883C1A" w:rsidRPr="00ED4800" w:rsidRDefault="00883C1A" w:rsidP="00883C1A">
      <w:pPr>
        <w:pStyle w:val="Level3"/>
        <w:numPr>
          <w:ilvl w:val="2"/>
          <w:numId w:val="11"/>
        </w:numPr>
        <w:rPr>
          <w:lang w:val="pt-BR"/>
        </w:rPr>
      </w:pPr>
      <w:r w:rsidRPr="00ED4800">
        <w:rPr>
          <w:lang w:val="pt-BR"/>
        </w:rPr>
        <w:t xml:space="preserve">A Remuneração será calculada de forma exponencial e cumulativa, </w:t>
      </w:r>
      <w:r w:rsidRPr="00ED4800">
        <w:rPr>
          <w:i/>
          <w:lang w:val="pt-BR"/>
        </w:rPr>
        <w:t xml:space="preserve">pro rata </w:t>
      </w:r>
      <w:proofErr w:type="spellStart"/>
      <w:r w:rsidRPr="00ED4800">
        <w:rPr>
          <w:i/>
          <w:lang w:val="pt-BR"/>
        </w:rPr>
        <w:t>temporis</w:t>
      </w:r>
      <w:proofErr w:type="spellEnd"/>
      <w:r w:rsidRPr="00ED4800">
        <w:rPr>
          <w:lang w:val="pt-BR"/>
        </w:rPr>
        <w:t xml:space="preserve"> por Dias Úteis decorridos, incidentes sobre o Valor Nominal </w:t>
      </w:r>
      <w:r>
        <w:rPr>
          <w:lang w:val="pt-BR"/>
        </w:rPr>
        <w:t xml:space="preserve">Unitário </w:t>
      </w:r>
      <w:r w:rsidRPr="00ED4800">
        <w:rPr>
          <w:lang w:val="pt-BR"/>
        </w:rPr>
        <w:t xml:space="preserve">Atualizado, desde a </w:t>
      </w:r>
      <w:r>
        <w:rPr>
          <w:lang w:val="pt-BR"/>
        </w:rPr>
        <w:t>p</w:t>
      </w:r>
      <w:r w:rsidRPr="00ED4800">
        <w:rPr>
          <w:lang w:val="pt-BR"/>
        </w:rPr>
        <w:t xml:space="preserve">rimeira Data de Integralização (inclusive) e, para as próximas datas de pagamento da Remuneração,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225"/>
      <w:r w:rsidRPr="00ED4800">
        <w:rPr>
          <w:lang w:val="pt-BR"/>
        </w:rPr>
        <w:t xml:space="preserve"> </w:t>
      </w:r>
    </w:p>
    <w:p w14:paraId="3DA38F12" w14:textId="77777777" w:rsidR="00883C1A" w:rsidRPr="00B10EEF" w:rsidRDefault="00883C1A" w:rsidP="00883C1A">
      <w:pPr>
        <w:spacing w:line="288" w:lineRule="auto"/>
        <w:rPr>
          <w:rFonts w:ascii="Verdana" w:hAnsi="Verdana"/>
          <w:color w:val="000000" w:themeColor="text1"/>
          <w:sz w:val="20"/>
        </w:rPr>
      </w:pPr>
    </w:p>
    <w:p w14:paraId="46B470B1" w14:textId="77777777" w:rsidR="00883C1A" w:rsidRPr="003C5C6E" w:rsidRDefault="00883C1A" w:rsidP="00883C1A">
      <w:pPr>
        <w:pStyle w:val="Level2"/>
        <w:widowControl w:val="0"/>
        <w:numPr>
          <w:ilvl w:val="0"/>
          <w:numId w:val="0"/>
        </w:numPr>
        <w:spacing w:before="140" w:after="0"/>
        <w:jc w:val="center"/>
        <w:rPr>
          <w:color w:val="000000" w:themeColor="text1"/>
          <w:szCs w:val="20"/>
        </w:rPr>
      </w:pPr>
      <w:r w:rsidRPr="003C5C6E">
        <w:rPr>
          <w:color w:val="000000" w:themeColor="text1"/>
          <w:szCs w:val="20"/>
        </w:rPr>
        <w:t>J = {</w:t>
      </w:r>
      <w:proofErr w:type="spellStart"/>
      <w:r w:rsidRPr="003C5C6E">
        <w:rPr>
          <w:color w:val="000000" w:themeColor="text1"/>
          <w:szCs w:val="20"/>
        </w:rPr>
        <w:t>VNa</w:t>
      </w:r>
      <w:proofErr w:type="spellEnd"/>
      <w:r w:rsidRPr="003C5C6E">
        <w:rPr>
          <w:color w:val="000000" w:themeColor="text1"/>
          <w:szCs w:val="20"/>
        </w:rPr>
        <w:t xml:space="preserve"> x [FatorJuros-1]}</w:t>
      </w:r>
    </w:p>
    <w:p w14:paraId="13541743" w14:textId="77777777" w:rsidR="00883C1A" w:rsidRPr="00014FA0" w:rsidRDefault="00883C1A" w:rsidP="00883C1A">
      <w:pPr>
        <w:pStyle w:val="Body"/>
        <w:ind w:left="1361"/>
        <w:rPr>
          <w:rFonts w:eastAsia="Arial Unicode MS"/>
        </w:rPr>
      </w:pPr>
      <w:r w:rsidRPr="00014FA0">
        <w:rPr>
          <w:rFonts w:eastAsia="Arial Unicode MS"/>
        </w:rPr>
        <w:t>onde,</w:t>
      </w:r>
    </w:p>
    <w:p w14:paraId="1C0D1A77" w14:textId="77777777" w:rsidR="00883C1A" w:rsidRPr="00B10EEF" w:rsidRDefault="00883C1A" w:rsidP="00883C1A">
      <w:pPr>
        <w:pStyle w:val="Body"/>
        <w:ind w:left="1361"/>
        <w:rPr>
          <w:b/>
        </w:rPr>
      </w:pPr>
      <w:r w:rsidRPr="00B10EEF">
        <w:t>J = valor unitário dos juros devidos no final do Período de Capitalização, calculado com 8 (oito) casas decimais, sem arredondamento;</w:t>
      </w:r>
    </w:p>
    <w:p w14:paraId="3DBD18C1" w14:textId="77777777" w:rsidR="00883C1A" w:rsidRPr="00B10EEF" w:rsidRDefault="00883C1A" w:rsidP="00883C1A">
      <w:pPr>
        <w:pStyle w:val="Body"/>
        <w:ind w:left="1361"/>
      </w:pPr>
      <w:proofErr w:type="spellStart"/>
      <w:r w:rsidRPr="00B10EEF">
        <w:t>VNa</w:t>
      </w:r>
      <w:proofErr w:type="spellEnd"/>
      <w:r w:rsidRPr="00B10EEF">
        <w:t xml:space="preserve">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sidRPr="00B10EEF">
        <w:t>, calculado com 8 (oito) casas decimais, sem arredondamento;</w:t>
      </w:r>
    </w:p>
    <w:p w14:paraId="1A6B6F92" w14:textId="77777777" w:rsidR="00883C1A" w:rsidRPr="00B10EEF" w:rsidRDefault="00883C1A" w:rsidP="00883C1A">
      <w:pPr>
        <w:pStyle w:val="Body"/>
        <w:ind w:left="1361"/>
      </w:pPr>
      <w:proofErr w:type="spellStart"/>
      <w:r w:rsidRPr="00B10EEF">
        <w:t>FatorJuros</w:t>
      </w:r>
      <w:proofErr w:type="spellEnd"/>
      <w:r w:rsidRPr="00B10EEF">
        <w:t xml:space="preserve"> = fator de juros fixos calculado com 9 (nove) casas decimais, com arredondamento, apurado da seguinte forma:</w:t>
      </w:r>
    </w:p>
    <w:p w14:paraId="26A3E425" w14:textId="77777777" w:rsidR="00883C1A" w:rsidRPr="00B10EEF" w:rsidRDefault="00883C1A" w:rsidP="00883C1A">
      <w:pPr>
        <w:pStyle w:val="Body"/>
        <w:ind w:left="1361"/>
        <w:jc w:val="center"/>
        <w:rPr>
          <w:i/>
        </w:rPr>
      </w:pPr>
      <w:r w:rsidRPr="00B10EEF">
        <w:rPr>
          <w:noProof/>
        </w:rPr>
        <w:drawing>
          <wp:inline distT="0" distB="0" distL="0" distR="0" wp14:anchorId="21CC196E" wp14:editId="2DF85EBD">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78742A71" w14:textId="77777777" w:rsidR="00883C1A" w:rsidRPr="00B10EEF" w:rsidRDefault="00883C1A" w:rsidP="00883C1A">
      <w:pPr>
        <w:pStyle w:val="Body"/>
        <w:ind w:left="1361"/>
      </w:pPr>
      <w:r w:rsidRPr="00B10EEF">
        <w:t>onde:</w:t>
      </w:r>
    </w:p>
    <w:p w14:paraId="1B8D2A70" w14:textId="77777777" w:rsidR="00883C1A" w:rsidRPr="00B10EEF" w:rsidRDefault="00883C1A" w:rsidP="00883C1A">
      <w:pPr>
        <w:pStyle w:val="Body"/>
        <w:ind w:left="1361"/>
      </w:pPr>
      <w:r w:rsidRPr="00B10EEF">
        <w:t xml:space="preserve">taxa = </w:t>
      </w:r>
      <w:r>
        <w:t>4,7742</w:t>
      </w:r>
      <w:r w:rsidRPr="00B10EEF">
        <w:t>; e</w:t>
      </w:r>
    </w:p>
    <w:p w14:paraId="11A1C80F" w14:textId="77777777" w:rsidR="00883C1A" w:rsidRPr="00B10EEF" w:rsidRDefault="00883C1A" w:rsidP="00883C1A">
      <w:pPr>
        <w:pStyle w:val="Body"/>
        <w:ind w:left="1361"/>
      </w:pPr>
      <w:r w:rsidRPr="00B10EEF">
        <w:t xml:space="preserve">DP = número de Dias Úteis entre a </w:t>
      </w:r>
      <w:r>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068491DD" w14:textId="77777777" w:rsidR="00883C1A" w:rsidRPr="0006066C" w:rsidRDefault="00883C1A" w:rsidP="00883C1A">
      <w:pPr>
        <w:pStyle w:val="Level3"/>
        <w:numPr>
          <w:ilvl w:val="2"/>
          <w:numId w:val="11"/>
        </w:numPr>
        <w:rPr>
          <w:b/>
          <w:lang w:val="pt-BR"/>
        </w:rPr>
      </w:pPr>
      <w:r w:rsidRPr="005F508D">
        <w:rPr>
          <w:lang w:val="pt-BR"/>
        </w:rPr>
        <w:t>Considera-se “</w:t>
      </w:r>
      <w:r w:rsidRPr="00565B0B">
        <w:rPr>
          <w:b/>
          <w:lang w:val="pt-BR"/>
        </w:rPr>
        <w:t>Período de Capitalização</w:t>
      </w:r>
      <w:r w:rsidRPr="005F508D">
        <w:rPr>
          <w:lang w:val="pt-BR"/>
        </w:rPr>
        <w:t xml:space="preserve">” o período compreendido entre a </w:t>
      </w:r>
      <w:r>
        <w:rPr>
          <w:lang w:val="pt-BR"/>
        </w:rPr>
        <w:t xml:space="preserve">primeira </w:t>
      </w:r>
      <w:r w:rsidRPr="005F508D">
        <w:rPr>
          <w:lang w:val="pt-BR"/>
        </w:rPr>
        <w:t xml:space="preserve">Data de Integralização </w:t>
      </w:r>
      <w:r>
        <w:rPr>
          <w:lang w:val="pt-BR"/>
        </w:rPr>
        <w:t xml:space="preserve">(inclusive) e a Data de Incorporação, </w:t>
      </w:r>
      <w:r>
        <w:rPr>
          <w:i/>
          <w:lang w:val="pt-BR"/>
        </w:rPr>
        <w:t>conforme definida na Cláusula 5.16.4 abaixo (exclusive), no caso do primeiro Período de Capitalização, (</w:t>
      </w:r>
      <w:proofErr w:type="spellStart"/>
      <w:r>
        <w:rPr>
          <w:i/>
          <w:lang w:val="pt-BR"/>
        </w:rPr>
        <w:t>ii</w:t>
      </w:r>
      <w:proofErr w:type="spellEnd"/>
      <w:r>
        <w:rPr>
          <w:i/>
          <w:lang w:val="pt-BR"/>
        </w:rPr>
        <w:t>)</w:t>
      </w:r>
      <w:r w:rsidRPr="00644CA7">
        <w:rPr>
          <w:i/>
          <w:lang w:val="pt-BR"/>
        </w:rPr>
        <w:t xml:space="preserve"> </w:t>
      </w:r>
      <w:r>
        <w:rPr>
          <w:i/>
          <w:lang w:val="pt-BR"/>
        </w:rPr>
        <w:t xml:space="preserve">a Data de Incorporação (inclusive) e </w:t>
      </w:r>
      <w:r w:rsidRPr="00644CA7">
        <w:rPr>
          <w:i/>
          <w:lang w:val="pt-BR"/>
        </w:rPr>
        <w:t xml:space="preserve">a </w:t>
      </w:r>
      <w:r>
        <w:rPr>
          <w:i/>
          <w:lang w:val="pt-BR"/>
        </w:rPr>
        <w:t xml:space="preserve">primeira </w:t>
      </w:r>
      <w:r w:rsidRPr="00644CA7">
        <w:rPr>
          <w:i/>
          <w:lang w:val="pt-BR"/>
        </w:rPr>
        <w:t xml:space="preserve">Data de Pagamento </w:t>
      </w:r>
      <w:r>
        <w:rPr>
          <w:i/>
          <w:lang w:val="pt-BR"/>
        </w:rPr>
        <w:t>da Remuneração</w:t>
      </w:r>
      <w:r w:rsidRPr="00644CA7">
        <w:rPr>
          <w:i/>
          <w:lang w:val="pt-BR"/>
        </w:rPr>
        <w:t xml:space="preserve"> </w:t>
      </w:r>
      <w:r>
        <w:rPr>
          <w:i/>
          <w:lang w:val="pt-BR"/>
        </w:rPr>
        <w:t>(exclusive), no caso do segundo Período de Capitalização, e (</w:t>
      </w:r>
      <w:proofErr w:type="spellStart"/>
      <w:r>
        <w:rPr>
          <w:i/>
          <w:lang w:val="pt-BR"/>
        </w:rPr>
        <w:t>iii</w:t>
      </w:r>
      <w:proofErr w:type="spellEnd"/>
      <w:r>
        <w:rPr>
          <w:i/>
          <w:lang w:val="pt-BR"/>
        </w:rPr>
        <w:t>)</w:t>
      </w:r>
      <w:r w:rsidRPr="00644CA7">
        <w:rPr>
          <w:i/>
          <w:lang w:val="pt-BR"/>
        </w:rPr>
        <w:t xml:space="preserve"> a Data de Pagamento </w:t>
      </w:r>
      <w:r>
        <w:rPr>
          <w:i/>
          <w:lang w:val="pt-BR"/>
        </w:rPr>
        <w:t xml:space="preserve">da Remuneração </w:t>
      </w:r>
      <w:r w:rsidRPr="00644CA7">
        <w:rPr>
          <w:i/>
          <w:lang w:val="pt-BR"/>
        </w:rPr>
        <w:t xml:space="preserve">anterior </w:t>
      </w:r>
      <w:r>
        <w:rPr>
          <w:i/>
          <w:lang w:val="pt-BR"/>
        </w:rPr>
        <w:t xml:space="preserve">(inclusive) </w:t>
      </w:r>
      <w:r w:rsidRPr="00644CA7">
        <w:rPr>
          <w:i/>
          <w:lang w:val="pt-BR"/>
        </w:rPr>
        <w:t xml:space="preserve">e a próxima Data de Pagamento </w:t>
      </w:r>
      <w:r>
        <w:rPr>
          <w:i/>
          <w:lang w:val="pt-BR"/>
        </w:rPr>
        <w:t>da Remuneração (exclusive), no caso dos Períodos de Capitalização subsequentes</w:t>
      </w:r>
      <w:r w:rsidRPr="00644CA7">
        <w:rPr>
          <w:i/>
          <w:lang w:val="pt-BR"/>
        </w:rPr>
        <w:t>.</w:t>
      </w:r>
      <w:r>
        <w:rPr>
          <w:lang w:val="pt-BR"/>
        </w:rPr>
        <w:t xml:space="preserve"> </w:t>
      </w:r>
      <w:r w:rsidRPr="00ED4800">
        <w:rPr>
          <w:lang w:val="pt-BR"/>
        </w:rPr>
        <w:t>Cada Período de Capitalização sucede o anterior sem solução de continuidade, até a respectiva Data de Vencimento.</w:t>
      </w:r>
    </w:p>
    <w:p w14:paraId="26DC776B" w14:textId="77777777" w:rsidR="00883C1A" w:rsidRDefault="00883C1A" w:rsidP="00883C1A">
      <w:pPr>
        <w:pStyle w:val="Level3"/>
        <w:numPr>
          <w:ilvl w:val="2"/>
          <w:numId w:val="11"/>
        </w:numPr>
        <w:rPr>
          <w:b/>
          <w:lang w:val="pt-BR"/>
        </w:rPr>
      </w:pPr>
      <w:r w:rsidRPr="00F10E53">
        <w:rPr>
          <w:i/>
          <w:lang w:val="pt-BR"/>
        </w:rPr>
        <w:t xml:space="preserve">Não obstante o acima disposto, </w:t>
      </w:r>
      <w:r w:rsidRPr="00F10E53">
        <w:rPr>
          <w:bCs/>
          <w:i/>
          <w:lang w:val="pt-BR"/>
        </w:rPr>
        <w:t>a</w:t>
      </w:r>
      <w:r w:rsidRPr="00644CA7">
        <w:rPr>
          <w:bCs/>
          <w:i/>
          <w:lang w:val="pt-BR"/>
        </w:rPr>
        <w:t xml:space="preserve"> Remuneração incidente </w:t>
      </w:r>
      <w:r>
        <w:rPr>
          <w:bCs/>
          <w:i/>
          <w:lang w:val="pt-BR"/>
        </w:rPr>
        <w:t xml:space="preserve">no período entre </w:t>
      </w:r>
      <w:r w:rsidRPr="00644CA7">
        <w:rPr>
          <w:i/>
          <w:lang w:val="pt-BR"/>
        </w:rPr>
        <w:t xml:space="preserve">a primeira Data de Integralização </w:t>
      </w:r>
      <w:r>
        <w:rPr>
          <w:i/>
          <w:lang w:val="pt-BR"/>
        </w:rPr>
        <w:t xml:space="preserve">(inclusive) e </w:t>
      </w:r>
      <w:r w:rsidRPr="00644CA7">
        <w:rPr>
          <w:bCs/>
          <w:i/>
          <w:lang w:val="pt-BR"/>
        </w:rPr>
        <w:t xml:space="preserve">15 </w:t>
      </w:r>
      <w:r>
        <w:rPr>
          <w:bCs/>
          <w:i/>
          <w:lang w:val="pt-BR"/>
        </w:rPr>
        <w:t xml:space="preserve">(quinze) </w:t>
      </w:r>
      <w:r w:rsidRPr="00644CA7">
        <w:rPr>
          <w:bCs/>
          <w:i/>
          <w:lang w:val="pt-BR"/>
        </w:rPr>
        <w:t xml:space="preserve">de junho de 2021 </w:t>
      </w:r>
      <w:r>
        <w:rPr>
          <w:bCs/>
          <w:i/>
          <w:lang w:val="pt-BR"/>
        </w:rPr>
        <w:t>(“</w:t>
      </w:r>
      <w:r w:rsidRPr="009902BA">
        <w:rPr>
          <w:b/>
          <w:bCs/>
          <w:i/>
          <w:lang w:val="pt-BR"/>
        </w:rPr>
        <w:t>Data de Incorporação</w:t>
      </w:r>
      <w:r>
        <w:rPr>
          <w:bCs/>
          <w:i/>
          <w:lang w:val="pt-BR"/>
        </w:rPr>
        <w:t xml:space="preserve">”) (exclusive) </w:t>
      </w:r>
      <w:r w:rsidRPr="00644CA7">
        <w:rPr>
          <w:bCs/>
          <w:i/>
          <w:lang w:val="pt-BR"/>
        </w:rPr>
        <w:t>será incorporada ao Valor Nominal Unitário</w:t>
      </w:r>
      <w:r>
        <w:rPr>
          <w:bCs/>
          <w:i/>
          <w:lang w:val="pt-BR"/>
        </w:rPr>
        <w:t xml:space="preserve"> Atualizado</w:t>
      </w:r>
      <w:r w:rsidRPr="00644CA7">
        <w:rPr>
          <w:bCs/>
          <w:i/>
          <w:lang w:val="pt-BR"/>
        </w:rPr>
        <w:t xml:space="preserve"> das Debêntures.</w:t>
      </w:r>
      <w:r>
        <w:rPr>
          <w:bCs/>
          <w:i/>
          <w:lang w:val="pt-BR"/>
        </w:rPr>
        <w:t xml:space="preserve"> A Remuneração incidente no período entre a Data de Incorporação (inclusive) e a primeira Data de Pagamento da Remuneração (exclusive) será paga na primeira Data de Pagamento da Remuneração (i.e., 15 (quinze) de dezembro de 2021).”</w:t>
      </w:r>
    </w:p>
    <w:p w14:paraId="72DE1D2F" w14:textId="77777777" w:rsidR="00883C1A" w:rsidRPr="00ED4800" w:rsidRDefault="00883C1A" w:rsidP="00883C1A">
      <w:pPr>
        <w:pStyle w:val="Level2"/>
        <w:numPr>
          <w:ilvl w:val="1"/>
          <w:numId w:val="11"/>
        </w:numPr>
        <w:rPr>
          <w:b/>
        </w:rPr>
      </w:pPr>
      <w:bookmarkStart w:id="226" w:name="_Ref6505838"/>
      <w:r w:rsidRPr="00ED4800">
        <w:rPr>
          <w:b/>
        </w:rPr>
        <w:t>Data de Pagamento da Remuneração</w:t>
      </w:r>
      <w:bookmarkEnd w:id="226"/>
    </w:p>
    <w:p w14:paraId="4E1281B2" w14:textId="77777777" w:rsidR="00883C1A" w:rsidRPr="00ED4800" w:rsidRDefault="00883C1A" w:rsidP="00883C1A">
      <w:pPr>
        <w:pStyle w:val="Level3"/>
        <w:numPr>
          <w:ilvl w:val="2"/>
          <w:numId w:val="11"/>
        </w:numPr>
        <w:rPr>
          <w:lang w:val="pt-BR"/>
        </w:rPr>
      </w:pPr>
      <w:bookmarkStart w:id="227" w:name="_Ref6913178"/>
      <w:r w:rsidRPr="00ED4800">
        <w:rPr>
          <w:lang w:val="pt-BR"/>
        </w:rPr>
        <w:t>Sem prejuízo aos pagamentos decorrentes de vencimento antecipado das obrigações decorrentes das Debêntures</w:t>
      </w:r>
      <w:r>
        <w:rPr>
          <w:lang w:val="pt-BR"/>
        </w:rPr>
        <w:t>,</w:t>
      </w:r>
      <w:r w:rsidRPr="00ED4800">
        <w:rPr>
          <w:lang w:val="pt-BR"/>
        </w:rPr>
        <w:t xml:space="preserve"> das </w:t>
      </w:r>
      <w:r w:rsidRPr="003C5C6E">
        <w:rPr>
          <w:lang w:val="pt-BR"/>
        </w:rPr>
        <w:t>hipóteses de Resgate Antecipado Facultativo</w:t>
      </w:r>
      <w:r>
        <w:rPr>
          <w:lang w:val="pt-BR"/>
        </w:rPr>
        <w:t xml:space="preserve"> </w:t>
      </w:r>
      <w:r w:rsidRPr="003C5C6E">
        <w:rPr>
          <w:lang w:val="pt-BR"/>
        </w:rPr>
        <w:t>e da Oferta de Resgate Antecipado Facultativo Total, nos termos</w:t>
      </w:r>
      <w:r w:rsidRPr="00ED4800">
        <w:rPr>
          <w:lang w:val="pt-BR"/>
        </w:rPr>
        <w:t xml:space="preserve"> previstos nesta Escritura de Emissão, a Remuneração será paga </w:t>
      </w:r>
      <w:r>
        <w:rPr>
          <w:lang w:val="pt-BR"/>
        </w:rPr>
        <w:t>semestralmente</w:t>
      </w:r>
      <w:r w:rsidRPr="00ED4800">
        <w:rPr>
          <w:lang w:val="pt-BR"/>
        </w:rPr>
        <w:t>,</w:t>
      </w:r>
      <w:r w:rsidRPr="00ED4800">
        <w:rPr>
          <w:szCs w:val="20"/>
          <w:lang w:val="pt-BR"/>
        </w:rPr>
        <w:t xml:space="preserve"> nos dias </w:t>
      </w:r>
      <w:r>
        <w:rPr>
          <w:szCs w:val="20"/>
          <w:lang w:val="pt-BR"/>
        </w:rPr>
        <w:t>15</w:t>
      </w:r>
      <w:r w:rsidRPr="00ED4800">
        <w:rPr>
          <w:szCs w:val="20"/>
          <w:lang w:val="pt-BR"/>
        </w:rPr>
        <w:t xml:space="preserve"> (</w:t>
      </w:r>
      <w:r>
        <w:rPr>
          <w:szCs w:val="20"/>
          <w:lang w:val="pt-BR"/>
        </w:rPr>
        <w:t>quinze</w:t>
      </w:r>
      <w:r w:rsidRPr="00ED4800">
        <w:rPr>
          <w:szCs w:val="20"/>
          <w:lang w:val="pt-BR"/>
        </w:rPr>
        <w:t>)</w:t>
      </w:r>
      <w:r w:rsidRPr="00ED4800" w:rsidDel="00167A7D">
        <w:rPr>
          <w:szCs w:val="20"/>
          <w:lang w:val="pt-BR"/>
        </w:rPr>
        <w:t xml:space="preserve"> </w:t>
      </w:r>
      <w:r>
        <w:rPr>
          <w:szCs w:val="20"/>
          <w:lang w:val="pt-BR"/>
        </w:rPr>
        <w:t>dos meses de junho e dezembro</w:t>
      </w:r>
      <w:r w:rsidRPr="00ED4800">
        <w:rPr>
          <w:szCs w:val="20"/>
          <w:lang w:val="pt-BR"/>
        </w:rPr>
        <w:t xml:space="preserve"> de cada ano, sendo o primeiro pagamento em </w:t>
      </w:r>
      <w:r>
        <w:rPr>
          <w:szCs w:val="20"/>
          <w:lang w:val="pt-BR"/>
        </w:rPr>
        <w:t>15</w:t>
      </w:r>
      <w:r w:rsidRPr="00ED4800">
        <w:rPr>
          <w:szCs w:val="20"/>
          <w:lang w:val="pt-BR"/>
        </w:rPr>
        <w:t xml:space="preserve"> (</w:t>
      </w:r>
      <w:r>
        <w:rPr>
          <w:szCs w:val="20"/>
          <w:lang w:val="pt-BR"/>
        </w:rPr>
        <w:t>quinze</w:t>
      </w:r>
      <w:r w:rsidRPr="00ED4800">
        <w:rPr>
          <w:szCs w:val="20"/>
          <w:lang w:val="pt-BR"/>
        </w:rPr>
        <w:t xml:space="preserve">) de </w:t>
      </w:r>
      <w:r>
        <w:rPr>
          <w:szCs w:val="20"/>
          <w:lang w:val="pt-BR"/>
        </w:rPr>
        <w:t>dezembro de 2021</w:t>
      </w:r>
      <w:r w:rsidRPr="00ED4800">
        <w:rPr>
          <w:szCs w:val="20"/>
          <w:lang w:val="pt-BR"/>
        </w:rPr>
        <w:t xml:space="preserve"> e o último pagamento na</w:t>
      </w:r>
      <w:r>
        <w:rPr>
          <w:szCs w:val="20"/>
          <w:lang w:val="pt-BR"/>
        </w:rPr>
        <w:t xml:space="preserve"> respectiva</w:t>
      </w:r>
      <w:r w:rsidRPr="00ED4800">
        <w:rPr>
          <w:szCs w:val="20"/>
          <w:lang w:val="pt-BR"/>
        </w:rPr>
        <w:t xml:space="preserve"> Data de Vencimento</w:t>
      </w:r>
      <w:r>
        <w:rPr>
          <w:szCs w:val="20"/>
          <w:lang w:val="pt-BR"/>
        </w:rPr>
        <w:t xml:space="preserve"> </w:t>
      </w:r>
      <w:r w:rsidRPr="00ED4800">
        <w:rPr>
          <w:szCs w:val="20"/>
          <w:lang w:val="pt-BR"/>
        </w:rPr>
        <w:t>(cada uma das datas, “</w:t>
      </w:r>
      <w:r w:rsidRPr="00ED4800">
        <w:rPr>
          <w:b/>
          <w:szCs w:val="20"/>
          <w:lang w:val="pt-BR"/>
        </w:rPr>
        <w:t>Data de Pagamento da Remuneração</w:t>
      </w:r>
      <w:r w:rsidRPr="00ED4800">
        <w:rPr>
          <w:szCs w:val="20"/>
          <w:lang w:val="pt-BR"/>
        </w:rPr>
        <w:t>”)</w:t>
      </w:r>
      <w:r w:rsidRPr="00ED4800">
        <w:rPr>
          <w:lang w:val="pt-BR"/>
        </w:rPr>
        <w:t>.</w:t>
      </w:r>
      <w:bookmarkEnd w:id="227"/>
      <w:r w:rsidRPr="00ED4800">
        <w:rPr>
          <w:lang w:val="pt-BR"/>
        </w:rPr>
        <w:t xml:space="preserve"> </w:t>
      </w:r>
    </w:p>
    <w:p w14:paraId="3706599D" w14:textId="77777777" w:rsidR="00883C1A" w:rsidRPr="009E6B2F" w:rsidRDefault="00883C1A" w:rsidP="00883C1A">
      <w:pPr>
        <w:pStyle w:val="Level2"/>
        <w:numPr>
          <w:ilvl w:val="1"/>
          <w:numId w:val="11"/>
        </w:numPr>
        <w:spacing w:before="140" w:after="0"/>
        <w:rPr>
          <w:b/>
        </w:rPr>
      </w:pPr>
      <w:r w:rsidRPr="009E6B2F">
        <w:rPr>
          <w:b/>
        </w:rPr>
        <w:t xml:space="preserve">Forma de Subscrição e de Integralização e Preço de Integralização </w:t>
      </w:r>
    </w:p>
    <w:p w14:paraId="09A8AE9C" w14:textId="77777777" w:rsidR="00883C1A" w:rsidRPr="00B73CE7" w:rsidRDefault="00883C1A" w:rsidP="00883C1A">
      <w:pPr>
        <w:pStyle w:val="Level3"/>
        <w:numPr>
          <w:ilvl w:val="2"/>
          <w:numId w:val="11"/>
        </w:numPr>
        <w:spacing w:before="140" w:after="0"/>
        <w:rPr>
          <w:lang w:val="pt-BR"/>
        </w:rPr>
      </w:pPr>
      <w:r w:rsidRPr="00040543">
        <w:rPr>
          <w:lang w:val="pt-BR"/>
        </w:rPr>
        <w:t xml:space="preserve">As Debêntures serão subscritas e integralizadas de acordo com os procedimentos </w:t>
      </w:r>
      <w:r>
        <w:rPr>
          <w:lang w:val="pt-BR"/>
        </w:rPr>
        <w:t xml:space="preserve">da B3 – Segmento </w:t>
      </w:r>
      <w:proofErr w:type="spellStart"/>
      <w:r>
        <w:rPr>
          <w:lang w:val="pt-BR"/>
        </w:rPr>
        <w:t>Cetip</w:t>
      </w:r>
      <w:proofErr w:type="spellEnd"/>
      <w:r>
        <w:rPr>
          <w:lang w:val="pt-BR"/>
        </w:rPr>
        <w:t xml:space="preserve"> UTVM</w:t>
      </w:r>
      <w:r w:rsidRPr="00040543">
        <w:rPr>
          <w:lang w:val="pt-BR"/>
        </w:rPr>
        <w:t xml:space="preserve">, observado o Plano de Distribuição (conforme abaixo definido). </w:t>
      </w:r>
      <w:r w:rsidRPr="00B73CE7">
        <w:rPr>
          <w:lang w:val="pt-BR"/>
        </w:rPr>
        <w:t>O preço de subscrição das Debêntures (i) na primeira Data de Integralização, será o seu Valor Nominal Unitário; e (</w:t>
      </w:r>
      <w:proofErr w:type="spellStart"/>
      <w:r w:rsidRPr="00B73CE7">
        <w:rPr>
          <w:lang w:val="pt-BR"/>
        </w:rPr>
        <w:t>ii</w:t>
      </w:r>
      <w:proofErr w:type="spellEnd"/>
      <w:r w:rsidRPr="00B73CE7">
        <w:rPr>
          <w:lang w:val="pt-BR"/>
        </w:rPr>
        <w:t xml:space="preserve">) nas Datas de Integralização posteriores à primeira Data de Integralização será o </w:t>
      </w:r>
      <w:r>
        <w:rPr>
          <w:lang w:val="pt-BR"/>
        </w:rPr>
        <w:t>Valor Nominal Unitário ou o Valor Nominal Unitário Atualizado, conforme o caso</w:t>
      </w:r>
      <w:r w:rsidRPr="00B73CE7">
        <w:rPr>
          <w:lang w:val="pt-BR"/>
        </w:rPr>
        <w:t xml:space="preserve">, acrescido da Remuneração, calculada </w:t>
      </w:r>
      <w:r w:rsidRPr="005D7C5B">
        <w:rPr>
          <w:i/>
          <w:lang w:val="pt-BR"/>
        </w:rPr>
        <w:t>pro</w:t>
      </w:r>
      <w:r w:rsidRPr="00B73CE7">
        <w:rPr>
          <w:lang w:val="pt-BR"/>
        </w:rPr>
        <w:t xml:space="preserve"> </w:t>
      </w:r>
      <w:r w:rsidRPr="005D7C5B">
        <w:rPr>
          <w:i/>
          <w:lang w:val="pt-BR"/>
        </w:rPr>
        <w:t xml:space="preserve">rata </w:t>
      </w:r>
      <w:proofErr w:type="spellStart"/>
      <w:r w:rsidRPr="005D7C5B">
        <w:rPr>
          <w:i/>
          <w:lang w:val="pt-BR"/>
        </w:rPr>
        <w:t>temporis</w:t>
      </w:r>
      <w:proofErr w:type="spellEnd"/>
      <w:r w:rsidRPr="00B73CE7">
        <w:rPr>
          <w:lang w:val="pt-BR"/>
        </w:rPr>
        <w:t xml:space="preserve"> desde a primeira Data de Integralização até a data da efetiva integralização (“</w:t>
      </w:r>
      <w:r w:rsidRPr="00040543">
        <w:rPr>
          <w:b/>
          <w:lang w:val="pt-BR"/>
        </w:rPr>
        <w:t xml:space="preserve">Preço de </w:t>
      </w:r>
      <w:r>
        <w:rPr>
          <w:b/>
          <w:lang w:val="pt-BR"/>
        </w:rPr>
        <w:t>Integralização</w:t>
      </w:r>
      <w:r w:rsidRPr="00B73CE7">
        <w:rPr>
          <w:lang w:val="pt-BR"/>
        </w:rPr>
        <w:t>”). A integralização d</w:t>
      </w:r>
      <w:r>
        <w:rPr>
          <w:lang w:val="pt-BR"/>
        </w:rPr>
        <w:t>as Debêntures será à vista e em moeda corrente nacional na D</w:t>
      </w:r>
      <w:r w:rsidRPr="00B73CE7">
        <w:rPr>
          <w:lang w:val="pt-BR"/>
        </w:rPr>
        <w:t xml:space="preserve">ata de </w:t>
      </w:r>
      <w:r>
        <w:rPr>
          <w:lang w:val="pt-BR"/>
        </w:rPr>
        <w:t xml:space="preserve">Integralização. </w:t>
      </w:r>
    </w:p>
    <w:p w14:paraId="273F5098" w14:textId="77777777" w:rsidR="00883C1A" w:rsidRDefault="00883C1A" w:rsidP="00883C1A">
      <w:pPr>
        <w:pStyle w:val="Level3"/>
        <w:numPr>
          <w:ilvl w:val="2"/>
          <w:numId w:val="11"/>
        </w:numPr>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qualquer data em que ocorrer a subscrição e a integralização das Debêntures</w:t>
      </w:r>
      <w:r w:rsidRPr="009E6B2F">
        <w:rPr>
          <w:lang w:val="pt-BR"/>
        </w:rPr>
        <w:t>.</w:t>
      </w:r>
    </w:p>
    <w:p w14:paraId="43039A5B" w14:textId="77777777" w:rsidR="00883C1A" w:rsidRPr="009E6B2F" w:rsidRDefault="00883C1A" w:rsidP="00883C1A">
      <w:pPr>
        <w:pStyle w:val="Level3"/>
        <w:numPr>
          <w:ilvl w:val="2"/>
          <w:numId w:val="11"/>
        </w:numPr>
        <w:spacing w:before="140" w:after="0"/>
        <w:rPr>
          <w:lang w:val="pt-BR"/>
        </w:rPr>
      </w:pPr>
      <w:r w:rsidRPr="00D06B2A">
        <w:rPr>
          <w:lang w:val="pt-BR"/>
        </w:rPr>
        <w:t>Observado o disposto na Escritura, a exclusivo critério dos Coordenadores, as Debêntures poderão ser subscritas e integralizadas com ágio ou deságio, a ser definido no ato de subscrição das Debêntures, sendo certo que, caso aplicável, o ágio ou deságio será o mesmo para todas as Debêntures</w:t>
      </w:r>
      <w:r>
        <w:rPr>
          <w:lang w:val="pt-BR"/>
        </w:rPr>
        <w:t>.</w:t>
      </w:r>
    </w:p>
    <w:p w14:paraId="7C45654E" w14:textId="77777777" w:rsidR="00883C1A" w:rsidRPr="00C34D12" w:rsidRDefault="00883C1A" w:rsidP="00883C1A">
      <w:pPr>
        <w:pStyle w:val="Level2"/>
        <w:numPr>
          <w:ilvl w:val="1"/>
          <w:numId w:val="11"/>
        </w:numPr>
        <w:spacing w:before="140" w:after="0"/>
        <w:rPr>
          <w:b/>
        </w:rPr>
      </w:pPr>
      <w:bookmarkStart w:id="228" w:name="_Ref6299469"/>
      <w:r w:rsidRPr="00B479F9">
        <w:rPr>
          <w:b/>
        </w:rPr>
        <w:t>Aquisição Facultativa das Debêntures</w:t>
      </w:r>
      <w:bookmarkEnd w:id="228"/>
    </w:p>
    <w:p w14:paraId="0D4C4FC9" w14:textId="77777777" w:rsidR="00883C1A" w:rsidRDefault="00883C1A" w:rsidP="00883C1A">
      <w:pPr>
        <w:pStyle w:val="Level3"/>
        <w:numPr>
          <w:ilvl w:val="2"/>
          <w:numId w:val="11"/>
        </w:numPr>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Pr>
          <w:lang w:val="pt-BR"/>
        </w:rPr>
        <w:t xml:space="preserve"> </w:t>
      </w:r>
      <w:r w:rsidRPr="00F27549">
        <w:rPr>
          <w:lang w:val="pt-BR"/>
        </w:rPr>
        <w:t>e condicionado ainda ao aceite do</w:t>
      </w:r>
      <w:r>
        <w:rPr>
          <w:lang w:val="pt-BR"/>
        </w:rPr>
        <w:t>(s)</w:t>
      </w:r>
      <w:r w:rsidRPr="00F27549">
        <w:rPr>
          <w:lang w:val="pt-BR"/>
        </w:rPr>
        <w:t xml:space="preserve"> Debenturista</w:t>
      </w:r>
      <w:r>
        <w:rPr>
          <w:lang w:val="pt-BR"/>
        </w:rPr>
        <w:t>(s)</w:t>
      </w:r>
      <w:r w:rsidRPr="00F27549">
        <w:rPr>
          <w:lang w:val="pt-BR"/>
        </w:rPr>
        <w:t xml:space="preserve"> vendedor</w:t>
      </w:r>
      <w:r>
        <w:rPr>
          <w:lang w:val="pt-BR"/>
        </w:rPr>
        <w:t>(es)</w:t>
      </w:r>
      <w:r w:rsidRPr="00ED4800">
        <w:rPr>
          <w:lang w:val="pt-BR"/>
        </w:rPr>
        <w:t xml:space="preserve">, adquirir Debêntures, nos termos do inciso II do parágrafo 1º do artigo 1º da Lei 12.431: (i) por valor igual ou inferior </w:t>
      </w:r>
      <w:r w:rsidRPr="00ED4800">
        <w:rPr>
          <w:rFonts w:eastAsia="Arial Unicode MS"/>
          <w:lang w:val="pt-BR"/>
        </w:rPr>
        <w:t xml:space="preserve">ao Valor Nominal </w:t>
      </w:r>
      <w:r>
        <w:rPr>
          <w:lang w:val="pt-BR"/>
        </w:rPr>
        <w:t xml:space="preserve">Unitário </w:t>
      </w:r>
      <w:r w:rsidRPr="00ED4800">
        <w:rPr>
          <w:rFonts w:eastAsia="Arial Unicode MS"/>
          <w:lang w:val="pt-BR"/>
        </w:rPr>
        <w:t xml:space="preserve">Atualizado das Debêntures, </w:t>
      </w:r>
      <w:r w:rsidRPr="00ED4800">
        <w:rPr>
          <w:lang w:val="pt-BR"/>
        </w:rPr>
        <w:t>desde que tal fato conste do relatório da administração e de suas demonstrações financeiras; ou (</w:t>
      </w:r>
      <w:proofErr w:type="spellStart"/>
      <w:r w:rsidRPr="00ED4800">
        <w:rPr>
          <w:lang w:val="pt-BR"/>
        </w:rPr>
        <w:t>ii</w:t>
      </w:r>
      <w:proofErr w:type="spellEnd"/>
      <w:r w:rsidRPr="00ED4800">
        <w:rPr>
          <w:lang w:val="pt-BR"/>
        </w:rPr>
        <w:t xml:space="preserve">) por valor superior ao </w:t>
      </w:r>
      <w:r w:rsidRPr="00ED4800">
        <w:rPr>
          <w:rFonts w:eastAsia="Arial Unicode MS"/>
          <w:lang w:val="pt-BR"/>
        </w:rPr>
        <w:t>Valor Nominal</w:t>
      </w:r>
      <w:r w:rsidRPr="007E0D24">
        <w:rPr>
          <w:lang w:val="pt-BR"/>
        </w:rPr>
        <w:t xml:space="preserve"> </w:t>
      </w:r>
      <w:r>
        <w:rPr>
          <w:lang w:val="pt-BR"/>
        </w:rPr>
        <w:t xml:space="preserve">Unitário </w:t>
      </w:r>
      <w:r w:rsidRPr="00ED4800">
        <w:rPr>
          <w:rFonts w:eastAsia="Arial Unicode MS"/>
          <w:lang w:val="pt-BR"/>
        </w:rPr>
        <w:t xml:space="preserve">Atualizado das Debêntures, </w:t>
      </w:r>
      <w:r w:rsidRPr="00ED4800">
        <w:rPr>
          <w:lang w:val="pt-BR"/>
        </w:rPr>
        <w:t>acrescido da respectiva Remuneração e dos Encargos Moratórios, desde que observe as regras expedidas pela CVM vigentes à época (se houver). As Debêntures adquiridas pela Emissora poderão, a critério da Emissora, (i) ser canceladas, observado o disposto na Lei 12.431, nas regras expedidas pelo CMN e na regulamentação aplicável, (</w:t>
      </w:r>
      <w:proofErr w:type="spellStart"/>
      <w:r w:rsidRPr="00ED4800">
        <w:rPr>
          <w:lang w:val="pt-BR"/>
        </w:rPr>
        <w:t>ii</w:t>
      </w:r>
      <w:proofErr w:type="spellEnd"/>
      <w:r w:rsidRPr="00ED4800">
        <w:rPr>
          <w:lang w:val="pt-BR"/>
        </w:rPr>
        <w:t>) permanecer em tesouraria ou (</w:t>
      </w:r>
      <w:proofErr w:type="spellStart"/>
      <w:r w:rsidRPr="00ED4800">
        <w:rPr>
          <w:lang w:val="pt-BR"/>
        </w:rPr>
        <w:t>iii</w:t>
      </w:r>
      <w:proofErr w:type="spellEnd"/>
      <w:r w:rsidRPr="00ED4800">
        <w:rPr>
          <w:lang w:val="pt-BR"/>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Pr>
          <w:lang w:val="pt-BR"/>
        </w:rPr>
        <w:t>.</w:t>
      </w:r>
    </w:p>
    <w:p w14:paraId="439D7B9B" w14:textId="77777777" w:rsidR="00883C1A" w:rsidRPr="00E46212" w:rsidRDefault="00883C1A" w:rsidP="00883C1A">
      <w:pPr>
        <w:pStyle w:val="Level3"/>
        <w:numPr>
          <w:ilvl w:val="2"/>
          <w:numId w:val="11"/>
        </w:numPr>
        <w:spacing w:before="140"/>
        <w:ind w:left="1360"/>
        <w:rPr>
          <w:lang w:val="pt-BR"/>
        </w:rPr>
      </w:pPr>
      <w:r w:rsidRPr="00BA06D4">
        <w:rPr>
          <w:lang w:val="pt-BR"/>
        </w:rPr>
        <w:t>As Debêntures adquiridas pela Emissora nos termos desta</w:t>
      </w:r>
      <w:r w:rsidRPr="009B7AFA">
        <w:rPr>
          <w:lang w:val="pt-BR"/>
        </w:rPr>
        <w:t xml:space="preserve"> </w:t>
      </w:r>
      <w:r w:rsidRPr="00994B69">
        <w:rPr>
          <w:lang w:val="pt-BR"/>
        </w:rPr>
        <w:t xml:space="preserve">Cláusula </w:t>
      </w:r>
      <w:r w:rsidRPr="00994B69">
        <w:fldChar w:fldCharType="begin"/>
      </w:r>
      <w:r w:rsidRPr="00056862">
        <w:rPr>
          <w:lang w:val="pt-BR"/>
        </w:rPr>
        <w:instrText xml:space="preserve"> REF _Ref6299469 \r \h </w:instrText>
      </w:r>
      <w:r>
        <w:rPr>
          <w:lang w:val="pt-BR"/>
        </w:rPr>
        <w:instrText xml:space="preserve"> \* MERGEFORMAT </w:instrText>
      </w:r>
      <w:r w:rsidRPr="00994B69">
        <w:fldChar w:fldCharType="separate"/>
      </w:r>
      <w:r>
        <w:rPr>
          <w:lang w:val="pt-BR"/>
        </w:rPr>
        <w:t>5.19</w:t>
      </w:r>
      <w:r w:rsidRPr="00994B69">
        <w:fldChar w:fldCharType="end"/>
      </w:r>
      <w:r w:rsidRPr="00BA06D4">
        <w:rPr>
          <w:lang w:val="pt-BR"/>
        </w:rPr>
        <w:t xml:space="preserve"> acima </w:t>
      </w:r>
      <w:r w:rsidRPr="00056862">
        <w:rPr>
          <w:lang w:val="pt-BR"/>
        </w:rPr>
        <w:t xml:space="preserve">poderão, a critério da Emissora, permanecer em tesouraria ou ser novamente colocadas no mercado. </w:t>
      </w:r>
      <w:r w:rsidRPr="00007139">
        <w:rPr>
          <w:lang w:val="pt-BR"/>
        </w:rPr>
        <w:t xml:space="preserve">As Debêntures adquiridas pela Emissora para permanência em tesouraria nos termos desta Cláusula, se e quando recolocadas no mercado, farão jus à mesma Remuneração aplicável às demais Debêntures. </w:t>
      </w:r>
    </w:p>
    <w:p w14:paraId="0B9BBBE2" w14:textId="77777777" w:rsidR="00883C1A" w:rsidRPr="00EE73CD" w:rsidRDefault="00883C1A" w:rsidP="00883C1A">
      <w:pPr>
        <w:pStyle w:val="Level2"/>
        <w:numPr>
          <w:ilvl w:val="1"/>
          <w:numId w:val="11"/>
        </w:numPr>
        <w:rPr>
          <w:b/>
        </w:rPr>
      </w:pPr>
      <w:r w:rsidRPr="00736F11">
        <w:rPr>
          <w:b/>
        </w:rPr>
        <w:t>Resgate Antecipado Facultativo</w:t>
      </w:r>
      <w:r w:rsidRPr="00056862">
        <w:rPr>
          <w:b/>
        </w:rPr>
        <w:t xml:space="preserve"> </w:t>
      </w:r>
    </w:p>
    <w:p w14:paraId="70838705" w14:textId="77777777" w:rsidR="00883C1A" w:rsidRPr="006368DF" w:rsidRDefault="00883C1A" w:rsidP="00883C1A">
      <w:pPr>
        <w:pStyle w:val="Level3"/>
        <w:numPr>
          <w:ilvl w:val="2"/>
          <w:numId w:val="11"/>
        </w:numPr>
        <w:rPr>
          <w:lang w:val="pt-BR"/>
        </w:rPr>
      </w:pPr>
      <w:r>
        <w:rPr>
          <w:lang w:val="pt-BR"/>
        </w:rPr>
        <w:t xml:space="preserve">Caso seja permitida, por lei e regulamentação específica à época, a realização de Oferta de Resgate Antecipado Facultativo Parcial (conforme definida na Cláusula 5.21.2), e, neste cenário, tenha havido a adesão de, pelo menos </w:t>
      </w:r>
      <w:r w:rsidRPr="00B24079">
        <w:rPr>
          <w:lang w:val="pt-BR"/>
        </w:rPr>
        <w:t>75% (setenta e cinco por cento) das Debêntures</w:t>
      </w:r>
      <w:r>
        <w:rPr>
          <w:lang w:val="pt-BR"/>
        </w:rPr>
        <w:t xml:space="preserve"> </w:t>
      </w:r>
      <w:r w:rsidRPr="00D753AF">
        <w:rPr>
          <w:lang w:val="pt-BR"/>
        </w:rPr>
        <w:t>a Emissora estará autorizada, mas não obrigada, independentemente de qualquer procedimento ou aprovação, a realizar o resgate antecipado da totalidade das Debêntures</w:t>
      </w:r>
      <w:r>
        <w:rPr>
          <w:lang w:val="pt-BR"/>
        </w:rPr>
        <w:t xml:space="preserve"> que não tiverem sido objeto resgatadas na Oferta de Resgate Antecipado Facultativo (conforme definida na Cláusula 5.21.1)</w:t>
      </w:r>
      <w:r w:rsidRPr="00D753AF">
        <w:rPr>
          <w:lang w:val="pt-BR"/>
        </w:rPr>
        <w:t>, com o consequente cancelamento de tais Debêntures</w:t>
      </w:r>
      <w:r>
        <w:rPr>
          <w:lang w:val="pt-BR"/>
        </w:rPr>
        <w:t xml:space="preserve"> </w:t>
      </w:r>
      <w:r w:rsidRPr="00EE73CD">
        <w:rPr>
          <w:lang w:val="pt-BR"/>
        </w:rPr>
        <w:t>(“</w:t>
      </w:r>
      <w:r w:rsidRPr="00BF7DD5">
        <w:rPr>
          <w:b/>
          <w:lang w:val="pt-BR"/>
        </w:rPr>
        <w:t>Resgate Antecipado Facultativo</w:t>
      </w:r>
      <w:r w:rsidRPr="00BF7DD5">
        <w:rPr>
          <w:lang w:val="pt-BR"/>
        </w:rPr>
        <w:t>”</w:t>
      </w:r>
      <w:r w:rsidRPr="006368DF">
        <w:rPr>
          <w:lang w:val="pt-BR"/>
        </w:rPr>
        <w:t>).</w:t>
      </w:r>
    </w:p>
    <w:p w14:paraId="00DFB452" w14:textId="77777777" w:rsidR="00883C1A" w:rsidRPr="00BF7DD5" w:rsidRDefault="00883C1A" w:rsidP="00883C1A">
      <w:pPr>
        <w:pStyle w:val="Level3"/>
        <w:numPr>
          <w:ilvl w:val="2"/>
          <w:numId w:val="11"/>
        </w:numPr>
        <w:rPr>
          <w:lang w:val="pt-BR"/>
        </w:rPr>
      </w:pPr>
      <w:r w:rsidRPr="00BF7DD5">
        <w:rPr>
          <w:lang w:val="pt-BR"/>
        </w:rPr>
        <w:t>A Emissora deverá comunicar os Debenturistas e o Agente Fiduciário sobre a realização de Resgate Antecipado Facultativo Total por meio de comunicação individual aos Debenturistas</w:t>
      </w:r>
      <w:r w:rsidRPr="006368DF">
        <w:rPr>
          <w:lang w:val="pt-BR"/>
        </w:rPr>
        <w:t xml:space="preserve">, com cópia ao Agente Fiduciário, e/ou por meio de publicação de Aviso aos Debenturistas nos termos </w:t>
      </w:r>
      <w:r w:rsidRPr="008B53CF">
        <w:rPr>
          <w:lang w:val="pt-BR"/>
        </w:rPr>
        <w:t xml:space="preserve">da Cláusula </w:t>
      </w:r>
      <w:r w:rsidRPr="008B53CF">
        <w:rPr>
          <w:lang w:val="pt-BR"/>
        </w:rPr>
        <w:fldChar w:fldCharType="begin"/>
      </w:r>
      <w:r w:rsidRPr="008B53CF">
        <w:rPr>
          <w:lang w:val="pt-BR"/>
        </w:rPr>
        <w:instrText xml:space="preserve"> REF _Ref420336525 \r \h  \* MERGEFORMAT </w:instrText>
      </w:r>
      <w:r w:rsidRPr="008B53CF">
        <w:rPr>
          <w:lang w:val="pt-BR"/>
        </w:rPr>
      </w:r>
      <w:r w:rsidRPr="008B53CF">
        <w:rPr>
          <w:lang w:val="pt-BR"/>
        </w:rPr>
        <w:fldChar w:fldCharType="separate"/>
      </w:r>
      <w:r>
        <w:rPr>
          <w:lang w:val="pt-BR"/>
        </w:rPr>
        <w:t>5.28</w:t>
      </w:r>
      <w:r w:rsidRPr="008B53CF">
        <w:rPr>
          <w:lang w:val="pt-BR"/>
        </w:rPr>
        <w:fldChar w:fldCharType="end"/>
      </w:r>
      <w:r w:rsidRPr="008B53CF">
        <w:rPr>
          <w:lang w:val="pt-BR"/>
        </w:rPr>
        <w:t xml:space="preserve"> abaixo,</w:t>
      </w:r>
      <w:r w:rsidRPr="00BF7DD5">
        <w:rPr>
          <w:lang w:val="pt-BR"/>
        </w:rPr>
        <w:t xml:space="preserve"> com, no mínimo, 3 (três) Dias Úteis de antecedência, devendo tal anúncio descrever os termos e condições do Resgate Antecipado Facultativo Total, incluindo, mas sem limitação, (a) menção ao valor do Resgate Antecipado Facultativo, observado o disposto na </w:t>
      </w:r>
      <w:r w:rsidRPr="008B53CF">
        <w:rPr>
          <w:lang w:val="pt-BR"/>
        </w:rPr>
        <w:t xml:space="preserve">Cláusula </w:t>
      </w:r>
      <w:r w:rsidRPr="008B53CF">
        <w:rPr>
          <w:lang w:val="pt-BR"/>
        </w:rPr>
        <w:fldChar w:fldCharType="begin"/>
      </w:r>
      <w:r w:rsidRPr="008B53CF">
        <w:rPr>
          <w:lang w:val="pt-BR"/>
        </w:rPr>
        <w:instrText xml:space="preserve"> REF _Ref531792621 \r \h  \* MERGEFORMAT </w:instrText>
      </w:r>
      <w:r w:rsidRPr="008B53CF">
        <w:rPr>
          <w:lang w:val="pt-BR"/>
        </w:rPr>
      </w:r>
      <w:r w:rsidRPr="008B53CF">
        <w:rPr>
          <w:lang w:val="pt-BR"/>
        </w:rPr>
        <w:fldChar w:fldCharType="separate"/>
      </w:r>
      <w:r>
        <w:rPr>
          <w:lang w:val="pt-BR"/>
        </w:rPr>
        <w:t>5.20.3</w:t>
      </w:r>
      <w:r w:rsidRPr="008B53CF">
        <w:rPr>
          <w:lang w:val="pt-BR"/>
        </w:rPr>
        <w:fldChar w:fldCharType="end"/>
      </w:r>
      <w:r w:rsidRPr="008B53CF">
        <w:rPr>
          <w:lang w:val="pt-BR"/>
        </w:rPr>
        <w:t xml:space="preserve"> abaixo; (b) a data efetiva para o resgate e pagamento</w:t>
      </w:r>
      <w:r w:rsidRPr="00BF7DD5">
        <w:rPr>
          <w:lang w:val="pt-BR"/>
        </w:rPr>
        <w:t xml:space="preserve"> das Debêntures a serem resgatadas</w:t>
      </w:r>
      <w:r>
        <w:rPr>
          <w:lang w:val="pt-BR"/>
        </w:rPr>
        <w:t>,</w:t>
      </w:r>
      <w:r w:rsidRPr="00DF73C7">
        <w:rPr>
          <w:szCs w:val="20"/>
          <w:lang w:val="pt-BR"/>
        </w:rPr>
        <w:t xml:space="preserve"> </w:t>
      </w:r>
      <w:r>
        <w:rPr>
          <w:szCs w:val="20"/>
          <w:lang w:val="pt-BR"/>
        </w:rPr>
        <w:t>que deverá ser um Dia Útil</w:t>
      </w:r>
      <w:r w:rsidRPr="00BF7DD5">
        <w:rPr>
          <w:lang w:val="pt-BR"/>
        </w:rPr>
        <w:t>; e (c) demais informações necessárias para a operacionalização do resgate das Debêntures.</w:t>
      </w:r>
    </w:p>
    <w:p w14:paraId="211557AD" w14:textId="77777777" w:rsidR="00883C1A" w:rsidRPr="006368DF" w:rsidRDefault="00883C1A" w:rsidP="00883C1A">
      <w:pPr>
        <w:pStyle w:val="Level3"/>
        <w:numPr>
          <w:ilvl w:val="2"/>
          <w:numId w:val="11"/>
        </w:numPr>
        <w:rPr>
          <w:lang w:val="pt-BR"/>
        </w:rPr>
      </w:pPr>
      <w:bookmarkStart w:id="229" w:name="_Ref531792621"/>
      <w:r w:rsidRPr="00BF7DD5">
        <w:rPr>
          <w:lang w:val="pt-BR"/>
        </w:rPr>
        <w:t xml:space="preserve">O valor a ser pago pela Emissora em relação a cada uma das Debêntures </w:t>
      </w:r>
      <w:r w:rsidRPr="006368DF">
        <w:rPr>
          <w:lang w:val="pt-BR"/>
        </w:rPr>
        <w:t>no âmbito do Resgate Antecipado Facultativo Total será equivalente ao valor indicado no item (i) ou no item (</w:t>
      </w:r>
      <w:proofErr w:type="spellStart"/>
      <w:r w:rsidRPr="006368DF">
        <w:rPr>
          <w:lang w:val="pt-BR"/>
        </w:rPr>
        <w:t>ii</w:t>
      </w:r>
      <w:proofErr w:type="spellEnd"/>
      <w:r w:rsidRPr="006368DF">
        <w:rPr>
          <w:lang w:val="pt-BR"/>
        </w:rPr>
        <w:t>) abaixo, dos dois o maior:</w:t>
      </w:r>
      <w:bookmarkEnd w:id="229"/>
    </w:p>
    <w:p w14:paraId="4AD14FEE" w14:textId="77777777" w:rsidR="00883C1A" w:rsidRPr="00B24079" w:rsidRDefault="00883C1A" w:rsidP="00883C1A">
      <w:pPr>
        <w:pStyle w:val="Level3"/>
        <w:numPr>
          <w:ilvl w:val="0"/>
          <w:numId w:val="0"/>
        </w:numPr>
        <w:ind w:left="1418"/>
        <w:rPr>
          <w:lang w:val="pt-BR"/>
        </w:rPr>
      </w:pPr>
      <w:bookmarkStart w:id="230" w:name="_Ref531792665"/>
      <w:r w:rsidRPr="00B24079">
        <w:rPr>
          <w:lang w:val="pt-BR"/>
        </w:rPr>
        <w:t>(i)</w:t>
      </w:r>
      <w:r w:rsidRPr="00B24079">
        <w:rPr>
          <w:lang w:val="pt-BR"/>
        </w:rPr>
        <w:tab/>
        <w:t xml:space="preserve">Valor Nominal Unitário Atualizado das Debêntures acrescido: (a) da Remuneração, calculada, </w:t>
      </w:r>
      <w:r w:rsidRPr="00B24079">
        <w:rPr>
          <w:i/>
          <w:lang w:val="pt-BR"/>
        </w:rPr>
        <w:t xml:space="preserve">pro rata </w:t>
      </w:r>
      <w:proofErr w:type="spellStart"/>
      <w:r w:rsidRPr="00B24079">
        <w:rPr>
          <w:i/>
          <w:lang w:val="pt-BR"/>
        </w:rPr>
        <w:t>temporis</w:t>
      </w:r>
      <w:proofErr w:type="spellEnd"/>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230"/>
      <w:r w:rsidRPr="00B24079">
        <w:rPr>
          <w:lang w:val="pt-BR"/>
        </w:rPr>
        <w:t xml:space="preserve"> </w:t>
      </w:r>
    </w:p>
    <w:p w14:paraId="5AF438C2" w14:textId="77777777" w:rsidR="00883C1A" w:rsidRPr="00B24079" w:rsidRDefault="00883C1A" w:rsidP="00883C1A">
      <w:pPr>
        <w:pStyle w:val="Level3"/>
        <w:numPr>
          <w:ilvl w:val="0"/>
          <w:numId w:val="0"/>
        </w:numPr>
        <w:ind w:left="1418"/>
        <w:rPr>
          <w:lang w:val="pt-BR"/>
        </w:rPr>
      </w:pPr>
      <w:bookmarkStart w:id="231" w:name="_Ref531792666"/>
      <w:r w:rsidRPr="00B24079">
        <w:rPr>
          <w:lang w:val="pt-BR"/>
        </w:rPr>
        <w:t>(</w:t>
      </w:r>
      <w:proofErr w:type="spellStart"/>
      <w:r w:rsidRPr="00B24079">
        <w:rPr>
          <w:lang w:val="pt-BR"/>
        </w:rPr>
        <w:t>ii</w:t>
      </w:r>
      <w:proofErr w:type="spellEnd"/>
      <w:r w:rsidRPr="00B24079">
        <w:rPr>
          <w:lang w:val="pt-BR"/>
        </w:rPr>
        <w:t>)</w:t>
      </w:r>
      <w:r w:rsidRPr="00B24079">
        <w:rPr>
          <w:lang w:val="pt-BR"/>
        </w:rPr>
        <w:tab/>
        <w:t xml:space="preserve">valor presente das parcelas remanescentes de pagamento de amortização do Valor Nominal Unitário Atualizado e da Remuneração, utilizando como taxa de desconto a taxa interna de retorno do Tesouro IPCA+ com juros semestrais, com </w:t>
      </w:r>
      <w:proofErr w:type="spellStart"/>
      <w:r w:rsidRPr="00B24079">
        <w:rPr>
          <w:i/>
          <w:lang w:val="pt-BR"/>
        </w:rPr>
        <w:t>duration</w:t>
      </w:r>
      <w:proofErr w:type="spellEnd"/>
      <w:r w:rsidRPr="00B24079">
        <w:rPr>
          <w:lang w:val="pt-BR"/>
        </w:rPr>
        <w:t xml:space="preserve"> equivalente à </w:t>
      </w:r>
      <w:proofErr w:type="spellStart"/>
      <w:r w:rsidRPr="00B24079">
        <w:rPr>
          <w:i/>
          <w:lang w:val="pt-BR"/>
        </w:rPr>
        <w:t>duration</w:t>
      </w:r>
      <w:proofErr w:type="spellEnd"/>
      <w:r w:rsidRPr="00B24079">
        <w:rPr>
          <w:i/>
          <w:lang w:val="pt-BR"/>
        </w:rPr>
        <w:t xml:space="preserve"> </w:t>
      </w:r>
      <w:r w:rsidRPr="00B24079">
        <w:rPr>
          <w:lang w:val="pt-BR"/>
        </w:rPr>
        <w:t>remanescente das Debêntures na Data de Resgate Antecipado Facultativo Total, conforme cotação indicativa divulgada pela ANBIMA em sua página na rede mundial de computadores (</w:t>
      </w:r>
      <w:proofErr w:type="spellStart"/>
      <w:r w:rsidRPr="00B24079">
        <w:rPr>
          <w:lang w:val="pt-BR"/>
        </w:rPr>
        <w:t>htttp</w:t>
      </w:r>
      <w:proofErr w:type="spellEnd"/>
      <w:r w:rsidRPr="00B24079">
        <w:rPr>
          <w:lang w:val="pt-BR"/>
        </w:rPr>
        <w:t>://www.anbima.com.br) apurada no Dia Útil imediatamente anterior à Data do Resgate Antecipado Facultativo Total, calculado conforme cláusula abaixo, e somado aos Encargos Moratórios, se houver, à quaisquer obrigações pecuniárias e a outros acréscimos referentes às Debêntures:</w:t>
      </w:r>
      <w:bookmarkEnd w:id="231"/>
      <w:r w:rsidRPr="00B24079">
        <w:rPr>
          <w:lang w:val="pt-BR"/>
        </w:rPr>
        <w:t xml:space="preserve"> </w:t>
      </w:r>
    </w:p>
    <w:p w14:paraId="66326428" w14:textId="77777777" w:rsidR="00883C1A" w:rsidRPr="00BF7DD5" w:rsidRDefault="00883C1A" w:rsidP="00883C1A">
      <w:pPr>
        <w:pStyle w:val="Level3"/>
        <w:numPr>
          <w:ilvl w:val="0"/>
          <w:numId w:val="0"/>
        </w:numPr>
        <w:ind w:left="1418"/>
        <w:rPr>
          <w:u w:val="single"/>
          <w:lang w:val="pt-BR"/>
        </w:rPr>
      </w:pPr>
      <m:oMathPara>
        <m:oMath>
          <m:r>
            <w:rPr>
              <w:rFonts w:ascii="Cambria Math" w:hAnsi="Cambria Math"/>
              <w:lang w:val="en-US"/>
            </w:rPr>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36395223" w14:textId="77777777" w:rsidR="00883C1A" w:rsidRPr="006368DF" w:rsidRDefault="00883C1A" w:rsidP="00883C1A">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Pr="006368DF">
        <w:rPr>
          <w:lang w:val="pt-BR"/>
        </w:rPr>
        <w:t>;</w:t>
      </w:r>
    </w:p>
    <w:p w14:paraId="5010C901" w14:textId="77777777" w:rsidR="00883C1A" w:rsidRPr="00B24079" w:rsidRDefault="00883C1A" w:rsidP="00883C1A">
      <w:pPr>
        <w:pStyle w:val="Level3"/>
        <w:numPr>
          <w:ilvl w:val="0"/>
          <w:numId w:val="0"/>
        </w:numPr>
        <w:ind w:left="1418"/>
        <w:rPr>
          <w:lang w:val="pt-BR"/>
        </w:rPr>
      </w:pPr>
      <w:r w:rsidRPr="00B24079">
        <w:rPr>
          <w:i/>
          <w:lang w:val="pt-BR"/>
        </w:rPr>
        <w:t>C</w:t>
      </w:r>
      <w:r w:rsidRPr="00B24079">
        <w:rPr>
          <w:lang w:val="pt-BR"/>
        </w:rPr>
        <w:t xml:space="preserve"> = </w:t>
      </w:r>
      <w:r>
        <w:rPr>
          <w:lang w:val="pt-BR"/>
        </w:rPr>
        <w:t xml:space="preserve">fator C acumulado até a data do Resgate Antecipado Facultativo Total, </w:t>
      </w:r>
      <w:r w:rsidRPr="00B24079">
        <w:rPr>
          <w:lang w:val="pt-BR"/>
        </w:rPr>
        <w:t xml:space="preserve">conforme definido </w:t>
      </w:r>
      <w:r w:rsidRPr="008B53CF">
        <w:rPr>
          <w:lang w:val="pt-BR"/>
        </w:rPr>
        <w:t xml:space="preserve">na Cláusula </w:t>
      </w:r>
      <w:r w:rsidRPr="00056862">
        <w:rPr>
          <w:lang w:val="pt-BR"/>
        </w:rPr>
        <w:fldChar w:fldCharType="begin"/>
      </w:r>
      <w:r w:rsidRPr="00056862">
        <w:rPr>
          <w:lang w:val="pt-BR"/>
        </w:rPr>
        <w:instrText xml:space="preserve"> REF _Ref24988380 \r \h </w:instrText>
      </w:r>
      <w:r>
        <w:rPr>
          <w:lang w:val="pt-BR"/>
        </w:rPr>
        <w:instrText xml:space="preserve"> \* MERGEFORMAT </w:instrText>
      </w:r>
      <w:r w:rsidRPr="00056862">
        <w:rPr>
          <w:lang w:val="pt-BR"/>
        </w:rPr>
      </w:r>
      <w:r w:rsidRPr="00056862">
        <w:rPr>
          <w:lang w:val="pt-BR"/>
        </w:rPr>
        <w:fldChar w:fldCharType="separate"/>
      </w:r>
      <w:r>
        <w:rPr>
          <w:lang w:val="pt-BR"/>
        </w:rPr>
        <w:t>5.15.1</w:t>
      </w:r>
      <w:r w:rsidRPr="00056862">
        <w:rPr>
          <w:lang w:val="pt-BR"/>
        </w:rPr>
        <w:fldChar w:fldCharType="end"/>
      </w:r>
      <w:r w:rsidRPr="008B53CF">
        <w:rPr>
          <w:lang w:val="pt-BR"/>
        </w:rPr>
        <w:t>;</w:t>
      </w:r>
      <w:r w:rsidRPr="00B24079">
        <w:rPr>
          <w:lang w:val="pt-BR"/>
        </w:rPr>
        <w:t xml:space="preserve"> </w:t>
      </w:r>
    </w:p>
    <w:p w14:paraId="2EFBFF5C" w14:textId="77777777" w:rsidR="00883C1A" w:rsidRPr="00B24079" w:rsidRDefault="00883C1A" w:rsidP="00883C1A">
      <w:pPr>
        <w:pStyle w:val="Level3"/>
        <w:numPr>
          <w:ilvl w:val="0"/>
          <w:numId w:val="0"/>
        </w:numPr>
        <w:ind w:left="1418"/>
        <w:rPr>
          <w:lang w:val="pt-BR"/>
        </w:rPr>
      </w:pPr>
      <w:proofErr w:type="spellStart"/>
      <w:r w:rsidRPr="00B24079">
        <w:rPr>
          <w:i/>
          <w:lang w:val="pt-BR"/>
        </w:rPr>
        <w:t>VNEk</w:t>
      </w:r>
      <w:proofErr w:type="spellEnd"/>
      <w:r w:rsidRPr="00B24079">
        <w:rPr>
          <w:lang w:val="pt-BR"/>
        </w:rPr>
        <w:t xml:space="preserve"> = valor unitário de cada um dos “k” valores devidos das Debêntures, sendo o valor de cada parcela “k” equivalente ao pagamento da Remuneração das Debêntures e/ou à amortização do Valor Nominal Unitário Atualizado, conforme o caso;</w:t>
      </w:r>
    </w:p>
    <w:p w14:paraId="148037A7" w14:textId="77777777" w:rsidR="00883C1A" w:rsidRPr="00B24079" w:rsidRDefault="00883C1A" w:rsidP="00883C1A">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 sendo “n” um número inteiro;</w:t>
      </w:r>
    </w:p>
    <w:p w14:paraId="15E3C33C" w14:textId="77777777" w:rsidR="00883C1A" w:rsidRPr="00B24079" w:rsidRDefault="00883C1A" w:rsidP="00883C1A">
      <w:pPr>
        <w:pStyle w:val="Level3"/>
        <w:numPr>
          <w:ilvl w:val="0"/>
          <w:numId w:val="0"/>
        </w:numPr>
        <w:ind w:left="1418"/>
        <w:rPr>
          <w:lang w:val="pt-BR"/>
        </w:rPr>
      </w:pPr>
      <w:proofErr w:type="spellStart"/>
      <w:r w:rsidRPr="00B24079">
        <w:rPr>
          <w:i/>
          <w:lang w:val="pt-BR"/>
        </w:rPr>
        <w:t>nk</w:t>
      </w:r>
      <w:proofErr w:type="spellEnd"/>
      <w:r w:rsidRPr="00B24079">
        <w:rPr>
          <w:lang w:val="pt-BR"/>
        </w:rPr>
        <w:t xml:space="preserve"> = número de Dias Úteis entre a data do Resgate Antecipado Facultativo e a data de vencimento programada de cada parcela “k” vincenda;</w:t>
      </w:r>
    </w:p>
    <w:p w14:paraId="5DC585CC" w14:textId="77777777" w:rsidR="00883C1A" w:rsidRPr="00B24079" w:rsidRDefault="00883C1A" w:rsidP="00883C1A">
      <w:pPr>
        <w:pStyle w:val="Level3"/>
        <w:numPr>
          <w:ilvl w:val="0"/>
          <w:numId w:val="0"/>
        </w:numPr>
        <w:ind w:left="1418"/>
        <w:rPr>
          <w:lang w:val="pt-BR"/>
        </w:rPr>
      </w:pPr>
      <w:proofErr w:type="spellStart"/>
      <w:r w:rsidRPr="00B24079">
        <w:rPr>
          <w:i/>
          <w:lang w:val="pt-BR"/>
        </w:rPr>
        <w:t>FVPk</w:t>
      </w:r>
      <w:proofErr w:type="spellEnd"/>
      <w:r w:rsidRPr="00B24079">
        <w:rPr>
          <w:lang w:val="pt-BR"/>
        </w:rPr>
        <w:t xml:space="preserve"> = fator de valor presente, apurado conforme fórmula a seguir, calculado com 9 (nove) casas decimais, com arredondamento:</w:t>
      </w:r>
    </w:p>
    <w:p w14:paraId="7DAADB5E" w14:textId="77777777" w:rsidR="00883C1A" w:rsidRPr="00BF7DD5" w:rsidRDefault="00883C1A" w:rsidP="00883C1A">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1EAE9372" w14:textId="77777777" w:rsidR="00883C1A" w:rsidRPr="00BF7DD5" w:rsidRDefault="00883C1A" w:rsidP="00883C1A">
      <w:pPr>
        <w:pStyle w:val="Nivel4"/>
        <w:numPr>
          <w:ilvl w:val="0"/>
          <w:numId w:val="0"/>
        </w:numPr>
        <w:ind w:left="993"/>
        <w:rPr>
          <w:rFonts w:ascii="Arial" w:hAnsi="Arial"/>
          <w:sz w:val="20"/>
          <w:lang w:val="en-US"/>
        </w:rPr>
      </w:pPr>
    </w:p>
    <w:p w14:paraId="2A5B3E47" w14:textId="77777777" w:rsidR="00883C1A" w:rsidRPr="00134F48" w:rsidRDefault="00883C1A" w:rsidP="00883C1A">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Pr>
          <w:rFonts w:ascii="Arial" w:hAnsi="Arial"/>
          <w:sz w:val="20"/>
        </w:rPr>
        <w:t>-</w:t>
      </w:r>
    </w:p>
    <w:p w14:paraId="0970F6AC" w14:textId="77777777" w:rsidR="00883C1A" w:rsidRDefault="00883C1A" w:rsidP="00883C1A">
      <w:pPr>
        <w:pStyle w:val="Level3"/>
        <w:numPr>
          <w:ilvl w:val="0"/>
          <w:numId w:val="0"/>
        </w:numPr>
        <w:ind w:left="1418"/>
        <w:rPr>
          <w:lang w:val="pt-BR"/>
        </w:rPr>
      </w:pPr>
    </w:p>
    <w:p w14:paraId="4DB3E5E5" w14:textId="77777777" w:rsidR="00883C1A" w:rsidRPr="00D753AF" w:rsidRDefault="00883C1A" w:rsidP="00883C1A">
      <w:pPr>
        <w:pStyle w:val="Level3"/>
        <w:numPr>
          <w:ilvl w:val="2"/>
          <w:numId w:val="11"/>
        </w:numPr>
        <w:rPr>
          <w:lang w:val="pt-BR"/>
        </w:rPr>
      </w:pPr>
      <w:r w:rsidRPr="00D753AF">
        <w:rPr>
          <w:lang w:val="pt-BR"/>
        </w:rPr>
        <w:t>Para fins do disposto no artigo 1º, inciso IV da Resolução CMN 4.751, a Emissora estabelece as Datas de Pagamento da Remuneração como possíveis datas para a realização do Resgate Antecipado Facultativo, sem prejuízo de sua faculdade de realizar o Resgate Antecipado Facultativo em outra data que lhe seja mais conveniente.</w:t>
      </w:r>
    </w:p>
    <w:p w14:paraId="098771FD" w14:textId="77777777" w:rsidR="00883C1A" w:rsidRPr="009B7AFA" w:rsidRDefault="00883C1A" w:rsidP="00883C1A">
      <w:pPr>
        <w:pStyle w:val="Level2"/>
        <w:numPr>
          <w:ilvl w:val="1"/>
          <w:numId w:val="11"/>
        </w:numPr>
        <w:rPr>
          <w:b/>
        </w:rPr>
      </w:pPr>
      <w:r w:rsidRPr="009B7AFA">
        <w:rPr>
          <w:b/>
        </w:rPr>
        <w:t>Oferta de Resgate Antecipado Facultativo</w:t>
      </w:r>
      <w:r>
        <w:rPr>
          <w:b/>
        </w:rPr>
        <w:t xml:space="preserve"> </w:t>
      </w:r>
    </w:p>
    <w:p w14:paraId="2C2CAAB0" w14:textId="77777777" w:rsidR="00883C1A" w:rsidRPr="00A95F87" w:rsidRDefault="00883C1A" w:rsidP="00883C1A">
      <w:pPr>
        <w:pStyle w:val="Level3"/>
        <w:numPr>
          <w:ilvl w:val="2"/>
          <w:numId w:val="11"/>
        </w:numPr>
        <w:rPr>
          <w:lang w:val="pt-BR"/>
        </w:rPr>
      </w:pPr>
      <w:bookmarkStart w:id="232" w:name="_Ref26989304"/>
      <w:bookmarkStart w:id="233" w:name="_Ref531793962"/>
      <w:r>
        <w:rPr>
          <w:lang w:val="pt-BR"/>
        </w:rPr>
        <w:t>N</w:t>
      </w:r>
      <w:r w:rsidRPr="00D753AF">
        <w:rPr>
          <w:lang w:val="pt-BR"/>
        </w:rPr>
        <w:t>os termos do artigo 1º, §1º, inciso II, da Lei 12.431, e da Resolução CMN 4.751, após o prazo médio ponderado dos pagamentos transcorridos entre a Data de Emissão e a data de resgate antecipado superar 4 (quatro) anos, durante a vigência da presente Emissão e até a Data de Vencimento</w:t>
      </w:r>
      <w:r>
        <w:rPr>
          <w:lang w:val="pt-BR"/>
        </w:rPr>
        <w:t>,</w:t>
      </w:r>
      <w:r w:rsidRPr="00D753AF">
        <w:rPr>
          <w:lang w:val="pt-BR"/>
        </w:rPr>
        <w:t xml:space="preserve"> </w:t>
      </w:r>
      <w:r>
        <w:rPr>
          <w:lang w:val="pt-BR"/>
        </w:rPr>
        <w:t>a</w:t>
      </w:r>
      <w:r w:rsidRPr="00A95F87">
        <w:rPr>
          <w:lang w:val="pt-BR"/>
        </w:rPr>
        <w:t xml:space="preserve"> Emissora poderá realizar oferta de resgate antecipado das Debêntures </w:t>
      </w:r>
      <w:r>
        <w:rPr>
          <w:szCs w:val="20"/>
          <w:lang w:val="pt-BR"/>
        </w:rPr>
        <w:t>nos termos da Resolução CMN 4.751, bem como da</w:t>
      </w:r>
      <w:r w:rsidRPr="00A95F87">
        <w:rPr>
          <w:lang w:val="pt-BR"/>
        </w:rPr>
        <w:t xml:space="preserve"> legislação e regulamentação aplicáveis. Neste caso, referida oferta poderá ser realizada pela Emissora, a seu exclusivo critério, e deverá abranger a totalidade das Debêntures, devendo ser endereçada a todos os Debenturistas, sem distinção, assegurada a igualdade de condições a todos os Debenturistas</w:t>
      </w:r>
      <w:r>
        <w:rPr>
          <w:lang w:val="pt-BR"/>
        </w:rPr>
        <w:t xml:space="preserve"> </w:t>
      </w:r>
      <w:r w:rsidRPr="00A95F87">
        <w:rPr>
          <w:lang w:val="pt-BR"/>
        </w:rPr>
        <w:t xml:space="preserve">para aceitar a oferta de resgate antecipado das Debêntures de que forem titulares, de </w:t>
      </w:r>
      <w:r w:rsidRPr="008A2DE9">
        <w:rPr>
          <w:lang w:val="pt-BR"/>
        </w:rPr>
        <w:t>acordo com os termos e condições previstos abaixo, bem como com as regras expedidas pelo CMN e pela legislação e regulamentação aplicáveis (“</w:t>
      </w:r>
      <w:r w:rsidRPr="00211D1E">
        <w:rPr>
          <w:b/>
          <w:lang w:val="pt-BR"/>
        </w:rPr>
        <w:t>Oferta de Resgate Antecipado Facultativo</w:t>
      </w:r>
      <w:r>
        <w:rPr>
          <w:b/>
          <w:lang w:val="pt-BR"/>
        </w:rPr>
        <w:t xml:space="preserve"> Total</w:t>
      </w:r>
      <w:r w:rsidRPr="008A2DE9">
        <w:rPr>
          <w:lang w:val="pt-BR"/>
        </w:rPr>
        <w:t>”):</w:t>
      </w:r>
      <w:bookmarkEnd w:id="232"/>
    </w:p>
    <w:p w14:paraId="489CE91F" w14:textId="77777777" w:rsidR="00883C1A" w:rsidRPr="00A95F87" w:rsidRDefault="00883C1A" w:rsidP="00883C1A">
      <w:pPr>
        <w:pStyle w:val="Level4"/>
        <w:numPr>
          <w:ilvl w:val="3"/>
          <w:numId w:val="11"/>
        </w:numPr>
      </w:pPr>
      <w:bookmarkStart w:id="234" w:name="_Ref6505998"/>
      <w:bookmarkEnd w:id="233"/>
      <w:r w:rsidRPr="00A95F87">
        <w:t>a Emissora realizará a Oferta de Resgate Antecipado Facultativo Total</w:t>
      </w:r>
      <w:r>
        <w:t xml:space="preserve"> </w:t>
      </w:r>
      <w:r w:rsidRPr="00A95F87">
        <w:t xml:space="preserve">por meio de comunicação individual aos Debenturistas, com cópia ao Agente Fiduciário, e/ou por meio de publicação de </w:t>
      </w:r>
      <w:r w:rsidRPr="008B53CF">
        <w:t xml:space="preserve">Aviso aos Debenturistas, nos termos da Cláusula </w:t>
      </w:r>
      <w:r w:rsidRPr="00F46EFF">
        <w:fldChar w:fldCharType="begin"/>
      </w:r>
      <w:r w:rsidRPr="008B53CF">
        <w:instrText xml:space="preserve"> REF _Ref420336525 \r \h </w:instrText>
      </w:r>
      <w:r w:rsidRPr="00056862">
        <w:instrText xml:space="preserve"> \* MERGEFORMAT </w:instrText>
      </w:r>
      <w:r w:rsidRPr="00F46EFF">
        <w:fldChar w:fldCharType="separate"/>
      </w:r>
      <w:r>
        <w:t>5.28</w:t>
      </w:r>
      <w:r w:rsidRPr="00F46EFF">
        <w:fldChar w:fldCharType="end"/>
      </w:r>
      <w:r w:rsidRPr="008B53CF">
        <w:t xml:space="preserve"> abaixo</w:t>
      </w:r>
      <w:r w:rsidRPr="00A95F87">
        <w:t>, com, no mínimo, 30 (trinta) Dias Úteis de antecedência (“</w:t>
      </w:r>
      <w:r w:rsidRPr="003B6FB9">
        <w:rPr>
          <w:b/>
        </w:rPr>
        <w:t>Edital de Oferta de Resgate Antecipado Facultativo</w:t>
      </w:r>
      <w:r w:rsidRPr="00A95F87">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t>, que deverá ser um Dia Útil</w:t>
      </w:r>
      <w:r w:rsidRPr="00A95F87">
        <w:t>; (c) a forma de manifestação à Emissora dos Debenturistas que optarem pela adesão à Oferta de Resgate Antecipado Facultativo Total; e (d) demais informações necessárias para tomada de decisão pelos Debenturistas e à operacionalização do resgate das Debêntures;</w:t>
      </w:r>
      <w:bookmarkEnd w:id="234"/>
    </w:p>
    <w:p w14:paraId="46A8132B" w14:textId="77777777" w:rsidR="00883C1A" w:rsidRPr="00A95F87" w:rsidRDefault="00883C1A" w:rsidP="00883C1A">
      <w:pPr>
        <w:pStyle w:val="Level4"/>
        <w:numPr>
          <w:ilvl w:val="3"/>
          <w:numId w:val="11"/>
        </w:numPr>
      </w:pPr>
      <w:r w:rsidRPr="00A95F87">
        <w:t>o valor a ser pago em relação a cada uma das Debêntures</w:t>
      </w:r>
      <w:r w:rsidRPr="00BB5189">
        <w:t xml:space="preserve"> </w:t>
      </w:r>
      <w:r w:rsidRPr="00A95F87">
        <w:t xml:space="preserve">indicadas por seus respectivos titulares em adesão à Oferta de Resgate Antecipado Facultativo Total será equivalente ao Valor Nominal </w:t>
      </w:r>
      <w:r>
        <w:t xml:space="preserve">Unitário </w:t>
      </w:r>
      <w:r w:rsidRPr="00A95F87">
        <w:t xml:space="preserve">Atualizado acrescido da Remuneração, calculada, </w:t>
      </w:r>
      <w:r w:rsidRPr="00A95F87">
        <w:rPr>
          <w:i/>
          <w:iCs/>
        </w:rPr>
        <w:t xml:space="preserve">pro rata </w:t>
      </w:r>
      <w:proofErr w:type="spellStart"/>
      <w:r w:rsidRPr="00A95F87">
        <w:rPr>
          <w:i/>
          <w:iCs/>
        </w:rPr>
        <w:t>temporis</w:t>
      </w:r>
      <w:proofErr w:type="spellEnd"/>
      <w:r w:rsidRPr="00A95F87">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t xml:space="preserve">da </w:t>
      </w:r>
      <w:r w:rsidRPr="00A95F87">
        <w:t>e de prêmio de resgate que venha a ser oferecido no âmbito da Oferta de Resgate Antecipado Facultativo Total</w:t>
      </w:r>
      <w:r>
        <w:t>,</w:t>
      </w:r>
      <w:r w:rsidRPr="00A95F87">
        <w:t xml:space="preserve"> se for o caso;</w:t>
      </w:r>
    </w:p>
    <w:p w14:paraId="38F42858" w14:textId="77777777" w:rsidR="00883C1A" w:rsidRPr="00A95F87" w:rsidRDefault="00883C1A" w:rsidP="00883C1A">
      <w:pPr>
        <w:pStyle w:val="Level4"/>
        <w:numPr>
          <w:ilvl w:val="3"/>
          <w:numId w:val="11"/>
        </w:numPr>
      </w:pPr>
      <w:bookmarkStart w:id="235" w:name="_Ref285570958"/>
      <w:r w:rsidRPr="00A95F87">
        <w:t>após a comunicação ou publicação do Edital de Oferta de Resgate Antecipado Facultativo, os Debenturistas que optarem pela adesão à Oferta de Resgate Antecipado Facultativo Total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Total, a qual ocorrerá em uma única data para todas as Debêntures indicadas por seus respectivos titulares em adesão à Oferta de Resgate Antecipado Facultativo Total (ressalvados os casos em que, exclusivamente por questões operacionais, a liquidação das Debêntures objeto da Oferta de Resgate Antecipado Facultativo Total tiver de ocorrer em datas distintas), observado que a Emissora somente deverá resgatar a quantidade de Debêntures que tenham sido indicadas por seus respectivos titulares em adesão à Oferta de Resgate Antecipado Facultativo Total;</w:t>
      </w:r>
      <w:bookmarkEnd w:id="235"/>
      <w:r w:rsidRPr="00A95F87">
        <w:t xml:space="preserve"> </w:t>
      </w:r>
    </w:p>
    <w:p w14:paraId="09BC9C00" w14:textId="77777777" w:rsidR="00883C1A" w:rsidRPr="00A95F87" w:rsidRDefault="00883C1A" w:rsidP="00883C1A">
      <w:pPr>
        <w:pStyle w:val="Level4"/>
        <w:numPr>
          <w:ilvl w:val="3"/>
          <w:numId w:val="11"/>
        </w:numPr>
      </w:pPr>
      <w:r w:rsidRPr="00A95F87">
        <w:t xml:space="preserve">a Emissora deverá (a) na respectiva data de término do prazo de adesão à Oferta de Resgate Antecipado Facultativo Total, confirmar ao Agente Fiduciário a respectiva data do resgate antecipado; e (b) comunicar ao </w:t>
      </w:r>
      <w:proofErr w:type="spellStart"/>
      <w:r w:rsidRPr="00A95F87">
        <w:t>Escriturador</w:t>
      </w:r>
      <w:proofErr w:type="spellEnd"/>
      <w:r w:rsidRPr="00A95F87">
        <w:t>, ao Banco Liquidante da Emissão e à B3 a realização da Oferta de Resgate Antecipado Total</w:t>
      </w:r>
      <w:r w:rsidRPr="00BB5189">
        <w:t xml:space="preserve"> </w:t>
      </w:r>
      <w:r w:rsidRPr="00A95F87">
        <w:t>com antecedência mínima de 3 (três) Dias Úteis da respectiva data do resgate antecipado;</w:t>
      </w:r>
    </w:p>
    <w:p w14:paraId="23B97249" w14:textId="77777777" w:rsidR="00883C1A" w:rsidRPr="00A95F87" w:rsidRDefault="00883C1A" w:rsidP="00883C1A">
      <w:pPr>
        <w:pStyle w:val="Level4"/>
        <w:numPr>
          <w:ilvl w:val="3"/>
          <w:numId w:val="11"/>
        </w:numPr>
      </w:pPr>
      <w:r w:rsidRPr="00A95F87">
        <w:t>todas as Debêntures a serem resgatadas antecipadamente por meio da Oferta de Resgate Antecipado Facultativo Total serão canceladas; e</w:t>
      </w:r>
    </w:p>
    <w:p w14:paraId="1C621C89" w14:textId="77777777" w:rsidR="00883C1A" w:rsidRPr="00A95F87" w:rsidRDefault="00883C1A" w:rsidP="00883C1A">
      <w:pPr>
        <w:pStyle w:val="Level4"/>
        <w:numPr>
          <w:ilvl w:val="3"/>
          <w:numId w:val="11"/>
        </w:numPr>
      </w:pPr>
      <w:r w:rsidRPr="00A95F87">
        <w:t xml:space="preserve">o pagamento das Debêntures resgatadas antecipadamente por meio da Oferta de Resgate Antecipado Facultativo Total será realizado por meio da B3, com relação às Debêntures que estejam custodiadas eletronicamente na B3 ou por meio do </w:t>
      </w:r>
      <w:proofErr w:type="spellStart"/>
      <w:r w:rsidRPr="00A95F87">
        <w:t>Escriturador</w:t>
      </w:r>
      <w:proofErr w:type="spellEnd"/>
      <w:r w:rsidRPr="00A95F87">
        <w:t>, com relação às Debêntures que não estejam custodiadas eletronicamente na B3.</w:t>
      </w:r>
    </w:p>
    <w:p w14:paraId="7AED6837" w14:textId="77777777" w:rsidR="00883C1A" w:rsidRDefault="00883C1A" w:rsidP="00883C1A">
      <w:pPr>
        <w:pStyle w:val="Level3"/>
        <w:numPr>
          <w:ilvl w:val="2"/>
          <w:numId w:val="11"/>
        </w:numPr>
        <w:rPr>
          <w:lang w:val="pt-BR"/>
        </w:rPr>
      </w:pPr>
      <w:r w:rsidRPr="00134F48">
        <w:rPr>
          <w:lang w:val="pt-BR"/>
        </w:rPr>
        <w:t>Será vedada a oferta de resgate antecipado facultativo parcial das Debêntures</w:t>
      </w:r>
      <w:r>
        <w:rPr>
          <w:lang w:val="pt-BR"/>
        </w:rPr>
        <w:t xml:space="preserve">, exceto se expressamente </w:t>
      </w:r>
      <w:r w:rsidRPr="00D753AF">
        <w:rPr>
          <w:lang w:val="pt-BR"/>
        </w:rPr>
        <w:t>permitido pelas regras expedidas pelo CMN e pela legislação e regulamentação aplicáveis, independentemente de qualquer procedimento ou aprovação</w:t>
      </w:r>
      <w:r>
        <w:rPr>
          <w:lang w:val="pt-BR"/>
        </w:rPr>
        <w:t>, observados os termos e condições previstos na Cláusula 5.20.1 acima, no que for aplicável (“</w:t>
      </w:r>
      <w:r w:rsidRPr="00757FB6">
        <w:rPr>
          <w:b/>
          <w:lang w:val="pt-BR"/>
        </w:rPr>
        <w:t>Oferta de Resgate Antecipado Facultativo Parcial</w:t>
      </w:r>
      <w:r>
        <w:rPr>
          <w:lang w:val="pt-BR"/>
        </w:rPr>
        <w:t>” e, em conjunto com a Oferta de Resgate Antecipado Facultativo Total, “</w:t>
      </w:r>
      <w:r w:rsidRPr="00757FB6">
        <w:rPr>
          <w:b/>
          <w:lang w:val="pt-BR"/>
        </w:rPr>
        <w:t>Oferta de Resgate Antecipado</w:t>
      </w:r>
      <w:r>
        <w:rPr>
          <w:lang w:val="pt-BR"/>
        </w:rPr>
        <w:t>”)</w:t>
      </w:r>
      <w:r w:rsidRPr="00134F48">
        <w:rPr>
          <w:lang w:val="pt-BR"/>
        </w:rPr>
        <w:t>.</w:t>
      </w:r>
    </w:p>
    <w:p w14:paraId="00C40BE2" w14:textId="77777777" w:rsidR="00883C1A" w:rsidRPr="00134F48" w:rsidRDefault="00883C1A" w:rsidP="00883C1A">
      <w:pPr>
        <w:pStyle w:val="Level2"/>
        <w:numPr>
          <w:ilvl w:val="1"/>
          <w:numId w:val="11"/>
        </w:numPr>
        <w:rPr>
          <w:b/>
        </w:rPr>
      </w:pPr>
      <w:r w:rsidRPr="00134F48">
        <w:rPr>
          <w:b/>
        </w:rPr>
        <w:t>Local de Pagamento</w:t>
      </w:r>
    </w:p>
    <w:p w14:paraId="7C0880FD" w14:textId="77777777" w:rsidR="00883C1A" w:rsidRDefault="00883C1A" w:rsidP="00883C1A">
      <w:pPr>
        <w:pStyle w:val="Level3"/>
        <w:numPr>
          <w:ilvl w:val="2"/>
          <w:numId w:val="11"/>
        </w:numPr>
        <w:spacing w:before="140" w:after="0"/>
        <w:rPr>
          <w:lang w:val="pt-BR"/>
        </w:rPr>
      </w:pPr>
      <w:bookmarkStart w:id="236"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Pr>
          <w:lang w:val="pt-BR"/>
        </w:rPr>
        <w:t>6.7.2</w:t>
      </w:r>
      <w:r>
        <w:rPr>
          <w:lang w:val="pt-BR"/>
        </w:rPr>
        <w:fldChar w:fldCharType="end"/>
      </w:r>
      <w:r>
        <w:rPr>
          <w:lang w:val="pt-BR"/>
        </w:rPr>
        <w:t>, o</w:t>
      </w:r>
      <w:r w:rsidRPr="009E6B2F">
        <w:rPr>
          <w:lang w:val="pt-BR"/>
        </w:rPr>
        <w:t>s pagamentos referentes às Debêntures e a quaisquer outros valores eventualmente devidos pela Emissora nos termos desta Escritura de Emissão serão realizados pela Emissora, (i) no que se refere a pagamentos referentes ao Valor Nominal Unitário</w:t>
      </w:r>
      <w:r>
        <w:rPr>
          <w:lang w:val="pt-BR"/>
        </w:rPr>
        <w:t>, saldo do Valor Nominal Unitário ou Valor Nominal Unitário Atualizado, conforme o caso</w:t>
      </w:r>
      <w:r w:rsidRPr="009E6B2F">
        <w:rPr>
          <w:lang w:val="pt-BR"/>
        </w:rPr>
        <w:t xml:space="preserve">, à Remuneração e aos Encargos Moratórios, e com relação às Debêntures que estejam </w:t>
      </w:r>
      <w:r>
        <w:rPr>
          <w:lang w:val="pt-BR"/>
        </w:rPr>
        <w:t>custodiadas</w:t>
      </w:r>
      <w:r w:rsidRPr="009E6B2F">
        <w:rPr>
          <w:lang w:val="pt-BR"/>
        </w:rPr>
        <w:t xml:space="preserve"> 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w:t>
      </w:r>
      <w:proofErr w:type="spellStart"/>
      <w:r w:rsidRPr="009E6B2F">
        <w:rPr>
          <w:lang w:val="pt-BR"/>
        </w:rPr>
        <w:t>ii</w:t>
      </w:r>
      <w:proofErr w:type="spellEnd"/>
      <w:r w:rsidRPr="009E6B2F">
        <w:rPr>
          <w:lang w:val="pt-BR"/>
        </w:rPr>
        <w:t xml:space="preserve">) para as Debêntures que não estejam </w:t>
      </w:r>
      <w:r>
        <w:rPr>
          <w:lang w:val="pt-BR"/>
        </w:rPr>
        <w:t>custodiadas</w:t>
      </w:r>
      <w:r w:rsidRPr="009E6B2F">
        <w:rPr>
          <w:lang w:val="pt-BR"/>
        </w:rPr>
        <w:t xml:space="preserve"> </w:t>
      </w:r>
      <w:r w:rsidRPr="009E6B2F">
        <w:rPr>
          <w:rFonts w:eastAsia="TT108t00"/>
          <w:lang w:val="pt-BR"/>
        </w:rPr>
        <w:t xml:space="preserve">eletronicamente na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por meio do </w:t>
      </w:r>
      <w:proofErr w:type="spellStart"/>
      <w:r w:rsidRPr="009E6B2F">
        <w:rPr>
          <w:lang w:val="pt-BR"/>
        </w:rPr>
        <w:t>Escriturador</w:t>
      </w:r>
      <w:proofErr w:type="spellEnd"/>
      <w:r w:rsidRPr="009E6B2F">
        <w:rPr>
          <w:lang w:val="pt-BR"/>
        </w:rPr>
        <w:t xml:space="preserve"> ou, </w:t>
      </w:r>
      <w:r>
        <w:rPr>
          <w:lang w:val="pt-BR"/>
        </w:rPr>
        <w:t>(</w:t>
      </w:r>
      <w:proofErr w:type="spellStart"/>
      <w:r>
        <w:rPr>
          <w:lang w:val="pt-BR"/>
        </w:rPr>
        <w:t>iii</w:t>
      </w:r>
      <w:proofErr w:type="spellEnd"/>
      <w:r>
        <w:rPr>
          <w:lang w:val="pt-BR"/>
        </w:rPr>
        <w:t xml:space="preserve">) </w:t>
      </w:r>
      <w:r w:rsidRPr="009E6B2F">
        <w:rPr>
          <w:lang w:val="pt-BR"/>
        </w:rPr>
        <w:t xml:space="preserve">com relação aos pagamentos que não possam ser realizados por meio do </w:t>
      </w:r>
      <w:proofErr w:type="spellStart"/>
      <w:r w:rsidRPr="009E6B2F">
        <w:rPr>
          <w:lang w:val="pt-BR"/>
        </w:rPr>
        <w:t>Escriturador</w:t>
      </w:r>
      <w:proofErr w:type="spellEnd"/>
      <w:r w:rsidRPr="009E6B2F">
        <w:rPr>
          <w:lang w:val="pt-BR"/>
        </w:rPr>
        <w:t>, na sede da Emissora, conforme o caso.</w:t>
      </w:r>
      <w:bookmarkEnd w:id="236"/>
    </w:p>
    <w:p w14:paraId="6D496A56" w14:textId="77777777" w:rsidR="00883C1A" w:rsidRDefault="00883C1A" w:rsidP="00883C1A">
      <w:pPr>
        <w:pStyle w:val="Level2"/>
        <w:numPr>
          <w:ilvl w:val="1"/>
          <w:numId w:val="11"/>
        </w:numPr>
        <w:spacing w:before="140"/>
        <w:rPr>
          <w:b/>
        </w:rPr>
      </w:pPr>
      <w:r w:rsidRPr="00ED4800">
        <w:rPr>
          <w:b/>
        </w:rPr>
        <w:t>Tratamento Tributário</w:t>
      </w:r>
    </w:p>
    <w:p w14:paraId="3481575C" w14:textId="77777777" w:rsidR="00883C1A" w:rsidRPr="00ED4800" w:rsidRDefault="00883C1A" w:rsidP="00883C1A">
      <w:pPr>
        <w:pStyle w:val="Level3"/>
        <w:numPr>
          <w:ilvl w:val="2"/>
          <w:numId w:val="11"/>
        </w:numPr>
        <w:rPr>
          <w:lang w:val="pt-BR"/>
        </w:rPr>
      </w:pPr>
      <w:bookmarkStart w:id="237" w:name="_Ref332715588"/>
      <w:r w:rsidRPr="00ED4800">
        <w:rPr>
          <w:lang w:val="pt-BR"/>
        </w:rPr>
        <w:t>As Debêntures gozam do tratamento tributário previsto no artigo 2º da Lei 12.431.</w:t>
      </w:r>
      <w:bookmarkEnd w:id="237"/>
    </w:p>
    <w:p w14:paraId="61013079" w14:textId="77777777" w:rsidR="00883C1A" w:rsidRPr="00ED4800" w:rsidRDefault="00883C1A" w:rsidP="00883C1A">
      <w:pPr>
        <w:pStyle w:val="Level3"/>
        <w:numPr>
          <w:ilvl w:val="2"/>
          <w:numId w:val="11"/>
        </w:numPr>
        <w:rPr>
          <w:lang w:val="pt-BR"/>
        </w:rPr>
      </w:pPr>
      <w:bookmarkStart w:id="238" w:name="_Ref517973697"/>
      <w:r w:rsidRPr="00ED4800">
        <w:rPr>
          <w:lang w:val="pt-BR"/>
        </w:rPr>
        <w:t>Caso qualquer titular das Debêntures (“</w:t>
      </w:r>
      <w:r w:rsidRPr="00ED4800">
        <w:rPr>
          <w:b/>
          <w:lang w:val="pt-BR"/>
        </w:rPr>
        <w:t>Debenturistas</w:t>
      </w:r>
      <w:r w:rsidRPr="00ED4800">
        <w:rPr>
          <w:lang w:val="pt-BR"/>
        </w:rPr>
        <w:t xml:space="preserve">”) goze de algum tipo de imunidade ou isenção tributária diferente daquelas previstas na Lei 12.431, deverá encaminhar ao Banco Liquidante e ao </w:t>
      </w:r>
      <w:proofErr w:type="spellStart"/>
      <w:r w:rsidRPr="00ED4800">
        <w:rPr>
          <w:lang w:val="pt-BR"/>
        </w:rPr>
        <w:t>Escriturador</w:t>
      </w:r>
      <w:proofErr w:type="spellEnd"/>
      <w:r w:rsidRPr="00ED4800">
        <w:rPr>
          <w:lang w:val="pt-BR"/>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238"/>
    </w:p>
    <w:p w14:paraId="05AD79D0" w14:textId="77777777" w:rsidR="00883C1A" w:rsidRPr="00ED4800" w:rsidRDefault="00883C1A" w:rsidP="00883C1A">
      <w:pPr>
        <w:pStyle w:val="Level3"/>
        <w:numPr>
          <w:ilvl w:val="2"/>
          <w:numId w:val="11"/>
        </w:numPr>
        <w:rPr>
          <w:lang w:val="pt-BR"/>
        </w:rPr>
      </w:pPr>
      <w:r w:rsidRPr="00ED4800">
        <w:rPr>
          <w:lang w:val="pt-BR"/>
        </w:rPr>
        <w:t xml:space="preserve">O Debenturista que tenha apresentado documentação comprobatória de sua condição de imunidade ou isenção tributária, nos termos da Cláusula </w:t>
      </w:r>
      <w:r>
        <w:fldChar w:fldCharType="begin"/>
      </w:r>
      <w:r>
        <w:rPr>
          <w:lang w:val="pt-BR"/>
        </w:rPr>
        <w:instrText xml:space="preserve"> REF _Ref517973697 \r \h </w:instrText>
      </w:r>
      <w:r>
        <w:fldChar w:fldCharType="separate"/>
      </w:r>
      <w:r>
        <w:rPr>
          <w:lang w:val="pt-BR"/>
        </w:rPr>
        <w:t>5.23.2</w:t>
      </w:r>
      <w:r>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ED4800">
        <w:rPr>
          <w:lang w:val="pt-BR"/>
        </w:rPr>
        <w:t>Escriturador</w:t>
      </w:r>
      <w:proofErr w:type="spellEnd"/>
      <w:r w:rsidRPr="00ED4800">
        <w:rPr>
          <w:lang w:val="pt-BR"/>
        </w:rPr>
        <w:t xml:space="preserve">, bem como prestar qualquer informação adicional em relação ao tema que lhe seja solicitada pelo Banco Liquidante, pelo </w:t>
      </w:r>
      <w:proofErr w:type="spellStart"/>
      <w:r w:rsidRPr="00ED4800">
        <w:rPr>
          <w:lang w:val="pt-BR"/>
        </w:rPr>
        <w:t>Escriturador</w:t>
      </w:r>
      <w:proofErr w:type="spellEnd"/>
      <w:r w:rsidRPr="00ED4800">
        <w:rPr>
          <w:lang w:val="pt-BR"/>
        </w:rPr>
        <w:t xml:space="preserve"> ou pela Emissora.</w:t>
      </w:r>
    </w:p>
    <w:p w14:paraId="6B26CA98" w14:textId="77777777" w:rsidR="00883C1A" w:rsidRPr="00ED4800" w:rsidRDefault="00883C1A" w:rsidP="00883C1A">
      <w:pPr>
        <w:pStyle w:val="Level3"/>
        <w:numPr>
          <w:ilvl w:val="2"/>
          <w:numId w:val="11"/>
        </w:numPr>
        <w:rPr>
          <w:lang w:val="pt-BR"/>
        </w:rPr>
      </w:pPr>
      <w:bookmarkStart w:id="239" w:name="_Ref517973862"/>
      <w:r w:rsidRPr="00ED4800">
        <w:rPr>
          <w:lang w:val="pt-BR"/>
        </w:rPr>
        <w:t xml:space="preserve">Caso a Emissora não utilize os recursos oriundos das Debêntures na forma prevista na Cláusula </w:t>
      </w:r>
      <w:r>
        <w:fldChar w:fldCharType="begin"/>
      </w:r>
      <w:r>
        <w:rPr>
          <w:lang w:val="pt-BR"/>
        </w:rPr>
        <w:instrText xml:space="preserve"> REF _Ref520464775 \r \h </w:instrText>
      </w:r>
      <w:r>
        <w:fldChar w:fldCharType="separate"/>
      </w:r>
      <w:r>
        <w:rPr>
          <w:lang w:val="pt-BR"/>
        </w:rPr>
        <w:t>4.1</w:t>
      </w:r>
      <w:r>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239"/>
    </w:p>
    <w:p w14:paraId="4A372599" w14:textId="77777777" w:rsidR="00883C1A" w:rsidRPr="00ED4800" w:rsidRDefault="00883C1A" w:rsidP="00883C1A">
      <w:pPr>
        <w:pStyle w:val="Level3"/>
        <w:numPr>
          <w:ilvl w:val="2"/>
          <w:numId w:val="11"/>
        </w:numPr>
        <w:rPr>
          <w:lang w:val="pt-BR"/>
        </w:rPr>
      </w:pPr>
      <w:r w:rsidRPr="00ED4800">
        <w:rPr>
          <w:lang w:val="pt-BR"/>
        </w:rPr>
        <w:t xml:space="preserve">Sem prejuízo da multa mencionada na Cláusula </w:t>
      </w:r>
      <w:r>
        <w:fldChar w:fldCharType="begin"/>
      </w:r>
      <w:r>
        <w:rPr>
          <w:lang w:val="pt-BR"/>
        </w:rPr>
        <w:instrText xml:space="preserve"> REF _Ref517973862 \r \h </w:instrText>
      </w:r>
      <w:r>
        <w:fldChar w:fldCharType="separate"/>
      </w:r>
      <w:r>
        <w:rPr>
          <w:lang w:val="pt-BR"/>
        </w:rPr>
        <w:t>5.23.4</w:t>
      </w:r>
      <w:r>
        <w:fldChar w:fldCharType="end"/>
      </w:r>
      <w:r w:rsidRPr="00ED4800">
        <w:rPr>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fldChar w:fldCharType="begin"/>
      </w:r>
      <w:r>
        <w:rPr>
          <w:lang w:val="pt-BR"/>
        </w:rPr>
        <w:instrText xml:space="preserve"> REF _Ref459767256 \r \h </w:instrText>
      </w:r>
      <w:r>
        <w:fldChar w:fldCharType="separate"/>
      </w:r>
      <w:r>
        <w:rPr>
          <w:lang w:val="pt-BR"/>
        </w:rPr>
        <w:t>4</w:t>
      </w:r>
      <w:r>
        <w:fldChar w:fldCharType="end"/>
      </w:r>
      <w:r w:rsidRPr="00ED4800">
        <w:rPr>
          <w:lang w:val="pt-BR"/>
        </w:rPr>
        <w:t xml:space="preserve"> desta Escritura de Emissão. </w:t>
      </w:r>
    </w:p>
    <w:p w14:paraId="40AA4C81" w14:textId="77777777" w:rsidR="00883C1A" w:rsidRPr="00975C89" w:rsidRDefault="00883C1A" w:rsidP="00883C1A">
      <w:pPr>
        <w:pStyle w:val="Level3"/>
        <w:numPr>
          <w:ilvl w:val="2"/>
          <w:numId w:val="11"/>
        </w:numPr>
        <w:rPr>
          <w:lang w:val="pt-BR"/>
        </w:rPr>
      </w:pPr>
      <w:bookmarkStart w:id="240" w:name="_Ref24987994"/>
      <w:bookmarkStart w:id="241" w:name="_Ref460948336"/>
      <w:bookmarkStart w:id="242" w:name="_Ref459890007"/>
      <w:bookmarkStart w:id="243" w:name="_Ref471223608"/>
      <w:bookmarkStart w:id="244" w:name="_Ref508136543"/>
      <w:bookmarkStart w:id="245" w:name="_Ref517974015"/>
      <w:r w:rsidRPr="00127724">
        <w:rPr>
          <w:lang w:val="pt-BR"/>
        </w:rPr>
        <w:t xml:space="preserve">Caso, a qualquer momento durante a vigência da presente Emissão e até a respectiva Data de Vencimento </w:t>
      </w:r>
      <w:r>
        <w:rPr>
          <w:lang w:val="pt-BR"/>
        </w:rPr>
        <w:t>(a)</w:t>
      </w:r>
      <w:r w:rsidRPr="00127724">
        <w:rPr>
          <w:lang w:val="pt-BR"/>
        </w:rPr>
        <w:t xml:space="preserve"> ocorra a perda do benefício tributário previsto na Lei 12.431, em razão do não atendimento, pela Emissora</w:t>
      </w:r>
      <w:r>
        <w:rPr>
          <w:lang w:val="pt-BR"/>
        </w:rPr>
        <w:t xml:space="preserve"> e/ou</w:t>
      </w:r>
      <w:r w:rsidRPr="00127724">
        <w:rPr>
          <w:lang w:val="pt-BR"/>
        </w:rPr>
        <w:t xml:space="preserve">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Pr>
          <w:lang w:val="pt-BR"/>
        </w:rPr>
        <w:t xml:space="preserve">; </w:t>
      </w:r>
      <w:r w:rsidRPr="00127724">
        <w:rPr>
          <w:lang w:val="pt-BR"/>
        </w:rPr>
        <w:t xml:space="preserve">(b) seja editada lei determinando a incidência de imposto sobre a renda retido na fonte sobre a Remuneração devida aos Debenturistas em alíquotas superiores àquelas em vigor na presente data, a Emissora poderá, a seu exclusivo critério, desde que permitido pelas regras expedidas pelo CMN e pela legislação e regulamentação aplicáveis, realizar </w:t>
      </w:r>
      <w:r w:rsidRPr="00B24079">
        <w:rPr>
          <w:lang w:val="pt-BR"/>
        </w:rPr>
        <w:t>Oferta de Resgate Antecipado Facultativo</w:t>
      </w:r>
      <w:r w:rsidRPr="00127724">
        <w:rPr>
          <w:lang w:val="pt-BR"/>
        </w:rPr>
        <w:t xml:space="preserve">, sendo que tal oferta deverá ser realizada em até 30 (trinta) dias a contar da data da edição da lei. </w:t>
      </w:r>
      <w:r w:rsidRPr="00975C89">
        <w:rPr>
          <w:lang w:val="pt-BR"/>
        </w:rPr>
        <w:t xml:space="preserve">Caso os Debenturistas </w:t>
      </w:r>
      <w:r>
        <w:rPr>
          <w:lang w:val="pt-BR"/>
        </w:rPr>
        <w:t>não aceitem tal oferta, estes</w:t>
      </w:r>
      <w:r w:rsidRPr="001A30E7">
        <w:rPr>
          <w:lang w:val="pt-BR"/>
        </w:rPr>
        <w:t xml:space="preserve"> passarão a arcar com todos os tributos que venham a ser devidos em razão da perda do tratamento tributário previsto na Lei 12.431. </w:t>
      </w:r>
      <w:r>
        <w:rPr>
          <w:lang w:val="pt-BR"/>
        </w:rPr>
        <w:t>C</w:t>
      </w:r>
      <w:r w:rsidRPr="001A30E7">
        <w:rPr>
          <w:lang w:val="pt-BR"/>
        </w:rPr>
        <w:t xml:space="preserve">aso a Emissora opte por não </w:t>
      </w:r>
      <w:r w:rsidRPr="00994B69">
        <w:rPr>
          <w:lang w:val="pt-BR"/>
        </w:rPr>
        <w:t xml:space="preserve">realizar a </w:t>
      </w:r>
      <w:r w:rsidRPr="008B53CF">
        <w:rPr>
          <w:lang w:val="pt-BR"/>
        </w:rPr>
        <w:t xml:space="preserve">Oferta de Resgate Antecipado Facultativo </w:t>
      </w:r>
      <w:r w:rsidRPr="00D342CA">
        <w:rPr>
          <w:lang w:val="pt-BR"/>
        </w:rPr>
        <w:t>acima referida, ou esta, por qualqu</w:t>
      </w:r>
      <w:r w:rsidRPr="001A30E7">
        <w:rPr>
          <w:lang w:val="pt-BR"/>
        </w:rPr>
        <w:t xml:space="preserve">er razão, não seja realizada pela Emissora, a Emissora deverá arcar com os tributos que venham a ser devidos pelos Debenturistas, </w:t>
      </w:r>
      <w:r w:rsidRPr="00975C89">
        <w:rPr>
          <w:lang w:val="pt-BR"/>
        </w:rPr>
        <w:t>acresce</w:t>
      </w:r>
      <w:r>
        <w:rPr>
          <w:lang w:val="pt-BR"/>
        </w:rPr>
        <w:t>ndo</w:t>
      </w:r>
      <w:r w:rsidRPr="00975C89">
        <w:rPr>
          <w:lang w:val="pt-BR"/>
        </w:rPr>
        <w:t xml:space="preserve">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240"/>
      <w:r w:rsidRPr="00975C89">
        <w:rPr>
          <w:lang w:val="pt-BR"/>
        </w:rPr>
        <w:t xml:space="preserve"> </w:t>
      </w:r>
      <w:bookmarkEnd w:id="241"/>
      <w:bookmarkEnd w:id="242"/>
      <w:bookmarkEnd w:id="243"/>
      <w:bookmarkEnd w:id="244"/>
      <w:bookmarkEnd w:id="245"/>
    </w:p>
    <w:p w14:paraId="6045B63F" w14:textId="77777777" w:rsidR="00883C1A" w:rsidRPr="009E6B2F" w:rsidRDefault="00883C1A" w:rsidP="00883C1A">
      <w:pPr>
        <w:pStyle w:val="Level2"/>
        <w:numPr>
          <w:ilvl w:val="1"/>
          <w:numId w:val="11"/>
        </w:numPr>
        <w:spacing w:before="140" w:after="0"/>
        <w:rPr>
          <w:b/>
        </w:rPr>
      </w:pPr>
      <w:r w:rsidRPr="009E6B2F">
        <w:rPr>
          <w:b/>
        </w:rPr>
        <w:t xml:space="preserve">Prorrogação dos Prazos </w:t>
      </w:r>
    </w:p>
    <w:p w14:paraId="6D6D705E" w14:textId="77777777" w:rsidR="00883C1A" w:rsidRDefault="00883C1A" w:rsidP="00883C1A">
      <w:pPr>
        <w:pStyle w:val="Level3"/>
        <w:numPr>
          <w:ilvl w:val="2"/>
          <w:numId w:val="11"/>
        </w:numPr>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14:paraId="1A7CAC0E" w14:textId="77777777" w:rsidR="00883C1A" w:rsidRPr="00662569" w:rsidRDefault="00883C1A" w:rsidP="00883C1A">
      <w:pPr>
        <w:pStyle w:val="Level3"/>
        <w:numPr>
          <w:ilvl w:val="2"/>
          <w:numId w:val="11"/>
        </w:numPr>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w:t>
      </w:r>
      <w:r>
        <w:rPr>
          <w:lang w:val="pt-BR"/>
        </w:rPr>
        <w:t xml:space="preserve">pecuniária </w:t>
      </w:r>
      <w:r w:rsidRPr="009E6B2F">
        <w:rPr>
          <w:lang w:val="pt-BR"/>
        </w:rPr>
        <w:t xml:space="preserve">realizada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w:t>
      </w:r>
      <w:r>
        <w:rPr>
          <w:lang w:val="pt-BR"/>
        </w:rPr>
        <w:t xml:space="preserve">inclusive para fins de cálculo, </w:t>
      </w:r>
      <w:r w:rsidRPr="009E6B2F">
        <w:rPr>
          <w:lang w:val="pt-BR"/>
        </w:rPr>
        <w:t>qualquer dia que não seja sábado, domingo ou feriado declarado nacional; (</w:t>
      </w:r>
      <w:proofErr w:type="spellStart"/>
      <w:r w:rsidRPr="009E6B2F">
        <w:rPr>
          <w:lang w:val="pt-BR"/>
        </w:rPr>
        <w:t>ii</w:t>
      </w:r>
      <w:proofErr w:type="spellEnd"/>
      <w:r w:rsidRPr="009E6B2F">
        <w:rPr>
          <w:lang w:val="pt-BR"/>
        </w:rPr>
        <w:t xml:space="preserve">) com relação a qualquer obrigação </w:t>
      </w:r>
      <w:r>
        <w:rPr>
          <w:lang w:val="pt-BR"/>
        </w:rPr>
        <w:t xml:space="preserve">não pecuniária e pecuniária </w:t>
      </w:r>
      <w:r w:rsidRPr="009E6B2F">
        <w:rPr>
          <w:lang w:val="pt-BR"/>
        </w:rPr>
        <w:t xml:space="preserve">que não seja realizada por meio da </w:t>
      </w:r>
      <w:r>
        <w:rPr>
          <w:lang w:val="pt-BR"/>
        </w:rPr>
        <w:t xml:space="preserve">B3 – Segmento </w:t>
      </w:r>
      <w:proofErr w:type="spellStart"/>
      <w:r>
        <w:rPr>
          <w:lang w:val="pt-BR"/>
        </w:rPr>
        <w:t>Cetip</w:t>
      </w:r>
      <w:proofErr w:type="spellEnd"/>
      <w:r>
        <w:rPr>
          <w:lang w:val="pt-BR"/>
        </w:rPr>
        <w:t xml:space="preserve">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3BE149C3" w14:textId="77777777" w:rsidR="00883C1A" w:rsidRPr="00662569" w:rsidRDefault="00883C1A" w:rsidP="00883C1A">
      <w:pPr>
        <w:pStyle w:val="Level2"/>
        <w:numPr>
          <w:ilvl w:val="1"/>
          <w:numId w:val="11"/>
        </w:numPr>
        <w:spacing w:before="140" w:after="0"/>
      </w:pPr>
      <w:r>
        <w:rPr>
          <w:b/>
        </w:rPr>
        <w:t>Direito ao Recebimento dos Pagamentos</w:t>
      </w:r>
    </w:p>
    <w:p w14:paraId="4CD78BEA" w14:textId="77777777" w:rsidR="00883C1A" w:rsidRPr="009E6B2F" w:rsidRDefault="00883C1A" w:rsidP="00883C1A">
      <w:pPr>
        <w:pStyle w:val="Level3"/>
        <w:numPr>
          <w:ilvl w:val="2"/>
          <w:numId w:val="11"/>
        </w:numPr>
        <w:spacing w:before="140" w:after="0"/>
        <w:rPr>
          <w:lang w:val="pt-BR"/>
        </w:rPr>
      </w:pPr>
      <w:r w:rsidRPr="00D733B0">
        <w:rPr>
          <w:lang w:val="pt-BR"/>
        </w:rPr>
        <w:t xml:space="preserve">Farão jus ao recebimento de qualquer valor devido aos Debenturistas nos termos desta Escritura de Emissão aqueles que </w:t>
      </w:r>
      <w:proofErr w:type="gramStart"/>
      <w:r w:rsidRPr="00D733B0">
        <w:rPr>
          <w:lang w:val="pt-BR"/>
        </w:rPr>
        <w:t>forem Debenturistas</w:t>
      </w:r>
      <w:proofErr w:type="gramEnd"/>
      <w:r w:rsidRPr="00D733B0">
        <w:rPr>
          <w:lang w:val="pt-BR"/>
        </w:rPr>
        <w:t xml:space="preserve"> no encerramento do Dia Útil imediatamente anterior à respectiva data de pagamento.</w:t>
      </w:r>
      <w:r>
        <w:rPr>
          <w:lang w:val="pt-BR"/>
        </w:rPr>
        <w:t xml:space="preserve"> </w:t>
      </w:r>
    </w:p>
    <w:p w14:paraId="041F7431" w14:textId="77777777" w:rsidR="00883C1A" w:rsidRPr="009E6B2F" w:rsidRDefault="00883C1A" w:rsidP="00883C1A">
      <w:pPr>
        <w:pStyle w:val="Level2"/>
        <w:numPr>
          <w:ilvl w:val="1"/>
          <w:numId w:val="11"/>
        </w:numPr>
        <w:spacing w:before="140" w:after="0"/>
        <w:rPr>
          <w:b/>
        </w:rPr>
      </w:pPr>
      <w:r w:rsidRPr="009E6B2F">
        <w:rPr>
          <w:b/>
        </w:rPr>
        <w:t>Encargos Moratórios</w:t>
      </w:r>
    </w:p>
    <w:p w14:paraId="45B929A8" w14:textId="77777777" w:rsidR="00883C1A" w:rsidRPr="009E6B2F" w:rsidRDefault="00883C1A" w:rsidP="00883C1A">
      <w:pPr>
        <w:pStyle w:val="Level3"/>
        <w:numPr>
          <w:ilvl w:val="2"/>
          <w:numId w:val="11"/>
        </w:numPr>
        <w:spacing w:before="140" w:after="0"/>
        <w:rPr>
          <w:lang w:val="pt-BR"/>
        </w:rPr>
      </w:pPr>
      <w:r w:rsidRPr="009E6B2F">
        <w:rPr>
          <w:lang w:val="pt-BR"/>
        </w:rPr>
        <w:t xml:space="preserve">Ocorrendo impontualidade no pagamento pela Emissora de qualquer valor devido aos Debenturistas nos termos desta Escritura de Emissão, adicionalmente ao pagamento </w:t>
      </w:r>
      <w:r>
        <w:rPr>
          <w:lang w:val="pt-BR"/>
        </w:rPr>
        <w:t xml:space="preserve">da </w:t>
      </w:r>
      <w:r w:rsidRPr="009E6B2F">
        <w:rPr>
          <w:lang w:val="pt-BR"/>
        </w:rPr>
        <w:t xml:space="preserve">Remuneração, calculada </w:t>
      </w:r>
      <w:r w:rsidRPr="009E6B2F">
        <w:rPr>
          <w:i/>
          <w:lang w:val="pt-BR"/>
        </w:rPr>
        <w:t xml:space="preserve">pro rata </w:t>
      </w:r>
      <w:proofErr w:type="spellStart"/>
      <w:r w:rsidRPr="009E6B2F">
        <w:rPr>
          <w:i/>
          <w:lang w:val="pt-BR"/>
        </w:rPr>
        <w:t>temporis</w:t>
      </w:r>
      <w:proofErr w:type="spellEnd"/>
      <w:r w:rsidRPr="009E6B2F">
        <w:rPr>
          <w:lang w:val="pt-BR"/>
        </w:rPr>
        <w:t xml:space="preserve"> desde a </w:t>
      </w:r>
      <w:r w:rsidRPr="009E6B2F">
        <w:rPr>
          <w:color w:val="000000"/>
          <w:szCs w:val="20"/>
          <w:lang w:val="pt-BR"/>
        </w:rPr>
        <w:t xml:space="preserve">primeira </w:t>
      </w:r>
      <w:r w:rsidRPr="009E6B2F">
        <w:rPr>
          <w:lang w:val="pt-BR"/>
        </w:rPr>
        <w:t xml:space="preserve">Data de Integralização ou a data de pagamento da respectiva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 xml:space="preserve">pro rata </w:t>
      </w:r>
      <w:proofErr w:type="spellStart"/>
      <w:r w:rsidRPr="009E6B2F">
        <w:rPr>
          <w:i/>
          <w:iCs/>
          <w:lang w:val="pt-BR"/>
        </w:rPr>
        <w:t>temporis</w:t>
      </w:r>
      <w:proofErr w:type="spellEnd"/>
      <w:r w:rsidRPr="009E6B2F">
        <w:rPr>
          <w:lang w:val="pt-BR"/>
        </w:rPr>
        <w:t>, desde a data de inadimplemento até a data do efetivo pagamento; e (</w:t>
      </w:r>
      <w:proofErr w:type="spellStart"/>
      <w:r w:rsidRPr="009E6B2F">
        <w:rPr>
          <w:lang w:val="pt-BR"/>
        </w:rPr>
        <w:t>ii</w:t>
      </w:r>
      <w:proofErr w:type="spellEnd"/>
      <w:r w:rsidRPr="009E6B2F">
        <w:rPr>
          <w:lang w:val="pt-BR"/>
        </w:rPr>
        <w:t>) multa convencional, irredutível e não compensatória, de 2% (dois por cento)</w:t>
      </w:r>
      <w:r>
        <w:rPr>
          <w:lang w:val="pt-BR"/>
        </w:rPr>
        <w:t xml:space="preserve"> </w:t>
      </w:r>
      <w:r w:rsidRPr="009E6B2F">
        <w:rPr>
          <w:lang w:val="pt-BR"/>
        </w:rPr>
        <w:t>(“</w:t>
      </w:r>
      <w:r w:rsidRPr="009E6B2F">
        <w:rPr>
          <w:b/>
          <w:lang w:val="pt-BR"/>
        </w:rPr>
        <w:t>Encargos Moratórios</w:t>
      </w:r>
      <w:r w:rsidRPr="009E6B2F">
        <w:rPr>
          <w:lang w:val="pt-BR"/>
        </w:rPr>
        <w:t xml:space="preserve">”). </w:t>
      </w:r>
    </w:p>
    <w:p w14:paraId="6B7FF229" w14:textId="77777777" w:rsidR="00883C1A" w:rsidRPr="009E6B2F" w:rsidRDefault="00883C1A" w:rsidP="00883C1A">
      <w:pPr>
        <w:pStyle w:val="Level2"/>
        <w:numPr>
          <w:ilvl w:val="1"/>
          <w:numId w:val="11"/>
        </w:numPr>
        <w:spacing w:before="140" w:after="0"/>
        <w:rPr>
          <w:b/>
        </w:rPr>
      </w:pPr>
      <w:r w:rsidRPr="009E6B2F">
        <w:rPr>
          <w:b/>
        </w:rPr>
        <w:t xml:space="preserve">Decadência dos Direitos aos Acréscimos </w:t>
      </w:r>
    </w:p>
    <w:p w14:paraId="267A10D2" w14:textId="77777777" w:rsidR="00883C1A" w:rsidRPr="009E6B2F" w:rsidRDefault="00883C1A" w:rsidP="00883C1A">
      <w:pPr>
        <w:pStyle w:val="Level3"/>
        <w:numPr>
          <w:ilvl w:val="2"/>
          <w:numId w:val="11"/>
        </w:numPr>
        <w:spacing w:before="140" w:after="0"/>
        <w:rPr>
          <w:lang w:val="pt-BR"/>
        </w:rPr>
      </w:pPr>
      <w:r w:rsidRPr="009E6B2F">
        <w:rPr>
          <w:lang w:val="pt-BR"/>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33E420EE" w14:textId="77777777" w:rsidR="00883C1A" w:rsidRPr="009E6B2F" w:rsidRDefault="00883C1A" w:rsidP="00883C1A">
      <w:pPr>
        <w:pStyle w:val="Level2"/>
        <w:numPr>
          <w:ilvl w:val="1"/>
          <w:numId w:val="11"/>
        </w:numPr>
        <w:spacing w:before="140" w:after="0"/>
        <w:rPr>
          <w:b/>
        </w:rPr>
      </w:pPr>
      <w:bookmarkStart w:id="246" w:name="_Ref420336525"/>
      <w:r w:rsidRPr="009E6B2F">
        <w:rPr>
          <w:b/>
        </w:rPr>
        <w:t>Publicidade</w:t>
      </w:r>
      <w:bookmarkEnd w:id="246"/>
      <w:r w:rsidRPr="009E6B2F">
        <w:t xml:space="preserve"> </w:t>
      </w:r>
    </w:p>
    <w:p w14:paraId="51D01FBB" w14:textId="77777777" w:rsidR="00883C1A" w:rsidRDefault="00883C1A" w:rsidP="00883C1A">
      <w:pPr>
        <w:pStyle w:val="Level3"/>
        <w:numPr>
          <w:ilvl w:val="2"/>
          <w:numId w:val="11"/>
        </w:numPr>
        <w:spacing w:before="140" w:after="0"/>
        <w:rPr>
          <w:lang w:val="pt-BR"/>
        </w:rPr>
      </w:pPr>
      <w:bookmarkStart w:id="247"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Pr>
          <w:lang w:val="pt-BR"/>
        </w:rPr>
        <w:t>DOERJ</w:t>
      </w:r>
      <w:r w:rsidRPr="009E6B2F">
        <w:rPr>
          <w:lang w:val="pt-BR"/>
        </w:rPr>
        <w:t xml:space="preserve"> e no jorna</w:t>
      </w:r>
      <w:r>
        <w:rPr>
          <w:lang w:val="pt-BR"/>
        </w:rPr>
        <w:t>l</w:t>
      </w:r>
      <w:r w:rsidRPr="009E6B2F">
        <w:rPr>
          <w:lang w:val="pt-BR"/>
        </w:rPr>
        <w:t xml:space="preserve"> “</w:t>
      </w:r>
      <w:r>
        <w:rPr>
          <w:color w:val="000000"/>
          <w:lang w:val="pt-BR"/>
        </w:rPr>
        <w:t>Valor”</w:t>
      </w:r>
      <w:r w:rsidRPr="009E6B2F">
        <w:rPr>
          <w:lang w:val="pt-BR"/>
        </w:rPr>
        <w:t xml:space="preserve">, utilizados pela Emissora para efetuar as publicações ordenadas pela Lei das Sociedades por Ações, observado que as publicações relacionadas à Oferta serão feitas nos termos da Instrução CVM </w:t>
      </w:r>
      <w:r>
        <w:rPr>
          <w:lang w:val="pt-BR"/>
        </w:rPr>
        <w:t>476</w:t>
      </w:r>
      <w:r w:rsidRPr="009E6B2F">
        <w:rPr>
          <w:lang w:val="pt-BR"/>
        </w:rPr>
        <w:t xml:space="preserve">. </w:t>
      </w:r>
      <w:r>
        <w:rPr>
          <w:lang w:val="pt-BR"/>
        </w:rPr>
        <w:t>O “Aviso aos Debenturistas” também deverá ser divulgado nas páginas da rede mundial de computadores da Emissora, da B3 e da CVM.</w:t>
      </w:r>
    </w:p>
    <w:p w14:paraId="385E1789" w14:textId="77777777" w:rsidR="00883C1A" w:rsidRDefault="00883C1A" w:rsidP="00883C1A">
      <w:pPr>
        <w:pStyle w:val="Level3"/>
        <w:numPr>
          <w:ilvl w:val="2"/>
          <w:numId w:val="11"/>
        </w:numPr>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Pr>
          <w:lang w:val="pt-BR"/>
        </w:rPr>
        <w:t>pode</w:t>
      </w:r>
      <w:r w:rsidRPr="009E6B2F">
        <w:rPr>
          <w:lang w:val="pt-BR"/>
        </w:rPr>
        <w:t>ndo os Debenturistas verificar com o Agente Fiduciário sobre a eventual alteração do jornal de publicação.</w:t>
      </w:r>
      <w:bookmarkEnd w:id="247"/>
    </w:p>
    <w:p w14:paraId="0CB9AB01" w14:textId="77777777" w:rsidR="00883C1A" w:rsidRPr="00ED4800" w:rsidRDefault="00883C1A" w:rsidP="00883C1A">
      <w:pPr>
        <w:pStyle w:val="Level2"/>
        <w:numPr>
          <w:ilvl w:val="1"/>
          <w:numId w:val="11"/>
        </w:numPr>
        <w:rPr>
          <w:b/>
        </w:rPr>
      </w:pPr>
      <w:bookmarkStart w:id="248" w:name="_Ref528262217"/>
      <w:r w:rsidRPr="00ED4800">
        <w:rPr>
          <w:b/>
        </w:rPr>
        <w:t>Garantia Real</w:t>
      </w:r>
      <w:bookmarkEnd w:id="248"/>
    </w:p>
    <w:p w14:paraId="49E1FCBC" w14:textId="77777777" w:rsidR="00883C1A" w:rsidRPr="00ED4800" w:rsidRDefault="00883C1A" w:rsidP="00883C1A">
      <w:pPr>
        <w:pStyle w:val="Level3"/>
        <w:numPr>
          <w:ilvl w:val="2"/>
          <w:numId w:val="11"/>
        </w:numPr>
        <w:rPr>
          <w:lang w:val="pt-BR"/>
        </w:rPr>
      </w:pPr>
      <w:r w:rsidRPr="00ED4800">
        <w:rPr>
          <w:lang w:val="pt-BR"/>
        </w:rPr>
        <w:t xml:space="preserve">Como garantia do fiel, pontual e integral cumprimento de todas e quaisquer Obrigações Garantidas (conforme abaixo definido), as Debêntures serão garantidas pelas seguintes garantias reais: </w:t>
      </w:r>
    </w:p>
    <w:p w14:paraId="7DA99B0D" w14:textId="77777777" w:rsidR="00883C1A" w:rsidRPr="00ED4800" w:rsidRDefault="00883C1A" w:rsidP="00883C1A">
      <w:pPr>
        <w:pStyle w:val="Level4"/>
        <w:numPr>
          <w:ilvl w:val="3"/>
          <w:numId w:val="11"/>
        </w:numPr>
      </w:pPr>
      <w:r>
        <w:t>alienação fiduciária</w:t>
      </w:r>
      <w:r w:rsidRPr="00ED4800">
        <w:t xml:space="preserve">, </w:t>
      </w:r>
      <w:r>
        <w:t>pela Emissora</w:t>
      </w:r>
      <w:r w:rsidRPr="00ED4800">
        <w:t xml:space="preserve">, em favor dos </w:t>
      </w:r>
      <w:r w:rsidRPr="00ED4800">
        <w:rPr>
          <w:rFonts w:eastAsia="Arial Unicode MS"/>
          <w:w w:val="0"/>
        </w:rPr>
        <w:t>Debenturistas</w:t>
      </w:r>
      <w:r w:rsidRPr="00ED4800">
        <w:t xml:space="preserve">, representados pelo Agente Fiduciário, </w:t>
      </w:r>
      <w:r>
        <w:t xml:space="preserve">(a) </w:t>
      </w:r>
      <w:r w:rsidRPr="00ED4800">
        <w:t>da totalidade das ações de emissão d</w:t>
      </w:r>
      <w:r>
        <w:t>e</w:t>
      </w:r>
      <w:r w:rsidRPr="00ED4800">
        <w:t xml:space="preserve"> </w:t>
      </w:r>
      <w:r>
        <w:t>Sant’Ana Transmissora de Energia S.A. (“</w:t>
      </w:r>
      <w:r w:rsidRPr="00ED4800">
        <w:rPr>
          <w:b/>
        </w:rPr>
        <w:t>Garantidora</w:t>
      </w:r>
      <w:r>
        <w:t>”) de titularidade da Emissora</w:t>
      </w:r>
      <w:r w:rsidRPr="00ED4800">
        <w:t xml:space="preserve"> </w:t>
      </w:r>
      <w:r>
        <w:t xml:space="preserve">e (b) de conta vinculada onde serão depositados os recursos oriundos do pagamento e/ou da distribuição dos lucros, dividendos, juros sobre o capital próprio e todos os demais valores que de qualquer outra forma </w:t>
      </w:r>
      <w:r w:rsidRPr="008C0303">
        <w:t>venham a ser declarados e</w:t>
      </w:r>
      <w:r>
        <w:t>/ou</w:t>
      </w:r>
      <w:r w:rsidRPr="008C0303">
        <w:t xml:space="preserve"> distribuídos da Garantidora à Emissora</w:t>
      </w:r>
      <w:r>
        <w:t xml:space="preserve"> </w:t>
      </w:r>
      <w:r w:rsidRPr="00ED4800">
        <w:t>(“</w:t>
      </w:r>
      <w:r>
        <w:rPr>
          <w:b/>
        </w:rPr>
        <w:t xml:space="preserve">Alienação Fiduciária </w:t>
      </w:r>
      <w:r w:rsidRPr="00ED4800">
        <w:rPr>
          <w:b/>
        </w:rPr>
        <w:t>de Ações</w:t>
      </w:r>
      <w:r w:rsidRPr="00ED4800">
        <w:t>”), nos termos e condições a serem estabelecidos no “</w:t>
      </w:r>
      <w:r w:rsidRPr="00ED4800">
        <w:rPr>
          <w:i/>
        </w:rPr>
        <w:t xml:space="preserve">Instrumento Particular de Contrato de </w:t>
      </w:r>
      <w:r>
        <w:rPr>
          <w:i/>
        </w:rPr>
        <w:t xml:space="preserve">Alienação Fiduciária </w:t>
      </w:r>
      <w:r w:rsidRPr="00ED4800">
        <w:rPr>
          <w:i/>
        </w:rPr>
        <w:t>de Ações e Outras Avenças</w:t>
      </w:r>
      <w:r w:rsidRPr="00ED4800">
        <w:t xml:space="preserve">”, a ser celebrado entre </w:t>
      </w:r>
      <w:r>
        <w:t>a Emissora, na qualidade de única acionista da Garantidora</w:t>
      </w:r>
      <w:r w:rsidRPr="00ED4800">
        <w:t>,</w:t>
      </w:r>
      <w:r w:rsidRPr="00ED4800">
        <w:rPr>
          <w:rFonts w:eastAsia="Arial Unicode MS"/>
          <w:w w:val="0"/>
        </w:rPr>
        <w:t xml:space="preserve"> o Agente Fiduciário, na qualidade de representante dos Debenturistas</w:t>
      </w:r>
      <w:r w:rsidRPr="00ED4800">
        <w:t xml:space="preserve">, e </w:t>
      </w:r>
      <w:r>
        <w:t>a Garantidora</w:t>
      </w:r>
      <w:r w:rsidRPr="00ED4800">
        <w:t xml:space="preserve"> na qualidade de interveniente anuente (“</w:t>
      </w:r>
      <w:r w:rsidRPr="00ED4800">
        <w:rPr>
          <w:b/>
        </w:rPr>
        <w:t xml:space="preserve">Contrato de </w:t>
      </w:r>
      <w:r>
        <w:rPr>
          <w:b/>
        </w:rPr>
        <w:t>Alienação Fiduciária</w:t>
      </w:r>
      <w:r w:rsidRPr="00ED4800">
        <w:rPr>
          <w:b/>
        </w:rPr>
        <w:t xml:space="preserve"> de Ações</w:t>
      </w:r>
      <w:r w:rsidRPr="00ED4800">
        <w:t>”);</w:t>
      </w:r>
      <w:r>
        <w:t xml:space="preserve"> </w:t>
      </w:r>
    </w:p>
    <w:p w14:paraId="6EAE2AFF" w14:textId="77777777" w:rsidR="00883C1A" w:rsidRPr="00134F48" w:rsidRDefault="00883C1A" w:rsidP="00883C1A">
      <w:pPr>
        <w:pStyle w:val="Level4"/>
        <w:numPr>
          <w:ilvl w:val="3"/>
          <w:numId w:val="11"/>
        </w:numPr>
      </w:pPr>
      <w:r w:rsidRPr="00BC6A47">
        <w:t>cessão fiduciária, em caráter irrevogável e irretratável, em favor dos Debenturistas</w:t>
      </w:r>
      <w:r w:rsidRPr="00CC6411">
        <w:t>, representados pelo Agente Fiduciário,</w:t>
      </w:r>
      <w:r>
        <w:t xml:space="preserve"> pela Garantidora, (a) </w:t>
      </w:r>
      <w:r w:rsidRPr="008460D5">
        <w:t xml:space="preserve">da totalidade dos direitos creditórios </w:t>
      </w:r>
      <w:r w:rsidRPr="008460D5">
        <w:rPr>
          <w:b/>
        </w:rPr>
        <w:t>(1)</w:t>
      </w:r>
      <w:r w:rsidRPr="008460D5">
        <w:t xml:space="preserve"> emergentes do Contrato de Concessão de Serviço Público de Transmissão de Energia Elétrica nº </w:t>
      </w:r>
      <w:r>
        <w:t>12/2019</w:t>
      </w:r>
      <w:r w:rsidRPr="008460D5">
        <w:t xml:space="preserve">-ANEEL, celebrado em </w:t>
      </w:r>
      <w:r w:rsidRPr="00D3452E">
        <w:t>22 de março de 2019</w:t>
      </w:r>
      <w:r w:rsidRPr="008460D5">
        <w:t xml:space="preserve">, entre a União, representada pela Agência Nacional de Energia Elétrica - ANEEL, e a </w:t>
      </w:r>
      <w:r>
        <w:t>Garantidora</w:t>
      </w:r>
      <w:r w:rsidRPr="008460D5">
        <w:t>, e seus posteriores aditivos (“</w:t>
      </w:r>
      <w:r w:rsidRPr="008460D5">
        <w:rPr>
          <w:b/>
        </w:rPr>
        <w:t>Contrato de Concessão</w:t>
      </w:r>
      <w:r w:rsidRPr="008460D5">
        <w:t xml:space="preserve">”); </w:t>
      </w:r>
      <w:r w:rsidRPr="008460D5">
        <w:rPr>
          <w:b/>
        </w:rPr>
        <w:t>(2)</w:t>
      </w:r>
      <w:r w:rsidRPr="008460D5">
        <w:t xml:space="preserve"> provenientes do Contrato de Prestação de Serviços de Transmissão nº </w:t>
      </w:r>
      <w:r w:rsidRPr="00D3452E">
        <w:t>012/2019</w:t>
      </w:r>
      <w:r w:rsidRPr="008460D5">
        <w:t xml:space="preserve">, firmado entre a </w:t>
      </w:r>
      <w:r>
        <w:t>Garantidora</w:t>
      </w:r>
      <w:r w:rsidRPr="008460D5">
        <w:t xml:space="preserve"> e o Operador Nacional do Sistema Elétrico – ONS (“</w:t>
      </w:r>
      <w:r w:rsidRPr="008460D5">
        <w:rPr>
          <w:b/>
        </w:rPr>
        <w:t>ONS</w:t>
      </w:r>
      <w:r w:rsidRPr="008460D5">
        <w:t xml:space="preserve">"), </w:t>
      </w:r>
      <w:r w:rsidRPr="00BC37ED">
        <w:t xml:space="preserve">em </w:t>
      </w:r>
      <w:r w:rsidRPr="00AC4925">
        <w:t>13 de junho de 2019</w:t>
      </w:r>
      <w:r w:rsidRPr="00BC37ED">
        <w:t>,</w:t>
      </w:r>
      <w:r w:rsidRPr="008460D5">
        <w:t xml:space="preserve"> e seus posteriores aditivos (“</w:t>
      </w:r>
      <w:r w:rsidRPr="008460D5">
        <w:rPr>
          <w:b/>
        </w:rPr>
        <w:t>CPST</w:t>
      </w:r>
      <w:r w:rsidRPr="008460D5">
        <w:t xml:space="preserve">”); </w:t>
      </w:r>
      <w:r w:rsidRPr="008460D5">
        <w:rPr>
          <w:b/>
        </w:rPr>
        <w:t>(3)</w:t>
      </w:r>
      <w:r w:rsidRPr="008460D5">
        <w:t xml:space="preserve"> todos os demais direitos, corpóreos ou incorpóreos, potenciais ou não, da Garantidora que possam ser objeto de cessão fiduciária de acordo com as normas legais e regulamentares aplicáveis, decorrentes do Contrato de Concessão, do CPST, ou decorrentes, a qualquer título, da prestação de serviços de transmissão de energia elétrica pela Garantidora compreendendo, mas não se limitando: (a) o direito de receber todos e quaisquer valores que, efetiva ou potencialmente, sejam ou venham a se tornar exigíveis e pendentes de pagamento pelo poder concedente à Garantidora, incluído o direito de receber todas as indenizações pela extinção da concessão outorgada nos termos do Contrato de Concessão; (b) os direitos creditórios da Garantidora, provenientes da prestação de serviços de transmissão de energia elétrica, previstos no Contrato de Concessão e no CPST, inclusive a totalidade da receita proveniente da prestação dos serviços de transmissão; </w:t>
      </w:r>
      <w:r w:rsidRPr="008460D5">
        <w:rPr>
          <w:b/>
        </w:rPr>
        <w:t>(4)</w:t>
      </w:r>
      <w:r w:rsidRPr="008460D5">
        <w:t xml:space="preserve"> os direitos creditórios de conta vinculada na qual serão depositados todos os recursos provenientes dos direitos cedidos nos itens (1), (2) e (3) desta Cláusula (“</w:t>
      </w:r>
      <w:r w:rsidRPr="008460D5">
        <w:rPr>
          <w:b/>
        </w:rPr>
        <w:t>Conta Vinculada</w:t>
      </w:r>
      <w:r w:rsidRPr="008460D5">
        <w:t>”)</w:t>
      </w:r>
      <w:r>
        <w:t>,</w:t>
      </w:r>
      <w:r w:rsidRPr="008460D5">
        <w:t xml:space="preserve"> </w:t>
      </w:r>
      <w:r w:rsidRPr="008C0303">
        <w:t>(b) pela Emissora, de conta vinculada onde serão depositados recursos correspondentes a, pelo menos, o valor da próxima parcela do Valor Nominal Unitário Atualizado, acrescido do valor da próxima parcela da Remuneração</w:t>
      </w:r>
      <w:r>
        <w:t xml:space="preserve"> </w:t>
      </w:r>
      <w:r w:rsidRPr="008460D5">
        <w:t>(</w:t>
      </w:r>
      <w:r>
        <w:t>“</w:t>
      </w:r>
      <w:r w:rsidRPr="00AC4925">
        <w:rPr>
          <w:b/>
        </w:rPr>
        <w:t>Conta de Pagamento Debêntures</w:t>
      </w:r>
      <w:r>
        <w:t xml:space="preserve">”, </w:t>
      </w:r>
      <w:r w:rsidRPr="008460D5">
        <w:t>“</w:t>
      </w:r>
      <w:r w:rsidRPr="008460D5">
        <w:rPr>
          <w:b/>
        </w:rPr>
        <w:t>Cessã</w:t>
      </w:r>
      <w:r w:rsidRPr="00ED4800">
        <w:rPr>
          <w:b/>
        </w:rPr>
        <w:t>o Fiduciária</w:t>
      </w:r>
      <w:r>
        <w:t>” e, este último, em conjunto com a Alienação Fiduciária de Ações, “</w:t>
      </w:r>
      <w:r w:rsidRPr="00ED4800">
        <w:rPr>
          <w:b/>
        </w:rPr>
        <w:t>Garantias Reais</w:t>
      </w:r>
      <w:r>
        <w:t>”)</w:t>
      </w:r>
      <w:r w:rsidRPr="00DD3380">
        <w:t>, nos termos e condições a serem estabelecidos no “</w:t>
      </w:r>
      <w:r w:rsidRPr="00DD3380">
        <w:rPr>
          <w:i/>
        </w:rPr>
        <w:t xml:space="preserve">Instrumento Particular de Contrato de </w:t>
      </w:r>
      <w:r>
        <w:rPr>
          <w:i/>
        </w:rPr>
        <w:t>Cessão Fiduciária</w:t>
      </w:r>
      <w:r w:rsidRPr="00DD3380">
        <w:rPr>
          <w:i/>
        </w:rPr>
        <w:t xml:space="preserve"> e Outras Avenças</w:t>
      </w:r>
      <w:r w:rsidRPr="00DD3380">
        <w:t xml:space="preserve">”, a ser celebrado entre </w:t>
      </w:r>
      <w:r>
        <w:t>a Emissora, a Garantidora e</w:t>
      </w:r>
      <w:r w:rsidRPr="00DD3380">
        <w:rPr>
          <w:rFonts w:eastAsia="Arial Unicode MS"/>
          <w:w w:val="0"/>
        </w:rPr>
        <w:t xml:space="preserve"> o Agente Fiduciário, na qualidade de representante dos Debenturistas</w:t>
      </w:r>
      <w:r>
        <w:t xml:space="preserve"> </w:t>
      </w:r>
      <w:r w:rsidRPr="00DD3380">
        <w:t>(“</w:t>
      </w:r>
      <w:r w:rsidRPr="00DD3380">
        <w:rPr>
          <w:b/>
        </w:rPr>
        <w:t xml:space="preserve">Contrato de </w:t>
      </w:r>
      <w:r>
        <w:rPr>
          <w:b/>
        </w:rPr>
        <w:t>Cessão Fiduciária</w:t>
      </w:r>
      <w:r w:rsidRPr="00DD3380">
        <w:t>”</w:t>
      </w:r>
      <w:r>
        <w:t xml:space="preserve"> e, em conjunto com o Contrato de Alienação Fiduciária de Ações</w:t>
      </w:r>
      <w:r w:rsidRPr="00BC6A47">
        <w:t>, os “</w:t>
      </w:r>
      <w:r w:rsidRPr="00BC6A47">
        <w:rPr>
          <w:b/>
        </w:rPr>
        <w:t>Contratos de Garantia</w:t>
      </w:r>
      <w:r w:rsidRPr="00BC6A47">
        <w:t>”)</w:t>
      </w:r>
      <w:r>
        <w:t xml:space="preserve">. Conforme previsto no Contrato de Cessão Fiduciária, após a celebração </w:t>
      </w:r>
      <w:r w:rsidRPr="008C2542">
        <w:t xml:space="preserve">dos Contratos de Uso do Sistema de Transmissão, entre o ONS </w:t>
      </w:r>
      <w:r>
        <w:t>(representando</w:t>
      </w:r>
      <w:r w:rsidRPr="008C2542">
        <w:t xml:space="preserve"> as concessionárias de transmissão</w:t>
      </w:r>
      <w:r>
        <w:t>)</w:t>
      </w:r>
      <w:r w:rsidRPr="008C2542">
        <w:t xml:space="preserve"> e as usuárias do sistema de transmissão (“</w:t>
      </w:r>
      <w:proofErr w:type="spellStart"/>
      <w:r w:rsidRPr="008C2542">
        <w:rPr>
          <w:b/>
        </w:rPr>
        <w:t>CUSTs</w:t>
      </w:r>
      <w:proofErr w:type="spellEnd"/>
      <w:r w:rsidRPr="008C2542">
        <w:t>”),</w:t>
      </w:r>
      <w:r>
        <w:t xml:space="preserve"> os direitos creditórios e recebíveis decorrentes de tais contratos passarão a integrar a Cessão Fiduciária, sendo certo que nenhuma autorização adicional societária ou dos Debenturistas se fará necessária para tal inclusão.</w:t>
      </w:r>
    </w:p>
    <w:p w14:paraId="2AB45A6B" w14:textId="77777777" w:rsidR="00883C1A" w:rsidRPr="00ED4800" w:rsidRDefault="00883C1A" w:rsidP="00883C1A">
      <w:pPr>
        <w:pStyle w:val="Level2"/>
        <w:numPr>
          <w:ilvl w:val="1"/>
          <w:numId w:val="11"/>
        </w:numPr>
        <w:rPr>
          <w:b/>
        </w:rPr>
      </w:pPr>
      <w:r w:rsidRPr="00ED4800">
        <w:t>Para os fins do disposto nesta Escritura de Emissão, “</w:t>
      </w:r>
      <w:r w:rsidRPr="00ED4800">
        <w:rPr>
          <w:b/>
        </w:rPr>
        <w:t>Obrigações Garantidas</w:t>
      </w:r>
      <w:r w:rsidRPr="00ED4800">
        <w:t>” significa todas e quaisquer obrigações principais e acessórias, presentes e futuras, relativas às Debêntures</w:t>
      </w:r>
      <w:r>
        <w:t xml:space="preserve"> </w:t>
      </w:r>
      <w:r w:rsidRPr="00ED4800">
        <w:t xml:space="preserve">assumidas pela Emissora na presente Emissão, incluindo, mas sem limitação, </w:t>
      </w:r>
      <w:r w:rsidRPr="00ED4800">
        <w:rPr>
          <w:snapToGrid w:val="0"/>
        </w:rPr>
        <w:t xml:space="preserve">(a) as obrigações relativas ao integral e pontual pagamento do Valor Nominal </w:t>
      </w:r>
      <w:r>
        <w:t xml:space="preserve">Unitário </w:t>
      </w:r>
      <w:r>
        <w:rPr>
          <w:snapToGrid w:val="0"/>
        </w:rPr>
        <w:t>Atualizado</w:t>
      </w:r>
      <w:r w:rsidRPr="00ED4800">
        <w:rPr>
          <w:color w:val="000000"/>
          <w:szCs w:val="20"/>
        </w:rPr>
        <w:t xml:space="preserve"> das Debêntures</w:t>
      </w:r>
      <w:r w:rsidRPr="00ED4800">
        <w:rPr>
          <w:snapToGrid w:val="0"/>
        </w:rPr>
        <w:t xml:space="preserve">, da Remuneração, dos Encargos Moratórios e Multa, dos demais encargos relativos às Debêntures subscritas e integralizadas e não resgatadas e dos demais encargos relativos a esta Escritura de Emissão e aos Contratos de Garantia, conforme aplicável, quando devidos, seja nas respectivas datas de pagamento, na Data de Vencimento, ou em virtude do vencimento antecipado das obrigações decorrentes das Debêntures, nos termos desta Escritura de Emissão, conforme aplicável; </w:t>
      </w:r>
      <w:r w:rsidRPr="003B6FB9">
        <w:rPr>
          <w:snapToGrid w:val="0"/>
        </w:rPr>
        <w:t>(b) as obrigações relativas a quaisquer outras obrigações de pagar assumidas pela Emissora, nesta Escritura de Emissão e nos Contratos de Garantia</w:t>
      </w:r>
      <w:r>
        <w:rPr>
          <w:snapToGrid w:val="0"/>
        </w:rPr>
        <w:t>, relativos às Debêntures</w:t>
      </w:r>
      <w:r w:rsidRPr="003B6FB9">
        <w:rPr>
          <w:snapToGrid w:val="0"/>
        </w:rPr>
        <w:t xml:space="preserve">, conforme aplicável, incluindo, mas não se limitando, obrigações de pagar despesas, custos, encargos, tributos, reembolsos ou indenizações, bem como as obrigações relativas ao Banco Liquidante da Emissão, ao </w:t>
      </w:r>
      <w:proofErr w:type="spellStart"/>
      <w:r w:rsidRPr="003B6FB9">
        <w:rPr>
          <w:snapToGrid w:val="0"/>
        </w:rPr>
        <w:t>Escriturador</w:t>
      </w:r>
      <w:proofErr w:type="spellEnd"/>
      <w:r w:rsidRPr="003B6FB9">
        <w:rPr>
          <w:snapToGrid w:val="0"/>
        </w:rPr>
        <w:t xml:space="preserve">, à </w:t>
      </w:r>
      <w:r w:rsidRPr="003B6FB9">
        <w:t>B3</w:t>
      </w:r>
      <w:r w:rsidRPr="003B6FB9">
        <w:rPr>
          <w:snapToGrid w:val="0"/>
        </w:rPr>
        <w:t xml:space="preserve">, ao banco administrador da Conta Vinculada e da Conta de Pagamento das Debêntures a serem constituídas no âmbito da </w:t>
      </w:r>
      <w:r w:rsidRPr="003B6FB9">
        <w:t>Cessão Fiduciária</w:t>
      </w:r>
      <w:r w:rsidRPr="003B6FB9">
        <w:rPr>
          <w:snapToGrid w:val="0"/>
        </w:rPr>
        <w:t xml:space="preserve">, ao Agente Fiduciário; e (c) </w:t>
      </w:r>
      <w:r w:rsidRPr="003B6FB9">
        <w:t xml:space="preserve">as obrigações de ressarcimento de toda e qualquer importância que o Agente Fiduciário e/ou os Debenturistas venham a desembolsar no âmbito da Emissão e/ou em virtude da constituição, manutenção e/ou realização das Garantias Reais, bem como todos e quaisquer tributos e despesas judiciais e/ou extrajudiciais </w:t>
      </w:r>
      <w:r>
        <w:t>(inclusive honorários advocatícios) para</w:t>
      </w:r>
      <w:r w:rsidRPr="003B6FB9">
        <w:t xml:space="preserve"> sobre a excussão de tais Garantias Reais, nos termos dos respectivos contratos, conforme aplicável</w:t>
      </w:r>
      <w:r w:rsidRPr="00317C0F">
        <w:t>.</w:t>
      </w:r>
    </w:p>
    <w:p w14:paraId="63FD965B" w14:textId="77777777" w:rsidR="00883C1A" w:rsidRPr="00ED4800" w:rsidRDefault="00883C1A" w:rsidP="00883C1A">
      <w:pPr>
        <w:pStyle w:val="Level2"/>
        <w:numPr>
          <w:ilvl w:val="1"/>
          <w:numId w:val="11"/>
        </w:numPr>
        <w:rPr>
          <w:b/>
        </w:rPr>
      </w:pPr>
      <w:r w:rsidRPr="00ED4800">
        <w:rPr>
          <w:b/>
        </w:rPr>
        <w:t>Classificação de Risco</w:t>
      </w:r>
    </w:p>
    <w:p w14:paraId="127E18F2" w14:textId="77777777" w:rsidR="00883C1A" w:rsidRDefault="00883C1A" w:rsidP="00883C1A">
      <w:pPr>
        <w:pStyle w:val="Level3"/>
        <w:numPr>
          <w:ilvl w:val="2"/>
          <w:numId w:val="11"/>
        </w:numPr>
        <w:spacing w:before="140" w:after="0"/>
        <w:rPr>
          <w:lang w:val="pt-BR"/>
        </w:rPr>
      </w:pPr>
      <w:r w:rsidRPr="009645D4">
        <w:rPr>
          <w:lang w:val="pt-BR"/>
        </w:rPr>
        <w:t>Foi contratada como agência de classificação de risco das Debêntures</w:t>
      </w:r>
      <w:r>
        <w:rPr>
          <w:lang w:val="pt-BR"/>
        </w:rPr>
        <w:t xml:space="preserve"> a </w:t>
      </w:r>
      <w:r w:rsidRPr="005F0368">
        <w:rPr>
          <w:lang w:val="pt-BR"/>
        </w:rPr>
        <w:t xml:space="preserve">Moody’s América Latina Ltda. </w:t>
      </w:r>
      <w:r w:rsidRPr="009645D4">
        <w:rPr>
          <w:lang w:val="pt-BR"/>
        </w:rPr>
        <w:t>(“</w:t>
      </w:r>
      <w:r w:rsidRPr="00660195">
        <w:rPr>
          <w:b/>
          <w:lang w:val="pt-BR"/>
        </w:rPr>
        <w:t>Agência de Classificação de Risco</w:t>
      </w:r>
      <w:r w:rsidRPr="009645D4">
        <w:rPr>
          <w:lang w:val="pt-BR"/>
        </w:rPr>
        <w:t>”)</w:t>
      </w:r>
      <w:r>
        <w:rPr>
          <w:lang w:val="pt-BR"/>
        </w:rPr>
        <w:t xml:space="preserve"> </w:t>
      </w:r>
      <w:r w:rsidRPr="00D753AF">
        <w:rPr>
          <w:lang w:val="pt-BR"/>
        </w:rPr>
        <w:t xml:space="preserve">para, em até </w:t>
      </w:r>
      <w:r>
        <w:rPr>
          <w:lang w:val="pt-BR"/>
        </w:rPr>
        <w:t>45 (quarenta e cinco) dias</w:t>
      </w:r>
      <w:r w:rsidRPr="00D753AF">
        <w:rPr>
          <w:lang w:val="pt-BR"/>
        </w:rPr>
        <w:t xml:space="preserve"> contados da integralização total das Debêntures, atribuir nota de classificação de risco (rating) à Emissão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w:t>
      </w:r>
      <w:r w:rsidRPr="00EF35AE">
        <w:rPr>
          <w:lang w:val="pt-BR"/>
        </w:rPr>
        <w:t>a</w:t>
      </w:r>
      <w:r>
        <w:rPr>
          <w:lang w:val="pt-BR"/>
        </w:rPr>
        <w:t xml:space="preserve"> </w:t>
      </w:r>
      <w:r w:rsidRPr="00EF35AE">
        <w:rPr>
          <w:lang w:val="pt-BR"/>
        </w:rPr>
        <w:t xml:space="preserve">Standard &amp; </w:t>
      </w:r>
      <w:proofErr w:type="spellStart"/>
      <w:r w:rsidRPr="00EF35AE">
        <w:rPr>
          <w:lang w:val="pt-BR"/>
        </w:rPr>
        <w:t>Poor’s</w:t>
      </w:r>
      <w:proofErr w:type="spellEnd"/>
      <w:r w:rsidRPr="00EF35AE">
        <w:rPr>
          <w:lang w:val="pt-BR"/>
        </w:rPr>
        <w:t xml:space="preserve"> Ratings do Brasil Ltda. ou a Fitch Ratings Brasil Ltda.</w:t>
      </w:r>
      <w:r w:rsidRPr="009645D4">
        <w:rPr>
          <w:lang w:val="pt-BR"/>
        </w:rPr>
        <w:t xml:space="preserve"> </w:t>
      </w:r>
    </w:p>
    <w:p w14:paraId="0A8FC75F" w14:textId="77777777" w:rsidR="00883C1A" w:rsidRDefault="00883C1A" w:rsidP="00883C1A">
      <w:pPr>
        <w:pStyle w:val="Level3"/>
        <w:numPr>
          <w:ilvl w:val="2"/>
          <w:numId w:val="11"/>
        </w:numPr>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48E0379E" w14:textId="77777777" w:rsidR="00883C1A" w:rsidRPr="009E6B2F" w:rsidRDefault="00883C1A" w:rsidP="00883C1A">
      <w:pPr>
        <w:pStyle w:val="Level2"/>
        <w:numPr>
          <w:ilvl w:val="1"/>
          <w:numId w:val="11"/>
        </w:numPr>
        <w:spacing w:before="140" w:after="0"/>
        <w:rPr>
          <w:b/>
        </w:rPr>
      </w:pPr>
      <w:r w:rsidRPr="009E6B2F">
        <w:rPr>
          <w:b/>
        </w:rPr>
        <w:t>Fundo de Liquidez e Estabilização</w:t>
      </w:r>
    </w:p>
    <w:p w14:paraId="5CC27366" w14:textId="77777777" w:rsidR="00883C1A" w:rsidRPr="009E6B2F" w:rsidRDefault="00883C1A" w:rsidP="00883C1A">
      <w:pPr>
        <w:pStyle w:val="Level3"/>
        <w:numPr>
          <w:ilvl w:val="2"/>
          <w:numId w:val="11"/>
        </w:numPr>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2AD20971" w14:textId="77777777" w:rsidR="00883C1A" w:rsidRPr="009E6B2F" w:rsidRDefault="00883C1A" w:rsidP="00883C1A">
      <w:pPr>
        <w:pStyle w:val="Level2"/>
        <w:numPr>
          <w:ilvl w:val="1"/>
          <w:numId w:val="11"/>
        </w:numPr>
        <w:spacing w:before="140" w:after="0"/>
        <w:rPr>
          <w:b/>
        </w:rPr>
      </w:pPr>
      <w:r w:rsidRPr="009E6B2F">
        <w:rPr>
          <w:b/>
        </w:rPr>
        <w:t>Fundo de Amortização</w:t>
      </w:r>
    </w:p>
    <w:p w14:paraId="56C0F16A" w14:textId="77777777" w:rsidR="00883C1A" w:rsidRDefault="00883C1A" w:rsidP="00883C1A">
      <w:pPr>
        <w:pStyle w:val="Level3"/>
        <w:numPr>
          <w:ilvl w:val="2"/>
          <w:numId w:val="11"/>
        </w:numPr>
        <w:spacing w:before="140" w:after="0"/>
        <w:rPr>
          <w:lang w:val="pt-BR"/>
        </w:rPr>
      </w:pPr>
      <w:r w:rsidRPr="009E6B2F">
        <w:rPr>
          <w:lang w:val="pt-BR"/>
        </w:rPr>
        <w:t xml:space="preserve">Não será constituído fundo de amortização para a presente Emissão. </w:t>
      </w:r>
    </w:p>
    <w:p w14:paraId="42FA66A5" w14:textId="77777777" w:rsidR="00883C1A" w:rsidRPr="00127724" w:rsidRDefault="00883C1A" w:rsidP="00883C1A">
      <w:pPr>
        <w:pStyle w:val="Level2"/>
        <w:numPr>
          <w:ilvl w:val="1"/>
          <w:numId w:val="11"/>
        </w:numPr>
        <w:spacing w:before="140"/>
        <w:rPr>
          <w:b/>
        </w:rPr>
      </w:pPr>
      <w:r w:rsidRPr="00127724">
        <w:rPr>
          <w:b/>
        </w:rPr>
        <w:t xml:space="preserve">Condições para Subscrição e Integralização das Debêntures </w:t>
      </w:r>
    </w:p>
    <w:p w14:paraId="1B409A71" w14:textId="77777777" w:rsidR="00883C1A" w:rsidRPr="00975C89" w:rsidRDefault="00883C1A" w:rsidP="00883C1A">
      <w:pPr>
        <w:pStyle w:val="Level3"/>
        <w:numPr>
          <w:ilvl w:val="2"/>
          <w:numId w:val="11"/>
        </w:numPr>
        <w:rPr>
          <w:lang w:val="pt-BR"/>
        </w:rPr>
      </w:pPr>
      <w:bookmarkStart w:id="249" w:name="_Ref513389888"/>
      <w:r w:rsidRPr="00B24079">
        <w:rPr>
          <w:lang w:val="pt-BR"/>
        </w:rPr>
        <w:t>A Emissora obriga-se a providenciar e enviar ao Agente Fiduciário, previamente à Primeira Data de Integralização das Debêntures</w:t>
      </w:r>
      <w:bookmarkEnd w:id="249"/>
      <w:r w:rsidRPr="00975C89">
        <w:rPr>
          <w:lang w:val="pt-BR"/>
        </w:rPr>
        <w:t xml:space="preserve"> </w:t>
      </w:r>
      <w:r>
        <w:rPr>
          <w:lang w:val="pt-BR"/>
        </w:rPr>
        <w:t xml:space="preserve">(i) </w:t>
      </w:r>
      <w:r w:rsidRPr="00975C89">
        <w:rPr>
          <w:lang w:val="pt-BR"/>
        </w:rPr>
        <w:t>1 (uma) via original de cada um dos Contratos de Garantias devidamente registrados nos competentes Cartórios de Registro de Títulos e Documentos competentes;</w:t>
      </w:r>
      <w:r>
        <w:rPr>
          <w:lang w:val="pt-BR"/>
        </w:rPr>
        <w:t xml:space="preserve"> (</w:t>
      </w:r>
      <w:proofErr w:type="spellStart"/>
      <w:r>
        <w:rPr>
          <w:lang w:val="pt-BR"/>
        </w:rPr>
        <w:t>ii</w:t>
      </w:r>
      <w:proofErr w:type="spellEnd"/>
      <w:r>
        <w:rPr>
          <w:lang w:val="pt-BR"/>
        </w:rPr>
        <w:t>)</w:t>
      </w:r>
      <w:r w:rsidRPr="00975C89">
        <w:rPr>
          <w:lang w:val="pt-BR"/>
        </w:rPr>
        <w:t xml:space="preserve"> 1 (uma) cópia autenticada integral do Livro de Registro de Ações </w:t>
      </w:r>
      <w:r>
        <w:rPr>
          <w:lang w:val="pt-BR"/>
        </w:rPr>
        <w:t>da Garantidora</w:t>
      </w:r>
      <w:r w:rsidRPr="00975C89">
        <w:rPr>
          <w:lang w:val="pt-BR"/>
        </w:rPr>
        <w:t xml:space="preserve">, comprovando a averbação do Contrato de </w:t>
      </w:r>
      <w:r>
        <w:rPr>
          <w:lang w:val="pt-BR"/>
        </w:rPr>
        <w:t>Alienação Fiduciária</w:t>
      </w:r>
      <w:r w:rsidRPr="00975C89">
        <w:rPr>
          <w:lang w:val="pt-BR"/>
        </w:rPr>
        <w:t xml:space="preserve"> de Ações relativa </w:t>
      </w:r>
      <w:r>
        <w:rPr>
          <w:lang w:val="pt-BR"/>
        </w:rPr>
        <w:t>à Alienação Fiduciária</w:t>
      </w:r>
      <w:r w:rsidRPr="00975C89">
        <w:rPr>
          <w:lang w:val="pt-BR"/>
        </w:rPr>
        <w:t xml:space="preserve"> d</w:t>
      </w:r>
      <w:r>
        <w:rPr>
          <w:lang w:val="pt-BR"/>
        </w:rPr>
        <w:t>e</w:t>
      </w:r>
      <w:r w:rsidRPr="00975C89">
        <w:rPr>
          <w:lang w:val="pt-BR"/>
        </w:rPr>
        <w:t xml:space="preserve"> Ações constituíd</w:t>
      </w:r>
      <w:r>
        <w:rPr>
          <w:lang w:val="pt-BR"/>
        </w:rPr>
        <w:t>a</w:t>
      </w:r>
      <w:r w:rsidRPr="00975C89">
        <w:rPr>
          <w:lang w:val="pt-BR"/>
        </w:rPr>
        <w:t xml:space="preserve"> em favor dos Debenturistas, representados pelo Agente Fiduciário;</w:t>
      </w:r>
      <w:r>
        <w:rPr>
          <w:lang w:val="pt-BR"/>
        </w:rPr>
        <w:t xml:space="preserve"> e (</w:t>
      </w:r>
      <w:proofErr w:type="spellStart"/>
      <w:r>
        <w:rPr>
          <w:lang w:val="pt-BR"/>
        </w:rPr>
        <w:t>iii</w:t>
      </w:r>
      <w:proofErr w:type="spellEnd"/>
      <w:r>
        <w:rPr>
          <w:lang w:val="pt-BR"/>
        </w:rPr>
        <w:t xml:space="preserve">)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Pr>
          <w:lang w:val="pt-BR"/>
        </w:rPr>
        <w:t>.</w:t>
      </w:r>
    </w:p>
    <w:p w14:paraId="18719401" w14:textId="77777777" w:rsidR="00883C1A" w:rsidRPr="009E6B2F" w:rsidRDefault="00883C1A" w:rsidP="00883C1A">
      <w:pPr>
        <w:pStyle w:val="Level1"/>
        <w:keepLines w:val="0"/>
        <w:numPr>
          <w:ilvl w:val="0"/>
          <w:numId w:val="11"/>
        </w:numPr>
        <w:autoSpaceDE w:val="0"/>
        <w:autoSpaceDN w:val="0"/>
        <w:adjustRightInd w:val="0"/>
      </w:pPr>
      <w:bookmarkStart w:id="250" w:name="_DV_M121"/>
      <w:bookmarkStart w:id="251" w:name="_DV_M122"/>
      <w:bookmarkStart w:id="252" w:name="_DV_M123"/>
      <w:bookmarkStart w:id="253" w:name="_DV_M124"/>
      <w:bookmarkStart w:id="254" w:name="_DV_M125"/>
      <w:bookmarkStart w:id="255" w:name="_DV_M127"/>
      <w:bookmarkStart w:id="256" w:name="_DV_M128"/>
      <w:bookmarkStart w:id="257" w:name="_DV_M129"/>
      <w:bookmarkStart w:id="258" w:name="_DV_M130"/>
      <w:bookmarkStart w:id="259" w:name="_DV_M131"/>
      <w:bookmarkStart w:id="260" w:name="_DV_M133"/>
      <w:bookmarkStart w:id="261" w:name="_DV_M134"/>
      <w:bookmarkStart w:id="262" w:name="_DV_M135"/>
      <w:bookmarkStart w:id="263" w:name="_DV_M136"/>
      <w:bookmarkStart w:id="264" w:name="_DV_M137"/>
      <w:bookmarkStart w:id="265" w:name="_DV_M140"/>
      <w:bookmarkStart w:id="266" w:name="_DV_M141"/>
      <w:bookmarkStart w:id="267" w:name="_DV_M142"/>
      <w:bookmarkStart w:id="268" w:name="_DV_M145"/>
      <w:bookmarkStart w:id="269" w:name="_DV_M146"/>
      <w:bookmarkStart w:id="270" w:name="_DV_M147"/>
      <w:bookmarkStart w:id="271" w:name="_DV_M148"/>
      <w:bookmarkStart w:id="272" w:name="_DV_M151"/>
      <w:bookmarkStart w:id="273" w:name="_DV_M152"/>
      <w:bookmarkStart w:id="274" w:name="_DV_M153"/>
      <w:bookmarkStart w:id="275" w:name="_DV_M156"/>
      <w:bookmarkStart w:id="276" w:name="_DV_M157"/>
      <w:bookmarkStart w:id="277" w:name="_DV_M158"/>
      <w:bookmarkStart w:id="278" w:name="_DV_M160"/>
      <w:bookmarkStart w:id="279" w:name="_DV_M162"/>
      <w:bookmarkStart w:id="280" w:name="_Ref475091144"/>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E6B2F">
        <w:t>VENCIMENTO ANTECIPADO</w:t>
      </w:r>
      <w:bookmarkEnd w:id="280"/>
      <w:r>
        <w:t xml:space="preserve"> </w:t>
      </w:r>
    </w:p>
    <w:p w14:paraId="5847B19E" w14:textId="77777777" w:rsidR="00883C1A" w:rsidRPr="009E6B2F" w:rsidRDefault="00883C1A" w:rsidP="00883C1A">
      <w:pPr>
        <w:pStyle w:val="Level2"/>
        <w:numPr>
          <w:ilvl w:val="1"/>
          <w:numId w:val="11"/>
        </w:numPr>
        <w:spacing w:before="140" w:after="0"/>
      </w:pPr>
      <w:bookmarkStart w:id="281" w:name="_Ref392008548"/>
      <w:r w:rsidRPr="009E6B2F">
        <w:t xml:space="preserve">Observado o disposto </w:t>
      </w:r>
      <w:r>
        <w:t>nas Cláusulas</w:t>
      </w:r>
      <w:r w:rsidRPr="009E6B2F">
        <w:t xml:space="preserve"> </w:t>
      </w:r>
      <w:r>
        <w:fldChar w:fldCharType="begin"/>
      </w:r>
      <w:r>
        <w:instrText xml:space="preserve"> REF _Ref475654684 \r \h </w:instrText>
      </w:r>
      <w:r>
        <w:fldChar w:fldCharType="separate"/>
      </w:r>
      <w:r>
        <w:t>6.2</w:t>
      </w:r>
      <w:r>
        <w:fldChar w:fldCharType="end"/>
      </w:r>
      <w:r>
        <w:t xml:space="preserve"> </w:t>
      </w:r>
      <w:r w:rsidRPr="009E6B2F">
        <w:t xml:space="preserve">e </w:t>
      </w:r>
      <w:r>
        <w:fldChar w:fldCharType="begin"/>
      </w:r>
      <w:r>
        <w:instrText xml:space="preserve"> REF _Ref536531820 \r \h </w:instrText>
      </w:r>
      <w:r>
        <w:fldChar w:fldCharType="separate"/>
      </w:r>
      <w:r>
        <w:t>6.7</w:t>
      </w:r>
      <w:r>
        <w:fldChar w:fldCharType="end"/>
      </w:r>
      <w:r w:rsidRPr="009E6B2F">
        <w:t xml:space="preserve"> abaixo, o Agente Fiduciário deverá declarar antecipadamente vencidas todas as obrigações </w:t>
      </w:r>
      <w:r w:rsidRPr="00F74506">
        <w:rPr>
          <w:iCs/>
        </w:rPr>
        <w:t>decorrentes das Debêntures</w:t>
      </w:r>
      <w:r w:rsidRPr="009E6B2F">
        <w:t xml:space="preserve">, independentemente de aviso, interpelação ou notificação, judicial ou extrajudicial na ocorrência das hipóteses descritas </w:t>
      </w:r>
      <w:r>
        <w:t xml:space="preserve">nas Cláusulas </w:t>
      </w:r>
      <w:r>
        <w:fldChar w:fldCharType="begin"/>
      </w:r>
      <w:r>
        <w:instrText xml:space="preserve"> REF _Ref416256173 \r \h </w:instrText>
      </w:r>
      <w:r>
        <w:fldChar w:fldCharType="separate"/>
      </w:r>
      <w:r>
        <w:t>6.1.1</w:t>
      </w:r>
      <w:r>
        <w:fldChar w:fldCharType="end"/>
      </w:r>
      <w:r>
        <w:t xml:space="preserve"> e </w:t>
      </w:r>
      <w:r>
        <w:fldChar w:fldCharType="begin"/>
      </w:r>
      <w:r>
        <w:instrText xml:space="preserve"> REF _Ref479844251 \r \h </w:instrText>
      </w:r>
      <w:r>
        <w:fldChar w:fldCharType="separate"/>
      </w:r>
      <w:r>
        <w:t>6.1.2</w:t>
      </w:r>
      <w:r>
        <w:fldChar w:fldCharType="end"/>
      </w:r>
      <w:r w:rsidRPr="009E6B2F">
        <w:t xml:space="preserve"> abaixo (cada um, um “</w:t>
      </w:r>
      <w:r w:rsidRPr="009E6B2F">
        <w:rPr>
          <w:b/>
        </w:rPr>
        <w:t>Evento de Vencimento Antecipado</w:t>
      </w:r>
      <w:r w:rsidRPr="009E6B2F">
        <w:t>”):</w:t>
      </w:r>
      <w:bookmarkEnd w:id="281"/>
      <w:r>
        <w:t xml:space="preserve"> </w:t>
      </w:r>
    </w:p>
    <w:p w14:paraId="5175F0A2" w14:textId="77777777" w:rsidR="00883C1A" w:rsidRDefault="00883C1A" w:rsidP="00883C1A">
      <w:pPr>
        <w:pStyle w:val="Level3"/>
        <w:numPr>
          <w:ilvl w:val="2"/>
          <w:numId w:val="11"/>
        </w:numPr>
        <w:tabs>
          <w:tab w:val="clear" w:pos="1361"/>
        </w:tabs>
        <w:spacing w:before="140" w:after="0"/>
        <w:ind w:left="1417"/>
        <w:rPr>
          <w:lang w:val="pt-BR"/>
        </w:rPr>
      </w:pPr>
      <w:bookmarkStart w:id="282" w:name="_Ref416256173"/>
      <w:bookmarkStart w:id="283" w:name="_Ref398913061"/>
      <w:r w:rsidRPr="009E6B2F">
        <w:rPr>
          <w:lang w:val="pt-BR"/>
        </w:rPr>
        <w:t xml:space="preserve">Constituem Eventos de Vencimento Antecipado que acarretam o vencimento automático das obrigações decorrentes </w:t>
      </w:r>
      <w:r>
        <w:rPr>
          <w:lang w:val="pt-BR"/>
        </w:rPr>
        <w:t>das Debêntures</w:t>
      </w:r>
      <w:r w:rsidRPr="009E6B2F">
        <w:rPr>
          <w:lang w:val="pt-BR"/>
        </w:rPr>
        <w:t xml:space="preserve">, aplicando-se o disposto na </w:t>
      </w:r>
      <w:r w:rsidRPr="009E6B2F">
        <w:rPr>
          <w:szCs w:val="20"/>
          <w:lang w:val="pt-BR"/>
        </w:rPr>
        <w:t xml:space="preserve">Cláusula </w:t>
      </w:r>
      <w:r>
        <w:rPr>
          <w:lang w:val="pt-BR"/>
        </w:rPr>
        <w:fldChar w:fldCharType="begin"/>
      </w:r>
      <w:r>
        <w:rPr>
          <w:szCs w:val="20"/>
          <w:lang w:val="pt-BR"/>
        </w:rPr>
        <w:instrText xml:space="preserve"> REF _Ref475654684 \r \p \h </w:instrText>
      </w:r>
      <w:r>
        <w:rPr>
          <w:lang w:val="pt-BR"/>
        </w:rPr>
      </w:r>
      <w:r>
        <w:rPr>
          <w:lang w:val="pt-BR"/>
        </w:rPr>
        <w:fldChar w:fldCharType="separate"/>
      </w:r>
      <w:r>
        <w:rPr>
          <w:szCs w:val="20"/>
          <w:lang w:val="pt-BR"/>
        </w:rPr>
        <w:t>6.2 abaixo</w:t>
      </w:r>
      <w:r>
        <w:rPr>
          <w:lang w:val="pt-BR"/>
        </w:rPr>
        <w:fldChar w:fldCharType="end"/>
      </w:r>
      <w:r>
        <w:rPr>
          <w:lang w:val="pt-BR"/>
        </w:rPr>
        <w:t>, quaisquer dos seguintes eventos</w:t>
      </w:r>
      <w:r w:rsidRPr="009E6B2F">
        <w:rPr>
          <w:lang w:val="pt-BR"/>
        </w:rPr>
        <w:t>:</w:t>
      </w:r>
      <w:bookmarkEnd w:id="282"/>
      <w:bookmarkEnd w:id="283"/>
    </w:p>
    <w:p w14:paraId="349D68D2" w14:textId="77777777" w:rsidR="00883C1A" w:rsidRPr="00040543" w:rsidRDefault="00883C1A" w:rsidP="00883C1A">
      <w:pPr>
        <w:pStyle w:val="Level4"/>
        <w:numPr>
          <w:ilvl w:val="3"/>
          <w:numId w:val="11"/>
        </w:numPr>
        <w:tabs>
          <w:tab w:val="clear" w:pos="2041"/>
          <w:tab w:val="num" w:pos="2098"/>
        </w:tabs>
        <w:spacing w:before="140" w:after="0"/>
        <w:ind w:left="2098"/>
        <w:rPr>
          <w:noProof/>
        </w:rPr>
      </w:pPr>
      <w:r w:rsidRPr="00040543">
        <w:rPr>
          <w:noProof/>
        </w:rPr>
        <w:t>descumprimento, pela Emissora</w:t>
      </w:r>
      <w:r>
        <w:rPr>
          <w:noProof/>
        </w:rPr>
        <w:t>,</w:t>
      </w:r>
      <w:r w:rsidRPr="00040543">
        <w:rPr>
          <w:noProof/>
        </w:rPr>
        <w:t xml:space="preserve"> de qualquer obrigação pecuniária relativa às Debêntures e/ou a esta Escritura de Emissão na respectiva data de pagamento prevista nesta Escritura de Emissão, não sanado no prazo de até </w:t>
      </w:r>
      <w:r>
        <w:rPr>
          <w:noProof/>
        </w:rPr>
        <w:t>2</w:t>
      </w:r>
      <w:r w:rsidRPr="00040543">
        <w:rPr>
          <w:noProof/>
        </w:rPr>
        <w:t xml:space="preserve"> (</w:t>
      </w:r>
      <w:r>
        <w:rPr>
          <w:noProof/>
        </w:rPr>
        <w:t>dois</w:t>
      </w:r>
      <w:r w:rsidRPr="00040543">
        <w:rPr>
          <w:noProof/>
        </w:rPr>
        <w:t>) Dia</w:t>
      </w:r>
      <w:r>
        <w:rPr>
          <w:noProof/>
        </w:rPr>
        <w:t>s</w:t>
      </w:r>
      <w:r w:rsidRPr="00040543">
        <w:rPr>
          <w:noProof/>
        </w:rPr>
        <w:t xml:space="preserve"> Út</w:t>
      </w:r>
      <w:r>
        <w:rPr>
          <w:noProof/>
        </w:rPr>
        <w:t>éis</w:t>
      </w:r>
      <w:r w:rsidRPr="00040543">
        <w:rPr>
          <w:noProof/>
        </w:rPr>
        <w:t xml:space="preserve"> contado</w:t>
      </w:r>
      <w:r>
        <w:rPr>
          <w:noProof/>
        </w:rPr>
        <w:t>s</w:t>
      </w:r>
      <w:r w:rsidRPr="00040543">
        <w:rPr>
          <w:noProof/>
        </w:rPr>
        <w:t xml:space="preserve"> da data do respectivo </w:t>
      </w:r>
      <w:r>
        <w:rPr>
          <w:noProof/>
        </w:rPr>
        <w:t>vencimento</w:t>
      </w:r>
      <w:r w:rsidRPr="009605FA">
        <w:t>, sem prejuízo do pagamento dos Encargos Moratórios</w:t>
      </w:r>
      <w:r>
        <w:t xml:space="preserve"> pela Emissora</w:t>
      </w:r>
      <w:r w:rsidRPr="00040543">
        <w:rPr>
          <w:noProof/>
        </w:rPr>
        <w:t>;</w:t>
      </w:r>
    </w:p>
    <w:p w14:paraId="15CAFE55" w14:textId="77777777" w:rsidR="00883C1A" w:rsidRPr="00D275BF" w:rsidRDefault="00883C1A" w:rsidP="00883C1A">
      <w:pPr>
        <w:pStyle w:val="Level4"/>
        <w:numPr>
          <w:ilvl w:val="3"/>
          <w:numId w:val="11"/>
        </w:numPr>
        <w:tabs>
          <w:tab w:val="clear" w:pos="2041"/>
          <w:tab w:val="num" w:pos="2098"/>
        </w:tabs>
        <w:spacing w:before="140" w:after="0"/>
        <w:ind w:left="2098"/>
        <w:rPr>
          <w:noProof/>
        </w:rPr>
      </w:pPr>
      <w:r w:rsidRPr="00D275BF">
        <w:rPr>
          <w:noProof/>
        </w:rPr>
        <w:t xml:space="preserve">(a) pedido de falência formulado por terceiros em face da Emissora </w:t>
      </w:r>
      <w:r>
        <w:rPr>
          <w:noProof/>
        </w:rPr>
        <w:t xml:space="preserve">e/ou da Garantidora </w:t>
      </w:r>
      <w:r w:rsidRPr="00D275BF">
        <w:rPr>
          <w:noProof/>
        </w:rPr>
        <w:t xml:space="preserve">e não </w:t>
      </w:r>
      <w:r w:rsidRPr="009A0391">
        <w:rPr>
          <w:noProof/>
        </w:rPr>
        <w:t xml:space="preserve">devidamente </w:t>
      </w:r>
      <w:r w:rsidRPr="0068273A">
        <w:rPr>
          <w:noProof/>
        </w:rPr>
        <w:t xml:space="preserve">solucionado, por meio de pagamento ou depósito elisivo, </w:t>
      </w:r>
      <w:r w:rsidRPr="009D2279">
        <w:rPr>
          <w:noProof/>
        </w:rPr>
        <w:t xml:space="preserve">rejeição do pedido, </w:t>
      </w:r>
      <w:r w:rsidRPr="005541ED">
        <w:rPr>
          <w:noProof/>
        </w:rPr>
        <w:t>suspensão dos efeitos da declaração de falência</w:t>
      </w:r>
      <w:r w:rsidRPr="0068273A">
        <w:rPr>
          <w:noProof/>
        </w:rPr>
        <w:t>, nos prazos legais</w:t>
      </w:r>
      <w:r w:rsidRPr="009A0391">
        <w:rPr>
          <w:noProof/>
        </w:rPr>
        <w:t xml:space="preserve"> aplicáveis;</w:t>
      </w:r>
      <w:r w:rsidRPr="00DB6613">
        <w:rPr>
          <w:noProof/>
        </w:rPr>
        <w:t xml:space="preserve"> (</w:t>
      </w:r>
      <w:r w:rsidRPr="00D275BF">
        <w:rPr>
          <w:noProof/>
        </w:rPr>
        <w:t>b) pedido de auto-falência formulado pela Emissora</w:t>
      </w:r>
      <w:r>
        <w:rPr>
          <w:noProof/>
        </w:rPr>
        <w:t xml:space="preserve"> e/ou pela Garantidora</w:t>
      </w:r>
      <w:r w:rsidRPr="00D275BF">
        <w:rPr>
          <w:noProof/>
        </w:rPr>
        <w:t>;</w:t>
      </w:r>
      <w:r>
        <w:rPr>
          <w:noProof/>
        </w:rPr>
        <w:t xml:space="preserve"> ou (c) </w:t>
      </w:r>
      <w:r w:rsidRPr="00D275BF">
        <w:rPr>
          <w:noProof/>
        </w:rPr>
        <w:t>liquidação, dissolução, extinção ou decretação de falência da Emissora</w:t>
      </w:r>
      <w:r>
        <w:rPr>
          <w:noProof/>
        </w:rPr>
        <w:t xml:space="preserve"> e/ou da Garantidora</w:t>
      </w:r>
      <w:r w:rsidRPr="00D275BF">
        <w:rPr>
          <w:noProof/>
        </w:rPr>
        <w:t>;</w:t>
      </w:r>
      <w:r>
        <w:rPr>
          <w:noProof/>
        </w:rPr>
        <w:t xml:space="preserve"> </w:t>
      </w:r>
    </w:p>
    <w:p w14:paraId="278BC5A4" w14:textId="77777777" w:rsidR="00883C1A" w:rsidRPr="00040543" w:rsidRDefault="00883C1A" w:rsidP="00883C1A">
      <w:pPr>
        <w:pStyle w:val="Level4"/>
        <w:numPr>
          <w:ilvl w:val="3"/>
          <w:numId w:val="11"/>
        </w:numPr>
        <w:tabs>
          <w:tab w:val="clear" w:pos="2041"/>
          <w:tab w:val="num" w:pos="2098"/>
        </w:tabs>
        <w:spacing w:before="140" w:after="0"/>
        <w:ind w:left="2098"/>
        <w:rPr>
          <w:noProof/>
        </w:rPr>
      </w:pPr>
      <w:r w:rsidRPr="00040543">
        <w:rPr>
          <w:noProof/>
        </w:rPr>
        <w:t>se a Emissora</w:t>
      </w:r>
      <w:r>
        <w:rPr>
          <w:noProof/>
        </w:rPr>
        <w:t xml:space="preserve"> e/ou a Garantidora</w:t>
      </w:r>
      <w:r w:rsidRPr="00040543">
        <w:rPr>
          <w:noProof/>
        </w:rPr>
        <w:t xml:space="preserve"> </w:t>
      </w:r>
      <w:r>
        <w:rPr>
          <w:noProof/>
        </w:rPr>
        <w:t xml:space="preserve">(a) </w:t>
      </w:r>
      <w:r w:rsidRPr="00040543">
        <w:rPr>
          <w:noProof/>
        </w:rPr>
        <w:t xml:space="preserve">propuser plano de recuperação </w:t>
      </w:r>
      <w:r>
        <w:rPr>
          <w:noProof/>
        </w:rPr>
        <w:t xml:space="preserve">judicial ou </w:t>
      </w:r>
      <w:r w:rsidRPr="00040543">
        <w:rPr>
          <w:noProof/>
        </w:rPr>
        <w:t>extrajudicial</w:t>
      </w:r>
      <w:r>
        <w:rPr>
          <w:noProof/>
        </w:rPr>
        <w:t xml:space="preserve"> ou qualquer outra modalidade de concurso de credores prevista em lei específica,</w:t>
      </w:r>
      <w:r w:rsidRPr="00040543">
        <w:rPr>
          <w:noProof/>
        </w:rPr>
        <w:t xml:space="preserve"> a qualquer credor ou classe de credores</w:t>
      </w:r>
      <w:r>
        <w:rPr>
          <w:noProof/>
        </w:rPr>
        <w:t xml:space="preserve">, </w:t>
      </w:r>
      <w:r w:rsidRPr="00040543">
        <w:rPr>
          <w:noProof/>
        </w:rPr>
        <w:t xml:space="preserve">independentemente de ter sido requerida ou obtida homologação judicial do referido plano; ou </w:t>
      </w:r>
      <w:r>
        <w:rPr>
          <w:noProof/>
        </w:rPr>
        <w:t xml:space="preserve">(b) </w:t>
      </w:r>
      <w:r w:rsidRPr="00040543">
        <w:rPr>
          <w:noProof/>
        </w:rPr>
        <w:t>ingressar em juízo com requerimento de recuperação judicial, independentemente de deferimento do processamento da recuperação ou de sua concessão pelo juiz competente</w:t>
      </w:r>
      <w:r w:rsidRPr="00DF330E">
        <w:rPr>
          <w:noProof/>
        </w:rPr>
        <w:t xml:space="preserve"> </w:t>
      </w:r>
      <w:r>
        <w:rPr>
          <w:noProof/>
        </w:rPr>
        <w:t>ou (iii) tiver sua intervenção</w:t>
      </w:r>
      <w:r w:rsidRPr="00277EA5">
        <w:rPr>
          <w:noProof/>
        </w:rPr>
        <w:t xml:space="preserve"> </w:t>
      </w:r>
      <w:r>
        <w:rPr>
          <w:noProof/>
        </w:rPr>
        <w:t xml:space="preserve">decretada </w:t>
      </w:r>
      <w:r w:rsidRPr="00277EA5">
        <w:rPr>
          <w:noProof/>
        </w:rPr>
        <w:t>pelo poder concedente, por qualquer motivo, nos termos da Lei n° 12.767, de 27 de dezembro de 2012, conforme alterada</w:t>
      </w:r>
      <w:r w:rsidRPr="00040543">
        <w:rPr>
          <w:noProof/>
        </w:rPr>
        <w:t>;</w:t>
      </w:r>
      <w:r>
        <w:rPr>
          <w:noProof/>
        </w:rPr>
        <w:t xml:space="preserve"> </w:t>
      </w:r>
    </w:p>
    <w:p w14:paraId="3829F859" w14:textId="77777777" w:rsidR="00883C1A" w:rsidRDefault="00883C1A" w:rsidP="00883C1A">
      <w:pPr>
        <w:pStyle w:val="Level4"/>
        <w:numPr>
          <w:ilvl w:val="3"/>
          <w:numId w:val="11"/>
        </w:numPr>
        <w:tabs>
          <w:tab w:val="clear" w:pos="2041"/>
          <w:tab w:val="num" w:pos="2098"/>
        </w:tabs>
        <w:spacing w:before="140" w:after="0"/>
        <w:ind w:left="2098"/>
      </w:pPr>
      <w:r w:rsidRPr="00040543">
        <w:t>transformação do tipo societário da Emissora, inclusive transformação da Emissora em sociedade limitada, nos termos dos artigos 220 a 222 da Lei das Sociedades por Ações;</w:t>
      </w:r>
    </w:p>
    <w:p w14:paraId="3D294B05" w14:textId="77777777" w:rsidR="00883C1A" w:rsidRDefault="00883C1A" w:rsidP="00883C1A">
      <w:pPr>
        <w:pStyle w:val="Level4"/>
        <w:numPr>
          <w:ilvl w:val="3"/>
          <w:numId w:val="11"/>
        </w:numPr>
        <w:spacing w:before="140"/>
      </w:pPr>
      <w:r w:rsidRPr="00830237">
        <w:t>questionamento judicial sobre a validade e/ou exequibilidade desta Escritura de Emissão</w:t>
      </w:r>
      <w:r>
        <w:t xml:space="preserve"> </w:t>
      </w:r>
      <w:r w:rsidRPr="0091283D">
        <w:t xml:space="preserve">pela Emissora ou por qualquer </w:t>
      </w:r>
      <w:r>
        <w:t xml:space="preserve">de suas subsidiárias, incluindo a Garantidora e </w:t>
      </w:r>
      <w:r w:rsidRPr="0091283D">
        <w:t xml:space="preserve">as seguintes companhias: </w:t>
      </w:r>
      <w:r w:rsidRPr="008B53CF">
        <w:t>(a) ATE III Transmissora de Energia S.A.; (b) Janaúba Transmissora de Energia S.A.; (c) Mariana Transmissora de Energia; (d) Miracema Transmissora de Energia; (e) São Gotardo Transmissora de Energia S.A.</w:t>
      </w:r>
      <w:r>
        <w:t>; e (f) Brasnorte Transmissora de Energia S.A.</w:t>
      </w:r>
      <w:r w:rsidRPr="008B53CF">
        <w:t xml:space="preserve"> (“</w:t>
      </w:r>
      <w:r w:rsidRPr="008B53CF">
        <w:rPr>
          <w:b/>
        </w:rPr>
        <w:t>Subsidiárias</w:t>
      </w:r>
      <w:r w:rsidRPr="00830237">
        <w:rPr>
          <w:b/>
        </w:rPr>
        <w:t xml:space="preserve"> Relevantes</w:t>
      </w:r>
      <w:r w:rsidRPr="0091283D">
        <w:t>”)</w:t>
      </w:r>
      <w:r>
        <w:t>; e</w:t>
      </w:r>
    </w:p>
    <w:p w14:paraId="742FCCBD" w14:textId="77777777" w:rsidR="00883C1A" w:rsidRPr="00487D65" w:rsidRDefault="00883C1A" w:rsidP="00883C1A">
      <w:pPr>
        <w:pStyle w:val="Level3"/>
        <w:numPr>
          <w:ilvl w:val="2"/>
          <w:numId w:val="11"/>
        </w:numPr>
        <w:rPr>
          <w:lang w:val="pt-BR"/>
        </w:rPr>
      </w:pPr>
      <w:bookmarkStart w:id="284"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Pr>
          <w:lang w:val="pt-BR"/>
        </w:rPr>
        <w:t>6.3</w:t>
      </w:r>
      <w:r w:rsidRPr="009E6B2F">
        <w:fldChar w:fldCharType="end"/>
      </w:r>
      <w:r w:rsidRPr="00487D65">
        <w:rPr>
          <w:lang w:val="pt-BR"/>
        </w:rPr>
        <w:t xml:space="preserve"> abaixo, quaisquer dos seguintes eventos:</w:t>
      </w:r>
      <w:bookmarkEnd w:id="284"/>
    </w:p>
    <w:p w14:paraId="68CE6B44" w14:textId="77777777" w:rsidR="00883C1A" w:rsidRDefault="00883C1A" w:rsidP="00883C1A">
      <w:pPr>
        <w:pStyle w:val="Level4"/>
        <w:numPr>
          <w:ilvl w:val="3"/>
          <w:numId w:val="11"/>
        </w:numPr>
        <w:spacing w:before="140" w:after="0"/>
        <w:ind w:left="2098"/>
      </w:pPr>
      <w:bookmarkStart w:id="285" w:name="_Ref459799550"/>
      <w:r w:rsidRPr="003B0342">
        <w:t>transferência ou qualquer forma de cessão ou promessa de cessão a terceiros, pela Emissora</w:t>
      </w:r>
      <w:r>
        <w:t xml:space="preserve"> e/ou pela Garantidora</w:t>
      </w:r>
      <w:r w:rsidRPr="003B0342">
        <w:t>, das obrigações assumidas nesta Escritura de Emissão</w:t>
      </w:r>
      <w:r>
        <w:t xml:space="preserve"> ou em qualquer dos Contratos de Garantia;</w:t>
      </w:r>
    </w:p>
    <w:p w14:paraId="51F5EC3D" w14:textId="77777777" w:rsidR="00883C1A" w:rsidRPr="002B02D8" w:rsidRDefault="00883C1A" w:rsidP="00883C1A">
      <w:pPr>
        <w:pStyle w:val="Level4"/>
        <w:numPr>
          <w:ilvl w:val="3"/>
          <w:numId w:val="11"/>
        </w:numPr>
        <w:spacing w:before="140" w:after="0"/>
        <w:rPr>
          <w:noProof/>
        </w:rPr>
      </w:pPr>
      <w:r w:rsidRPr="002B02D8">
        <w:t>se for verificada a invalidade, nulidade ou inexequibilidade desta Escritura de Emissão, por meio de decisão judicial transitada em julgado;</w:t>
      </w:r>
      <w:bookmarkEnd w:id="285"/>
    </w:p>
    <w:p w14:paraId="6274C683" w14:textId="77777777" w:rsidR="00883C1A" w:rsidRDefault="00883C1A" w:rsidP="00883C1A">
      <w:pPr>
        <w:pStyle w:val="Level4"/>
        <w:numPr>
          <w:ilvl w:val="3"/>
          <w:numId w:val="11"/>
        </w:numPr>
        <w:spacing w:before="140" w:after="0"/>
        <w:rPr>
          <w:noProof/>
        </w:rPr>
      </w:pPr>
      <w:r w:rsidRPr="00040543">
        <w:rPr>
          <w:noProof/>
        </w:rPr>
        <w:t>descumprimento, pela Emissora</w:t>
      </w:r>
      <w:r>
        <w:rPr>
          <w:noProof/>
        </w:rPr>
        <w:t xml:space="preserve"> e/ou pela Garantidora</w:t>
      </w:r>
      <w:r w:rsidRPr="00040543">
        <w:rPr>
          <w:noProof/>
        </w:rPr>
        <w:t>, de qualquer obrigação não pecuniária prevista nesta Escritura</w:t>
      </w:r>
      <w:r>
        <w:rPr>
          <w:noProof/>
        </w:rPr>
        <w:t xml:space="preserve"> de Emissão e/ou nos Contratos de Garantia</w:t>
      </w:r>
      <w:r w:rsidRPr="00040543">
        <w:rPr>
          <w:noProof/>
        </w:rPr>
        <w:t xml:space="preserve">, não sanada em até </w:t>
      </w:r>
      <w:r>
        <w:rPr>
          <w:noProof/>
        </w:rPr>
        <w:t>15</w:t>
      </w:r>
      <w:r w:rsidRPr="00040543">
        <w:rPr>
          <w:noProof/>
        </w:rPr>
        <w:t xml:space="preserve"> (</w:t>
      </w:r>
      <w:r>
        <w:rPr>
          <w:noProof/>
        </w:rPr>
        <w:t>quinze</w:t>
      </w:r>
      <w:r w:rsidRPr="00040543">
        <w:rPr>
          <w:noProof/>
        </w:rPr>
        <w:t xml:space="preserve">) dias contados da </w:t>
      </w:r>
      <w:r>
        <w:rPr>
          <w:noProof/>
        </w:rPr>
        <w:t>data de ciência de tal descumprimento</w:t>
      </w:r>
      <w:r w:rsidRPr="00040543">
        <w:rPr>
          <w:noProof/>
        </w:rPr>
        <w:t>, exceto se outro prazo estiver sido estabelecido nos termos desta Escritura de Emiss</w:t>
      </w:r>
      <w:r>
        <w:rPr>
          <w:noProof/>
        </w:rPr>
        <w:t>ão</w:t>
      </w:r>
      <w:r w:rsidRPr="00040543">
        <w:rPr>
          <w:noProof/>
        </w:rPr>
        <w:t>;</w:t>
      </w:r>
    </w:p>
    <w:p w14:paraId="34F06E13" w14:textId="77777777" w:rsidR="00883C1A" w:rsidRPr="001D34D1" w:rsidRDefault="00883C1A" w:rsidP="00883C1A">
      <w:pPr>
        <w:pStyle w:val="Level4"/>
        <w:numPr>
          <w:ilvl w:val="3"/>
          <w:numId w:val="11"/>
        </w:numPr>
        <w:spacing w:before="140" w:after="0"/>
        <w:rPr>
          <w:noProof/>
        </w:rPr>
      </w:pPr>
      <w:r w:rsidRPr="001D34D1">
        <w:rPr>
          <w:noProof/>
        </w:rPr>
        <w:t>contratação de novas dívidas ou quaisquer obrigações financeiras pela sociedade de propósito específico responsáve</w:t>
      </w:r>
      <w:r>
        <w:rPr>
          <w:noProof/>
        </w:rPr>
        <w:t>l</w:t>
      </w:r>
      <w:r w:rsidRPr="001D34D1">
        <w:rPr>
          <w:noProof/>
        </w:rPr>
        <w:t xml:space="preserve"> pelo Projeto, no mercado financeiro, bancário ou de capitais</w:t>
      </w:r>
      <w:r>
        <w:rPr>
          <w:noProof/>
        </w:rPr>
        <w:t xml:space="preserve">, </w:t>
      </w:r>
      <w:r w:rsidRPr="001D34D1">
        <w:rPr>
          <w:noProof/>
        </w:rPr>
        <w:t>e/ou mútuos, na qualidade de devedora, afiançada, garantidora e/ou coobrigada</w:t>
      </w:r>
      <w:r>
        <w:rPr>
          <w:noProof/>
        </w:rPr>
        <w:t xml:space="preserve">, exceto conforme previsto no Contrato de Cessão Fiduciária, </w:t>
      </w:r>
      <w:r w:rsidRPr="001D34D1">
        <w:rPr>
          <w:noProof/>
        </w:rPr>
        <w:t>ou adiantamentos para futuros aumentos de capitais (AFACs)</w:t>
      </w:r>
      <w:r>
        <w:rPr>
          <w:noProof/>
        </w:rPr>
        <w:t>, exceto quando convertidos em aumento de capital no prazo de até 6 (seis) meses contado de sua realização;</w:t>
      </w:r>
    </w:p>
    <w:p w14:paraId="06BBAA9E" w14:textId="77777777" w:rsidR="00883C1A" w:rsidRPr="001D34D1" w:rsidRDefault="00883C1A" w:rsidP="00883C1A">
      <w:pPr>
        <w:pStyle w:val="Level4"/>
        <w:numPr>
          <w:ilvl w:val="3"/>
          <w:numId w:val="11"/>
        </w:numPr>
        <w:spacing w:before="140" w:after="0"/>
        <w:rPr>
          <w:noProof/>
        </w:rPr>
      </w:pPr>
      <w:r w:rsidRPr="001D34D1">
        <w:rPr>
          <w:noProof/>
        </w:rPr>
        <w:t>cessão, alienação ou permissão para que sejam alienados os ativos essenciais ao Projeto;</w:t>
      </w:r>
    </w:p>
    <w:p w14:paraId="688D2F76" w14:textId="77777777" w:rsidR="00883C1A" w:rsidRPr="001D34D1" w:rsidRDefault="00883C1A" w:rsidP="00883C1A">
      <w:pPr>
        <w:pStyle w:val="Level4"/>
        <w:numPr>
          <w:ilvl w:val="3"/>
          <w:numId w:val="11"/>
        </w:numPr>
        <w:spacing w:before="140" w:after="0"/>
        <w:rPr>
          <w:noProof/>
        </w:rPr>
      </w:pPr>
      <w:r w:rsidRPr="001D34D1">
        <w:rPr>
          <w:noProof/>
        </w:rPr>
        <w:t xml:space="preserve">constituição de quaisquer ônus ou gravames sobre os ativos do Projeto, incluindo-se quaisquer direitos creditórios e emergentes derivados dos Contratos de </w:t>
      </w:r>
      <w:r w:rsidRPr="00D342CA">
        <w:rPr>
          <w:noProof/>
        </w:rPr>
        <w:t>Concessão, dos CPSTs e dos CUSTs, exceto as</w:t>
      </w:r>
      <w:r w:rsidRPr="001D34D1">
        <w:rPr>
          <w:noProof/>
        </w:rPr>
        <w:t xml:space="preserve"> garantias eventualmente exigidas pela ANEEL ou pelo ONS;</w:t>
      </w:r>
    </w:p>
    <w:p w14:paraId="0B62A753" w14:textId="77777777" w:rsidR="00883C1A" w:rsidRDefault="00883C1A" w:rsidP="00883C1A">
      <w:pPr>
        <w:pStyle w:val="Level4"/>
        <w:numPr>
          <w:ilvl w:val="3"/>
          <w:numId w:val="11"/>
        </w:numPr>
        <w:spacing w:before="140"/>
        <w:rPr>
          <w:noProof/>
        </w:rPr>
      </w:pPr>
      <w:r w:rsidRPr="00BF6EFB">
        <w:rPr>
          <w:noProof/>
        </w:rPr>
        <w:t>inadimplemento no pagamento de quaisquer obrigações pecuniárias de natureza financeira</w:t>
      </w:r>
      <w:r>
        <w:rPr>
          <w:noProof/>
        </w:rPr>
        <w:t xml:space="preserve"> </w:t>
      </w:r>
      <w:r w:rsidRPr="00040543">
        <w:rPr>
          <w:noProof/>
        </w:rPr>
        <w:t xml:space="preserve">a que esteja sujeita a </w:t>
      </w:r>
      <w:r>
        <w:rPr>
          <w:noProof/>
        </w:rPr>
        <w:t>Emissora</w:t>
      </w:r>
      <w:r w:rsidRPr="00040543">
        <w:rPr>
          <w:noProof/>
        </w:rPr>
        <w:t>,</w:t>
      </w:r>
      <w:r>
        <w:rPr>
          <w:noProof/>
        </w:rPr>
        <w:t xml:space="preserve"> </w:t>
      </w:r>
      <w:r w:rsidRPr="00040543">
        <w:rPr>
          <w:noProof/>
        </w:rPr>
        <w:t>assim entendidas aquelas que não decorram de dívidas</w:t>
      </w:r>
      <w:r>
        <w:rPr>
          <w:noProof/>
        </w:rPr>
        <w:t xml:space="preserve"> e/ou obrigações</w:t>
      </w:r>
      <w:r w:rsidRPr="00040543">
        <w:rPr>
          <w:noProof/>
        </w:rPr>
        <w:t xml:space="preserve"> contraídas pela Emissora por </w:t>
      </w:r>
      <w:r w:rsidRPr="009A0391">
        <w:rPr>
          <w:noProof/>
        </w:rPr>
        <w:t>meio de operações no mercado financeiro ou de c</w:t>
      </w:r>
      <w:r w:rsidRPr="00DB6613">
        <w:rPr>
          <w:noProof/>
        </w:rPr>
        <w:t xml:space="preserve">apitais, local ou internacional, em valor individual ou agregado, igual ou superior </w:t>
      </w:r>
      <w:r w:rsidRPr="0007130F">
        <w:rPr>
          <w:noProof/>
        </w:rPr>
        <w:t>a R$</w:t>
      </w:r>
      <w:r w:rsidRPr="00D753AF">
        <w:t>100.000.000,00 (cem milhões de reais</w:t>
      </w:r>
      <w:r w:rsidRPr="00D753AF">
        <w:rPr>
          <w:noProof/>
        </w:rPr>
        <w:t>)</w:t>
      </w:r>
      <w:r w:rsidRPr="0007130F">
        <w:rPr>
          <w:noProof/>
        </w:rPr>
        <w:t>,</w:t>
      </w:r>
      <w:r w:rsidRPr="009A0391">
        <w:rPr>
          <w:noProof/>
        </w:rPr>
        <w:t xml:space="preserve"> observados os prazos de cura estabelecidos nos respectivos contratos</w:t>
      </w:r>
      <w:r>
        <w:rPr>
          <w:noProof/>
        </w:rPr>
        <w:t>, conforme aplicáveis (ou, caso não haja prazo de cura, no prazo de até 5 (cinco) Dias Úteis a contar do vencimento da respectiva obrigação)</w:t>
      </w:r>
      <w:r w:rsidRPr="00040543">
        <w:rPr>
          <w:noProof/>
        </w:rPr>
        <w:t>;</w:t>
      </w:r>
    </w:p>
    <w:p w14:paraId="62B9CC61" w14:textId="77777777" w:rsidR="00883C1A" w:rsidRPr="00476B94" w:rsidRDefault="00883C1A" w:rsidP="00883C1A">
      <w:pPr>
        <w:pStyle w:val="Level4"/>
        <w:numPr>
          <w:ilvl w:val="3"/>
          <w:numId w:val="11"/>
        </w:numPr>
        <w:spacing w:before="140"/>
      </w:pPr>
      <w:r w:rsidRPr="00342794">
        <w:t xml:space="preserve">cisão, fusão ou incorporação </w:t>
      </w:r>
      <w:r w:rsidRPr="00476B94">
        <w:t>da Emissora (incluindo incorporação de ações da Emissora nos termos do artigo 252 da Lei das Sociedades por Ações), exceto na ocorrência de qualquer uma das seguintes hipóteses, mas em qualquer caso observado o disposto no artigo 231 da Lei das</w:t>
      </w:r>
      <w:r w:rsidRPr="00342794">
        <w:t xml:space="preserve"> </w:t>
      </w:r>
      <w:r w:rsidRPr="00476B94">
        <w:t>Sociedades por Ações, sendo assegurado aos Debenturistas que o</w:t>
      </w:r>
      <w:r w:rsidRPr="00342794">
        <w:t xml:space="preserve"> </w:t>
      </w:r>
      <w:r w:rsidRPr="00476B94">
        <w:t>desejarem, durante o prazo mínimo de 6 (seis) meses a contar da data</w:t>
      </w:r>
      <w:r w:rsidRPr="00342794">
        <w:t xml:space="preserve"> </w:t>
      </w:r>
      <w:r w:rsidRPr="00476B94">
        <w:t>de publicação das atas das assembleias relativas à operação, o resgate</w:t>
      </w:r>
      <w:r w:rsidRPr="00342794">
        <w:t xml:space="preserve"> </w:t>
      </w:r>
      <w:r w:rsidRPr="00476B94">
        <w:t>das Debêntures de que forem titulares, mediante o pagamento do Valor</w:t>
      </w:r>
      <w:r w:rsidRPr="00342794">
        <w:t xml:space="preserve"> </w:t>
      </w:r>
      <w:r w:rsidRPr="00476B94">
        <w:t>Nominal Unitário</w:t>
      </w:r>
      <w:r>
        <w:t xml:space="preserve"> ou saldo do Valor Nominal Unitário</w:t>
      </w:r>
      <w:r w:rsidRPr="00476B94">
        <w:t xml:space="preserve"> das Debêntures,</w:t>
      </w:r>
      <w:r>
        <w:t xml:space="preserve"> conforme o caso,</w:t>
      </w:r>
      <w:r w:rsidRPr="00342794">
        <w:t xml:space="preserve"> </w:t>
      </w:r>
      <w:r w:rsidRPr="00476B94">
        <w:t xml:space="preserve">acrescido </w:t>
      </w:r>
      <w:r>
        <w:t>da</w:t>
      </w:r>
      <w:r w:rsidRPr="00476B94">
        <w:t xml:space="preserve"> </w:t>
      </w:r>
      <w:r>
        <w:t>Remuneração</w:t>
      </w:r>
      <w:r w:rsidRPr="00476B94">
        <w:t xml:space="preserve">, calculadas </w:t>
      </w:r>
      <w:r w:rsidRPr="00476B94">
        <w:rPr>
          <w:i/>
          <w:iCs/>
        </w:rPr>
        <w:t>pro rata</w:t>
      </w:r>
      <w:r w:rsidRPr="00342794">
        <w:rPr>
          <w:i/>
          <w:iCs/>
        </w:rPr>
        <w:t xml:space="preserve"> </w:t>
      </w:r>
      <w:proofErr w:type="spellStart"/>
      <w:r w:rsidRPr="00476B94">
        <w:rPr>
          <w:i/>
          <w:iCs/>
        </w:rPr>
        <w:t>temporis</w:t>
      </w:r>
      <w:proofErr w:type="spellEnd"/>
      <w:r w:rsidRPr="00476B94">
        <w:t>, desde a primeira Data de Integralização ou desde a Data de</w:t>
      </w:r>
      <w:r w:rsidRPr="00342794">
        <w:t xml:space="preserve"> </w:t>
      </w:r>
      <w:r w:rsidRPr="00476B94">
        <w:t>Pagamento da respectiva Remuneração imediatamente anterior, até a</w:t>
      </w:r>
      <w:r w:rsidRPr="00342794">
        <w:t xml:space="preserve"> </w:t>
      </w:r>
      <w:r w:rsidRPr="00476B94">
        <w:t>data do efetivo pagamento:</w:t>
      </w:r>
    </w:p>
    <w:p w14:paraId="0CE28C0B" w14:textId="77777777" w:rsidR="00883C1A" w:rsidRDefault="00883C1A" w:rsidP="00883C1A">
      <w:pPr>
        <w:pStyle w:val="Level5"/>
        <w:numPr>
          <w:ilvl w:val="4"/>
          <w:numId w:val="11"/>
        </w:numPr>
      </w:pPr>
      <w:r w:rsidRPr="001066F5">
        <w:t>se a operação não ocasionar redução de capital da Emissora; ou</w:t>
      </w:r>
    </w:p>
    <w:p w14:paraId="6A233D90" w14:textId="77777777" w:rsidR="00883C1A" w:rsidRDefault="00883C1A" w:rsidP="00883C1A">
      <w:pPr>
        <w:pStyle w:val="Level5"/>
        <w:numPr>
          <w:ilvl w:val="4"/>
          <w:numId w:val="11"/>
        </w:numPr>
      </w:pPr>
      <w:r w:rsidRPr="001066F5">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t xml:space="preserve"> ou</w:t>
      </w:r>
    </w:p>
    <w:p w14:paraId="64FDA6A9" w14:textId="77777777" w:rsidR="00883C1A" w:rsidRDefault="00883C1A" w:rsidP="00883C1A">
      <w:pPr>
        <w:pStyle w:val="Level5"/>
        <w:numPr>
          <w:ilvl w:val="4"/>
          <w:numId w:val="11"/>
        </w:numPr>
      </w:pPr>
      <w:r w:rsidRPr="001066F5">
        <w:t>se, após anunciada ou ocorrida tal operação, a classificação de risco (</w:t>
      </w:r>
      <w:r w:rsidRPr="001066F5">
        <w:rPr>
          <w:i/>
        </w:rPr>
        <w:t>rating</w:t>
      </w:r>
      <w:r w:rsidRPr="001066F5">
        <w:t xml:space="preserve">) atribuída na Data de Emissão às Debêntures pela Agência de Classificação de Risco não for objeto de rebaixamento pela Agência de Classificação de Risco em 3 (três) ou mais </w:t>
      </w:r>
      <w:proofErr w:type="spellStart"/>
      <w:r w:rsidRPr="00660195">
        <w:rPr>
          <w:i/>
        </w:rPr>
        <w:t>notches</w:t>
      </w:r>
      <w:proofErr w:type="spellEnd"/>
      <w:r w:rsidRPr="001066F5">
        <w:t>; ou</w:t>
      </w:r>
    </w:p>
    <w:p w14:paraId="71EF8A11" w14:textId="77777777" w:rsidR="00883C1A" w:rsidRPr="00660195" w:rsidRDefault="00883C1A" w:rsidP="00883C1A">
      <w:pPr>
        <w:pStyle w:val="Level5"/>
        <w:numPr>
          <w:ilvl w:val="4"/>
          <w:numId w:val="11"/>
        </w:numPr>
      </w:pPr>
      <w:r w:rsidRPr="001066F5">
        <w:t xml:space="preserve">se a </w:t>
      </w:r>
      <w:r w:rsidRPr="00830237">
        <w:t>Companhia Energética de Minas Gerais – CEMIG</w:t>
      </w:r>
      <w:r w:rsidRPr="00C86A08">
        <w:t xml:space="preserve"> (“</w:t>
      </w:r>
      <w:r w:rsidRPr="00830237">
        <w:rPr>
          <w:b/>
        </w:rPr>
        <w:t>CEMIG</w:t>
      </w:r>
      <w:proofErr w:type="gramStart"/>
      <w:r w:rsidRPr="00C86A08">
        <w:t>”)</w:t>
      </w:r>
      <w:r w:rsidRPr="00830237">
        <w:t xml:space="preserve"> </w:t>
      </w:r>
      <w:r>
        <w:t xml:space="preserve"> ou</w:t>
      </w:r>
      <w:proofErr w:type="gramEnd"/>
      <w:r>
        <w:t xml:space="preserve"> a </w:t>
      </w:r>
      <w:r w:rsidRPr="00977D00">
        <w:t>ISA Investimentos e Participações do Brasil S.A. (“</w:t>
      </w:r>
      <w:r w:rsidRPr="00977D00">
        <w:rPr>
          <w:b/>
        </w:rPr>
        <w:t>ISA</w:t>
      </w:r>
      <w:r w:rsidRPr="00977D00">
        <w:t>”</w:t>
      </w:r>
      <w:r>
        <w:t xml:space="preserve">) </w:t>
      </w:r>
      <w:r w:rsidRPr="001066F5">
        <w:t>permanecer</w:t>
      </w:r>
      <w:r>
        <w:t>em</w:t>
      </w:r>
      <w:r w:rsidRPr="001066F5">
        <w:t xml:space="preserve"> no </w:t>
      </w:r>
      <w:r>
        <w:t>bloco de controle indireto da Emissora</w:t>
      </w:r>
      <w:r w:rsidRPr="001066F5">
        <w:t>.</w:t>
      </w:r>
    </w:p>
    <w:p w14:paraId="0D90A4DE" w14:textId="77777777" w:rsidR="00883C1A" w:rsidRDefault="00883C1A" w:rsidP="00883C1A">
      <w:pPr>
        <w:pStyle w:val="Level4"/>
        <w:numPr>
          <w:ilvl w:val="3"/>
          <w:numId w:val="11"/>
        </w:numPr>
        <w:spacing w:before="140" w:after="0"/>
        <w:rPr>
          <w:noProof/>
        </w:rPr>
      </w:pPr>
      <w:r w:rsidRPr="00040543">
        <w:rPr>
          <w:noProof/>
        </w:rPr>
        <w:t xml:space="preserve">protestos de títulos contra a Emissora, cujo valor unitário ou agregado </w:t>
      </w:r>
      <w:r w:rsidRPr="0007130F">
        <w:rPr>
          <w:noProof/>
        </w:rPr>
        <w:t>ultrapasse R$</w:t>
      </w:r>
      <w:r w:rsidRPr="00D753AF">
        <w:t>100.000.000,00 (cem milhões de reais</w:t>
      </w:r>
      <w:r w:rsidRPr="00D753AF">
        <w:rPr>
          <w:noProof/>
        </w:rPr>
        <w:t>)</w:t>
      </w:r>
      <w:r w:rsidRPr="0007130F">
        <w:rPr>
          <w:noProof/>
        </w:rPr>
        <w:t>, salvo</w:t>
      </w:r>
      <w:r w:rsidRPr="00040543">
        <w:rPr>
          <w:noProof/>
        </w:rPr>
        <w:t xml:space="preserve"> </w:t>
      </w:r>
      <w:r>
        <w:rPr>
          <w:noProof/>
        </w:rPr>
        <w:t xml:space="preserve">se for validamente comprovado pela Emissora, ao Agente Fiduciário, no prazo de até 20 (vinte) Dias Úteis, </w:t>
      </w:r>
      <w:r w:rsidRPr="00040543">
        <w:rPr>
          <w:noProof/>
        </w:rPr>
        <w:t xml:space="preserve">(1) </w:t>
      </w:r>
      <w:r>
        <w:rPr>
          <w:noProof/>
        </w:rPr>
        <w:t>que</w:t>
      </w:r>
      <w:r w:rsidRPr="00040543">
        <w:rPr>
          <w:noProof/>
        </w:rPr>
        <w:t xml:space="preserve"> o protesto </w:t>
      </w:r>
      <w:r>
        <w:rPr>
          <w:noProof/>
        </w:rPr>
        <w:t>foi</w:t>
      </w:r>
      <w:r w:rsidRPr="00040543">
        <w:rPr>
          <w:noProof/>
        </w:rPr>
        <w:t xml:space="preserve"> efetuado por erro ou má-fé de terceiros, ou (2) se o protesto for </w:t>
      </w:r>
      <w:r>
        <w:rPr>
          <w:noProof/>
        </w:rPr>
        <w:t xml:space="preserve">sustado, suspenso ou </w:t>
      </w:r>
      <w:r w:rsidRPr="00040543">
        <w:rPr>
          <w:noProof/>
        </w:rPr>
        <w:t xml:space="preserve">cancelado, em qualquer hipótese, ou (3) se tiver sido apresentada garantia em juízo, aceita pelo </w:t>
      </w:r>
      <w:r>
        <w:rPr>
          <w:noProof/>
        </w:rPr>
        <w:t>P</w:t>
      </w:r>
      <w:r w:rsidRPr="00040543">
        <w:rPr>
          <w:noProof/>
        </w:rPr>
        <w:t xml:space="preserve">oder </w:t>
      </w:r>
      <w:r>
        <w:rPr>
          <w:noProof/>
        </w:rPr>
        <w:t>J</w:t>
      </w:r>
      <w:r w:rsidRPr="00040543">
        <w:rPr>
          <w:noProof/>
        </w:rPr>
        <w:t>udiciário;</w:t>
      </w:r>
    </w:p>
    <w:p w14:paraId="01118157" w14:textId="77777777" w:rsidR="00883C1A" w:rsidRPr="00A3382C" w:rsidRDefault="00883C1A" w:rsidP="00883C1A">
      <w:pPr>
        <w:pStyle w:val="Level4"/>
        <w:numPr>
          <w:ilvl w:val="3"/>
          <w:numId w:val="11"/>
        </w:numPr>
        <w:spacing w:before="140" w:after="0"/>
        <w:rPr>
          <w:noProof/>
        </w:rPr>
      </w:pPr>
      <w:r w:rsidRPr="00040543">
        <w:rPr>
          <w:noProof/>
        </w:rPr>
        <w:t>perda ou cancelamento do registro de companhia aberta</w:t>
      </w:r>
      <w:r>
        <w:rPr>
          <w:noProof/>
        </w:rPr>
        <w:t xml:space="preserve"> da Emissora </w:t>
      </w:r>
      <w:r w:rsidRPr="009941E4">
        <w:rPr>
          <w:noProof/>
        </w:rPr>
        <w:t>na CVM</w:t>
      </w:r>
      <w:r w:rsidRPr="00A3382C">
        <w:rPr>
          <w:noProof/>
        </w:rPr>
        <w:t>;</w:t>
      </w:r>
    </w:p>
    <w:p w14:paraId="179B8BEC" w14:textId="77777777" w:rsidR="00883C1A" w:rsidRPr="00830237" w:rsidRDefault="00883C1A" w:rsidP="00883C1A">
      <w:pPr>
        <w:pStyle w:val="Level4"/>
        <w:numPr>
          <w:ilvl w:val="3"/>
          <w:numId w:val="11"/>
        </w:numPr>
        <w:spacing w:before="140" w:after="0"/>
        <w:rPr>
          <w:noProof/>
        </w:rPr>
      </w:pPr>
      <w:r w:rsidRPr="00830237">
        <w:rPr>
          <w:noProof/>
        </w:rPr>
        <w:t>arresto, sequestro ou penhora de bens da Emissora, em valor igual ou superior, em montante individu</w:t>
      </w:r>
      <w:r w:rsidRPr="0007130F">
        <w:rPr>
          <w:noProof/>
        </w:rPr>
        <w:t>al ou agregado, a R$</w:t>
      </w:r>
      <w:r w:rsidRPr="00D753AF">
        <w:rPr>
          <w:noProof/>
        </w:rPr>
        <w:t>100.000.000,00 (cem milhões de reais)</w:t>
      </w:r>
      <w:r w:rsidRPr="0007130F">
        <w:rPr>
          <w:noProof/>
        </w:rPr>
        <w:t>, exceto se tais</w:t>
      </w:r>
      <w:r w:rsidRPr="00830237">
        <w:rPr>
          <w:noProof/>
        </w:rPr>
        <w:t xml:space="preserve"> arrestos, sequestros ou penhora de bens estiverem </w:t>
      </w:r>
      <w:r w:rsidRPr="0014104D">
        <w:rPr>
          <w:noProof/>
        </w:rPr>
        <w:t xml:space="preserve">clara e expressamente identificados nas (1) notas explicativas das demonstrações </w:t>
      </w:r>
      <w:r w:rsidRPr="00DF1673">
        <w:rPr>
          <w:noProof/>
        </w:rPr>
        <w:t xml:space="preserve">financeiras da Emissora referentes ao exercício findo em </w:t>
      </w:r>
      <w:r w:rsidRPr="00D753AF">
        <w:t xml:space="preserve">31 de dezembro de </w:t>
      </w:r>
      <w:r w:rsidRPr="0007130F">
        <w:rPr>
          <w:noProof/>
        </w:rPr>
        <w:t xml:space="preserve">2018 e das informações financeiras trimestrais referentes ao período encerrado em </w:t>
      </w:r>
      <w:r w:rsidRPr="00D753AF">
        <w:t xml:space="preserve">30 de setembro de </w:t>
      </w:r>
      <w:r w:rsidRPr="0007130F">
        <w:rPr>
          <w:noProof/>
        </w:rPr>
        <w:t>2019; ou</w:t>
      </w:r>
      <w:r w:rsidRPr="00830237">
        <w:rPr>
          <w:noProof/>
        </w:rPr>
        <w:t xml:space="preserve"> (2) se devidamente indicados no Formulário de Referência (conforme definido abaixo);</w:t>
      </w:r>
    </w:p>
    <w:p w14:paraId="4553A1BF" w14:textId="77777777" w:rsidR="00883C1A" w:rsidRDefault="00883C1A" w:rsidP="00883C1A">
      <w:pPr>
        <w:pStyle w:val="Level4"/>
        <w:numPr>
          <w:ilvl w:val="3"/>
          <w:numId w:val="11"/>
        </w:numPr>
        <w:spacing w:before="140"/>
        <w:rPr>
          <w:noProof/>
        </w:rPr>
      </w:pPr>
      <w:r w:rsidRPr="009645D4">
        <w:t xml:space="preserve">(a) rescisão, caducidade, encampação, anulação, </w:t>
      </w:r>
      <w:r>
        <w:t>transferência compulsória das Concessões a terceiros,</w:t>
      </w:r>
      <w:r w:rsidRPr="009645D4">
        <w:t xml:space="preserve"> advento do termo contratual, sem a devida prorrogação, anulação decorrente de vício ou irregularidade constatada no procedimento ou no ato de sua outorga, nos termos dos contrato</w:t>
      </w:r>
      <w:r>
        <w:t>s</w:t>
      </w:r>
      <w:r w:rsidRPr="009645D4">
        <w:t xml:space="preserve"> de concessão para transmissão de energia elétrica celebrados com a Emissora ou suas controladas</w:t>
      </w:r>
      <w:r>
        <w:t xml:space="preserve"> </w:t>
      </w:r>
      <w:r w:rsidRPr="009941E4">
        <w:t>(“</w:t>
      </w:r>
      <w:r w:rsidRPr="00A3382C">
        <w:rPr>
          <w:b/>
        </w:rPr>
        <w:t>Concessões</w:t>
      </w:r>
      <w:r w:rsidRPr="009645D4">
        <w:t>”)</w:t>
      </w:r>
      <w:r>
        <w:t xml:space="preserve">, em qualquer caso desta alínea que sejam relativas ao Projeto ou </w:t>
      </w:r>
      <w:r w:rsidRPr="009941E4">
        <w:t xml:space="preserve">representem </w:t>
      </w:r>
      <w:r w:rsidRPr="00FB2FCC">
        <w:t>15% (quinze por cento</w:t>
      </w:r>
      <w:r w:rsidRPr="00880E0D">
        <w:t>)</w:t>
      </w:r>
      <w:r w:rsidRPr="00487D65">
        <w:t xml:space="preserve"> das receitas operacionais líquidas anuais da Emissora</w:t>
      </w:r>
      <w:r>
        <w:t>;</w:t>
      </w:r>
      <w:r w:rsidRPr="009645D4">
        <w:t xml:space="preserve"> </w:t>
      </w:r>
    </w:p>
    <w:p w14:paraId="3470E687" w14:textId="77777777" w:rsidR="00883C1A" w:rsidRPr="00977D00" w:rsidRDefault="00883C1A" w:rsidP="00883C1A">
      <w:pPr>
        <w:pStyle w:val="Level4"/>
        <w:numPr>
          <w:ilvl w:val="3"/>
          <w:numId w:val="11"/>
        </w:numPr>
      </w:pPr>
      <w:r w:rsidRPr="00830237">
        <w:t>caso a CEMIG</w:t>
      </w:r>
      <w:r w:rsidRPr="00C86A08">
        <w:t xml:space="preserve"> </w:t>
      </w:r>
      <w:r>
        <w:t xml:space="preserve">e a </w:t>
      </w:r>
      <w:r w:rsidRPr="00A01AB2">
        <w:t>ISA</w:t>
      </w:r>
      <w:r>
        <w:t>, conjuntamente,</w:t>
      </w:r>
      <w:r w:rsidRPr="00A01AB2">
        <w:t xml:space="preserve"> </w:t>
      </w:r>
      <w:r w:rsidRPr="00C1268C">
        <w:t>deixe</w:t>
      </w:r>
      <w:r>
        <w:t>m</w:t>
      </w:r>
      <w:r w:rsidRPr="00C1268C">
        <w:t xml:space="preserve"> de participar do bloco de controle direto ou indireto da Emissora</w:t>
      </w:r>
      <w:r w:rsidRPr="00977D00">
        <w:t xml:space="preserve">, ficando expressamente excepcionados: (i) os casos que ISA e Cemig deixem de controlar diretamente a </w:t>
      </w:r>
      <w:r>
        <w:t>Emissora</w:t>
      </w:r>
      <w:r w:rsidRPr="00977D00">
        <w:t>, mantendo o controle indireto; ou (</w:t>
      </w:r>
      <w:proofErr w:type="spellStart"/>
      <w:r w:rsidRPr="00977D00">
        <w:t>ii</w:t>
      </w:r>
      <w:proofErr w:type="spellEnd"/>
      <w:r w:rsidRPr="00977D00">
        <w:t>) nas hipóteses em que ISA ou Cemig, de maneira isolada, aliene</w:t>
      </w:r>
      <w:r>
        <w:t>m</w:t>
      </w:r>
      <w:r w:rsidRPr="00977D00">
        <w:t xml:space="preserve"> sua respectiva participação societária, desde que ISA ou Cemig permaneça</w:t>
      </w:r>
      <w:r>
        <w:t>m</w:t>
      </w:r>
      <w:r w:rsidRPr="00977D00">
        <w:t xml:space="preserve"> no controle da </w:t>
      </w:r>
      <w:r>
        <w:t>Emissora;</w:t>
      </w:r>
    </w:p>
    <w:p w14:paraId="6A48ABCC" w14:textId="77777777" w:rsidR="00883C1A" w:rsidRDefault="00883C1A" w:rsidP="00883C1A">
      <w:pPr>
        <w:pStyle w:val="Level4"/>
        <w:numPr>
          <w:ilvl w:val="3"/>
          <w:numId w:val="11"/>
        </w:numPr>
        <w:spacing w:before="140"/>
      </w:pPr>
      <w:r w:rsidRPr="00056862">
        <w:rPr>
          <w:noProof/>
        </w:rPr>
        <w:t>não obtenção, não renovação, cancelamento, revogação, suspensão ou extinção das autorizações, concessões, 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Pr>
          <w:noProof/>
        </w:rPr>
        <w:t>; e</w:t>
      </w:r>
    </w:p>
    <w:p w14:paraId="00F39A63" w14:textId="77777777" w:rsidR="00883C1A" w:rsidRPr="00631497" w:rsidRDefault="00883C1A" w:rsidP="00883C1A">
      <w:pPr>
        <w:pStyle w:val="Level4"/>
        <w:numPr>
          <w:ilvl w:val="3"/>
          <w:numId w:val="11"/>
        </w:numPr>
        <w:spacing w:before="140"/>
      </w:pPr>
      <w:r w:rsidRPr="00631497">
        <w:t>vencimento</w:t>
      </w:r>
      <w:r w:rsidRPr="00631497">
        <w:rPr>
          <w:noProof/>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R$ 100.000.000,00 (cem milhões de reais).</w:t>
      </w:r>
    </w:p>
    <w:p w14:paraId="1C768350" w14:textId="77777777" w:rsidR="00883C1A" w:rsidRPr="009E6B2F" w:rsidRDefault="00883C1A" w:rsidP="00883C1A">
      <w:pPr>
        <w:pStyle w:val="Level2"/>
        <w:numPr>
          <w:ilvl w:val="1"/>
          <w:numId w:val="11"/>
        </w:numPr>
        <w:spacing w:before="140" w:after="0"/>
        <w:rPr>
          <w:rFonts w:cs="Arial"/>
          <w:szCs w:val="20"/>
        </w:rPr>
      </w:pPr>
      <w:bookmarkStart w:id="286" w:name="_Ref391996822"/>
      <w:bookmarkStart w:id="287" w:name="_Ref475654684"/>
      <w:r w:rsidRPr="009E6B2F">
        <w:t xml:space="preserve">A ocorrência de quaisquer dos Eventos de Vencimento Antecipado previstos na </w:t>
      </w:r>
      <w:r w:rsidRPr="009E6B2F">
        <w:rPr>
          <w:rFonts w:cs="Arial"/>
          <w:szCs w:val="20"/>
        </w:rPr>
        <w:t xml:space="preserve">Cláusula </w:t>
      </w:r>
      <w:r w:rsidRPr="008A43E2">
        <w:fldChar w:fldCharType="begin"/>
      </w:r>
      <w:r w:rsidRPr="008A43E2">
        <w:instrText xml:space="preserve"> REF _Ref416256173 \r \h  \* MERGEFORMAT </w:instrText>
      </w:r>
      <w:r w:rsidRPr="008A43E2">
        <w:fldChar w:fldCharType="separate"/>
      </w:r>
      <w:r>
        <w:t>6.1.1</w:t>
      </w:r>
      <w:r w:rsidRPr="008A43E2">
        <w:fldChar w:fldCharType="end"/>
      </w:r>
      <w:r w:rsidRPr="009E6B2F">
        <w:t xml:space="preserve"> acima, não sanados nos respectivos prazos de cura, </w:t>
      </w:r>
      <w:r>
        <w:t>quando</w:t>
      </w:r>
      <w:r w:rsidRPr="009E6B2F">
        <w:t xml:space="preserve"> aplicável, acarretará o vencimento antecipado automático das Debêntures, independentemente de qualquer aviso ou notificação, judicial ou extrajudicial.</w:t>
      </w:r>
      <w:bookmarkEnd w:id="286"/>
      <w:bookmarkEnd w:id="287"/>
    </w:p>
    <w:p w14:paraId="09984226" w14:textId="77777777" w:rsidR="00883C1A" w:rsidRDefault="00883C1A" w:rsidP="00883C1A">
      <w:pPr>
        <w:pStyle w:val="Level2"/>
        <w:numPr>
          <w:ilvl w:val="1"/>
          <w:numId w:val="11"/>
        </w:numPr>
        <w:spacing w:before="140" w:after="0"/>
      </w:pPr>
      <w:bookmarkStart w:id="288" w:name="_Ref391996829"/>
      <w:r w:rsidRPr="009E6B2F">
        <w:t>Na ocorrência dos Eventos de Vencimento Antecipado previstos na</w:t>
      </w:r>
      <w:r w:rsidRPr="009E6B2F">
        <w:rPr>
          <w:rFonts w:cs="Arial"/>
          <w:szCs w:val="20"/>
        </w:rPr>
        <w:t xml:space="preserve"> Cláusula</w:t>
      </w:r>
      <w:r w:rsidRPr="009E6B2F">
        <w:t xml:space="preserve"> </w:t>
      </w:r>
      <w:r>
        <w:fldChar w:fldCharType="begin"/>
      </w:r>
      <w:r>
        <w:instrText xml:space="preserve"> REF _Ref479844251 \r \h </w:instrText>
      </w:r>
      <w:r>
        <w:fldChar w:fldCharType="separate"/>
      </w:r>
      <w:r>
        <w:t>6.1.2</w:t>
      </w:r>
      <w:r>
        <w:fldChar w:fldCharType="end"/>
      </w:r>
      <w:r w:rsidRPr="009E6B2F">
        <w:t xml:space="preserve"> acima, o Agente Fiduciário deverá convocar, no prazo máximo de </w:t>
      </w:r>
      <w:r>
        <w:t>5</w:t>
      </w:r>
      <w:r w:rsidRPr="009E6B2F">
        <w:t xml:space="preserve"> (</w:t>
      </w:r>
      <w:r>
        <w:t>cinco</w:t>
      </w:r>
      <w:r w:rsidRPr="009E6B2F">
        <w:t>) Dias Úteis a contar do momento em que tomar ciência do evento, Assembleia Gera</w:t>
      </w:r>
      <w:r>
        <w:t>l</w:t>
      </w:r>
      <w:r w:rsidRPr="009E6B2F">
        <w:t xml:space="preserve"> de Debenturistas, a se realizar nos prazos e demais condições descritas na Cláusula </w:t>
      </w:r>
      <w:r>
        <w:fldChar w:fldCharType="begin"/>
      </w:r>
      <w:r>
        <w:instrText xml:space="preserve"> REF _Ref427712773 \r \h </w:instrText>
      </w:r>
      <w:r>
        <w:fldChar w:fldCharType="separate"/>
      </w:r>
      <w:r>
        <w:t>10</w:t>
      </w:r>
      <w:r>
        <w:fldChar w:fldCharType="end"/>
      </w:r>
      <w:r w:rsidRPr="009E6B2F">
        <w:t xml:space="preserve"> abaixo, para </w:t>
      </w:r>
      <w:r w:rsidRPr="0039677F">
        <w:t xml:space="preserve">deliberar sobre a </w:t>
      </w:r>
      <w:r w:rsidRPr="00463E46">
        <w:t xml:space="preserve">não </w:t>
      </w:r>
      <w:r w:rsidRPr="0039677F">
        <w:t>decretação de vencimento antecipado das obrigações decorrentes</w:t>
      </w:r>
      <w:r w:rsidRPr="009E6B2F">
        <w:t xml:space="preserve"> das Debêntures</w:t>
      </w:r>
      <w:r>
        <w:t xml:space="preserve"> nos termos desta Escritura de Emissão</w:t>
      </w:r>
      <w:r w:rsidRPr="009E6B2F">
        <w:t>.</w:t>
      </w:r>
      <w:bookmarkEnd w:id="288"/>
    </w:p>
    <w:p w14:paraId="312E5F9E" w14:textId="77777777" w:rsidR="00883C1A" w:rsidRPr="00E42FD6" w:rsidRDefault="00883C1A" w:rsidP="00883C1A">
      <w:pPr>
        <w:pStyle w:val="Level2"/>
        <w:numPr>
          <w:ilvl w:val="1"/>
          <w:numId w:val="11"/>
        </w:numPr>
        <w:spacing w:before="140" w:after="0"/>
      </w:pPr>
      <w:bookmarkStart w:id="289" w:name="_Ref392008629"/>
      <w:r w:rsidRPr="00AF5C73">
        <w:t>Na Assembleia Geral de Debenturistas de que trata a</w:t>
      </w:r>
      <w:r w:rsidRPr="000B7D59">
        <w:t xml:space="preserve"> </w:t>
      </w:r>
      <w:r w:rsidRPr="000B7D59">
        <w:rPr>
          <w:rFonts w:cs="Arial"/>
          <w:szCs w:val="20"/>
        </w:rPr>
        <w:t>Cláusula</w:t>
      </w:r>
      <w:r w:rsidRPr="000B7D59">
        <w:t xml:space="preserve"> </w:t>
      </w:r>
      <w:r w:rsidRPr="001C1776">
        <w:fldChar w:fldCharType="begin"/>
      </w:r>
      <w:r w:rsidRPr="005808C3">
        <w:instrText xml:space="preserve"> REF _Ref391996829 \r \h  \* MERGEFORMAT </w:instrText>
      </w:r>
      <w:r w:rsidRPr="001C1776">
        <w:fldChar w:fldCharType="separate"/>
      </w:r>
      <w:r>
        <w:t>6.3</w:t>
      </w:r>
      <w:r w:rsidRPr="001C1776">
        <w:fldChar w:fldCharType="end"/>
      </w:r>
      <w:r w:rsidRPr="00AF5C73">
        <w:t xml:space="preserve"> acima, Debenturistas representando, no mínimo, </w:t>
      </w:r>
      <w:r w:rsidRPr="00AF5C73">
        <w:rPr>
          <w:b/>
        </w:rPr>
        <w:t>(i)</w:t>
      </w:r>
      <w:r w:rsidRPr="00AF5C73">
        <w:t xml:space="preserve"> </w:t>
      </w:r>
      <w:bookmarkEnd w:id="289"/>
      <w:r w:rsidRPr="00AF5C73">
        <w:t>2/3</w:t>
      </w:r>
      <w:r w:rsidRPr="000B7D59">
        <w:t xml:space="preserve"> (dois terços) das Debêntures em Circulação em primeira convocação, e </w:t>
      </w:r>
      <w:r w:rsidRPr="000B7D59">
        <w:rPr>
          <w:b/>
        </w:rPr>
        <w:t>(</w:t>
      </w:r>
      <w:proofErr w:type="spellStart"/>
      <w:r w:rsidRPr="000B7D59">
        <w:rPr>
          <w:b/>
        </w:rPr>
        <w:t>ii</w:t>
      </w:r>
      <w:proofErr w:type="spellEnd"/>
      <w:r w:rsidRPr="000B7D59">
        <w:rPr>
          <w:b/>
        </w:rPr>
        <w:t>)</w:t>
      </w:r>
      <w:r w:rsidRPr="00E42FD6">
        <w:t xml:space="preserve"> 50% (cinquenta por cento) mais uma das Debêntures em Circulação presentes na Assembleia Geral de Debenturistas instalada em segunda convocação, poderão decidir por não declarar o vencimento antecipado das obrigações decorrentes das Debêntures, nos termos desta Escritura de Emissão, sendo certo que tal decisão terá caráter irrevogável e irretratável.</w:t>
      </w:r>
    </w:p>
    <w:p w14:paraId="5B170E3F" w14:textId="77777777" w:rsidR="00883C1A" w:rsidRDefault="00883C1A" w:rsidP="00883C1A">
      <w:pPr>
        <w:pStyle w:val="Level2"/>
        <w:numPr>
          <w:ilvl w:val="1"/>
          <w:numId w:val="11"/>
        </w:numPr>
        <w:spacing w:before="140" w:after="0"/>
      </w:pPr>
      <w:bookmarkStart w:id="290" w:name="_Ref416258031"/>
      <w:bookmarkStart w:id="291" w:name="_Ref392008814"/>
      <w:r w:rsidRPr="009E6B2F">
        <w:t xml:space="preserve">Na hipótese: </w:t>
      </w:r>
      <w:r w:rsidRPr="00155484">
        <w:rPr>
          <w:b/>
        </w:rPr>
        <w:t>(i)</w:t>
      </w:r>
      <w:r w:rsidRPr="009E6B2F">
        <w:t xml:space="preserve"> </w:t>
      </w:r>
      <w:r>
        <w:t xml:space="preserve">de a Assembleia Geral de Debenturistas não se realizar, por qualquer motivo; </w:t>
      </w:r>
      <w:r w:rsidRPr="00660195">
        <w:rPr>
          <w:b/>
        </w:rPr>
        <w:t>(</w:t>
      </w:r>
      <w:proofErr w:type="spellStart"/>
      <w:r w:rsidRPr="00660195">
        <w:rPr>
          <w:b/>
        </w:rPr>
        <w:t>ii</w:t>
      </w:r>
      <w:proofErr w:type="spellEnd"/>
      <w:r w:rsidRPr="00660195">
        <w:rPr>
          <w:b/>
        </w:rPr>
        <w:t>)</w:t>
      </w:r>
      <w:r>
        <w:t xml:space="preserve"> </w:t>
      </w:r>
      <w:r w:rsidRPr="009E6B2F">
        <w:t>da não instalação, em segunda convocação, da Assembleia Gera</w:t>
      </w:r>
      <w:r>
        <w:t>l</w:t>
      </w:r>
      <w:r w:rsidRPr="009E6B2F">
        <w:t xml:space="preserve"> de Debenturistas</w:t>
      </w:r>
      <w:r>
        <w:t xml:space="preserve"> mencionada na Cláusula </w:t>
      </w:r>
      <w:r>
        <w:fldChar w:fldCharType="begin"/>
      </w:r>
      <w:r>
        <w:instrText xml:space="preserve"> REF _Ref391996829 \r \h </w:instrText>
      </w:r>
      <w:r>
        <w:fldChar w:fldCharType="separate"/>
      </w:r>
      <w:r>
        <w:t>6.3</w:t>
      </w:r>
      <w:r>
        <w:fldChar w:fldCharType="end"/>
      </w:r>
      <w:r w:rsidRPr="009E6B2F">
        <w:t xml:space="preserve">; ou </w:t>
      </w:r>
      <w:r w:rsidRPr="00155484">
        <w:rPr>
          <w:b/>
        </w:rPr>
        <w:t>(</w:t>
      </w:r>
      <w:proofErr w:type="spellStart"/>
      <w:r w:rsidRPr="00155484">
        <w:rPr>
          <w:b/>
        </w:rPr>
        <w:t>ii</w:t>
      </w:r>
      <w:r>
        <w:rPr>
          <w:b/>
        </w:rPr>
        <w:t>i</w:t>
      </w:r>
      <w:proofErr w:type="spellEnd"/>
      <w:r w:rsidRPr="00155484">
        <w:rPr>
          <w:b/>
        </w:rPr>
        <w:t>)</w:t>
      </w:r>
      <w:r w:rsidRPr="009E6B2F">
        <w:t xml:space="preserve"> de </w:t>
      </w:r>
      <w:r>
        <w:t xml:space="preserve">não </w:t>
      </w:r>
      <w:r w:rsidRPr="009E6B2F">
        <w:t>ser aprovad</w:t>
      </w:r>
      <w:r>
        <w:t>a</w:t>
      </w:r>
      <w:r w:rsidRPr="009E6B2F">
        <w:t xml:space="preserve"> </w:t>
      </w:r>
      <w:r w:rsidRPr="00D15D59">
        <w:t xml:space="preserve">a </w:t>
      </w:r>
      <w:r>
        <w:t xml:space="preserve">não </w:t>
      </w:r>
      <w:r w:rsidRPr="00D15D59">
        <w:t>declaração de vencimento antecipado</w:t>
      </w:r>
      <w:r w:rsidRPr="009E6B2F">
        <w:t xml:space="preserve"> prevista na Cláusula </w:t>
      </w:r>
      <w:r w:rsidRPr="00CF72AB">
        <w:fldChar w:fldCharType="begin"/>
      </w:r>
      <w:r w:rsidRPr="00CF72AB">
        <w:instrText xml:space="preserve"> REF _Ref391996829 \r \h  \* MERGEFORMAT </w:instrText>
      </w:r>
      <w:r w:rsidRPr="00CF72AB">
        <w:fldChar w:fldCharType="separate"/>
      </w:r>
      <w:r>
        <w:t>6.3</w:t>
      </w:r>
      <w:r w:rsidRPr="00CF72AB">
        <w:fldChar w:fldCharType="end"/>
      </w:r>
      <w:r w:rsidRPr="009E6B2F">
        <w:t xml:space="preserve"> </w:t>
      </w:r>
      <w:r>
        <w:t>acima</w:t>
      </w:r>
      <w:r w:rsidRPr="00D15D59">
        <w:t>,</w:t>
      </w:r>
      <w:r>
        <w:t xml:space="preserve"> </w:t>
      </w:r>
      <w:r w:rsidRPr="009E6B2F">
        <w:t xml:space="preserve">o Agente Fiduciário </w:t>
      </w:r>
      <w:r>
        <w:t>deverá</w:t>
      </w:r>
      <w:r w:rsidRPr="009E6B2F">
        <w:t xml:space="preserve"> declarar o vencimento antecipado de todas as obrigações decorrentes das Debêntures</w:t>
      </w:r>
      <w:r>
        <w:t>, nos termos desta Escritura de Emissão</w:t>
      </w:r>
      <w:r w:rsidRPr="009E6B2F">
        <w:t>.</w:t>
      </w:r>
      <w:bookmarkEnd w:id="290"/>
      <w:bookmarkEnd w:id="291"/>
    </w:p>
    <w:p w14:paraId="1E8A60EA" w14:textId="77777777" w:rsidR="00883C1A" w:rsidRDefault="00883C1A" w:rsidP="00883C1A">
      <w:pPr>
        <w:pStyle w:val="Level2"/>
        <w:numPr>
          <w:ilvl w:val="1"/>
          <w:numId w:val="11"/>
        </w:numPr>
        <w:spacing w:before="140" w:after="0"/>
      </w:pPr>
      <w:bookmarkStart w:id="292" w:name="_Ref420336801"/>
      <w:bookmarkStart w:id="293" w:name="_Ref474506393"/>
      <w:bookmarkStart w:id="294" w:name="_Ref392008803"/>
      <w:r w:rsidRPr="00830237">
        <w:t xml:space="preserve">Nos casos de Eventos de Vencimento Antecipado não automáticos indicados na Cláusula </w:t>
      </w:r>
      <w:r w:rsidRPr="00830237">
        <w:fldChar w:fldCharType="begin"/>
      </w:r>
      <w:r w:rsidRPr="00830237">
        <w:instrText xml:space="preserve"> REF _Ref479844251 \r \h </w:instrText>
      </w:r>
      <w:r>
        <w:rPr>
          <w:highlight w:val="green"/>
        </w:rPr>
        <w:instrText xml:space="preserve"> \* MERGEFORMAT </w:instrText>
      </w:r>
      <w:r w:rsidRPr="00830237">
        <w:fldChar w:fldCharType="separate"/>
      </w:r>
      <w:r>
        <w:t>6.1.2</w:t>
      </w:r>
      <w:r w:rsidRPr="00830237">
        <w:fldChar w:fldCharType="end"/>
      </w:r>
      <w:r w:rsidRPr="00830237">
        <w:t xml:space="preserve">, o Agente Fiduciário deverá comunicar, por escrito, eventual vencimento antecipado das Debêntures à Emissora, à </w:t>
      </w:r>
      <w:r>
        <w:rPr>
          <w:rFonts w:cs="Arial"/>
        </w:rPr>
        <w:t xml:space="preserve">B3 – Segmento </w:t>
      </w:r>
      <w:proofErr w:type="spellStart"/>
      <w:r>
        <w:rPr>
          <w:rFonts w:cs="Arial"/>
        </w:rPr>
        <w:t>Cetip</w:t>
      </w:r>
      <w:proofErr w:type="spellEnd"/>
      <w:r>
        <w:rPr>
          <w:rFonts w:cs="Arial"/>
        </w:rPr>
        <w:t xml:space="preserve"> UTVM</w:t>
      </w:r>
      <w:r w:rsidRPr="00830237">
        <w:t xml:space="preserve">, à </w:t>
      </w:r>
      <w:r>
        <w:t>B3</w:t>
      </w:r>
      <w:r w:rsidRPr="00830237">
        <w:t xml:space="preserve"> e ao Banco Liquidante (i) por meio de correio eletrônico na mesma data da realização da respectiva Assembleia Geral de Debenturistas, e (</w:t>
      </w:r>
      <w:proofErr w:type="spellStart"/>
      <w:r w:rsidRPr="00830237">
        <w:t>ii</w:t>
      </w:r>
      <w:proofErr w:type="spellEnd"/>
      <w:r w:rsidRPr="00830237">
        <w:t>) mediante carta protocolada ou com AR expedido pelos Correios, no prazo máximo de 2 (dois) Dias Úteis contados da realização da respectiva Assembleia Geral de Debenturistas na qual foi deliberado o vencimento antecipado das Debêntures</w:t>
      </w:r>
      <w:r w:rsidRPr="009605FA">
        <w:t>.</w:t>
      </w:r>
      <w:bookmarkEnd w:id="292"/>
      <w:bookmarkEnd w:id="293"/>
    </w:p>
    <w:p w14:paraId="3DB4C0E2" w14:textId="77777777" w:rsidR="00883C1A" w:rsidRPr="009605FA" w:rsidRDefault="00883C1A" w:rsidP="00883C1A">
      <w:pPr>
        <w:pStyle w:val="Level2"/>
        <w:numPr>
          <w:ilvl w:val="1"/>
          <w:numId w:val="11"/>
        </w:numPr>
        <w:spacing w:before="140"/>
      </w:pPr>
      <w:bookmarkStart w:id="295" w:name="_Ref536531820"/>
      <w:r w:rsidRPr="009605FA">
        <w:t xml:space="preserve">Em caso de declaração do vencimento antecipado das obrigações decorrentes das Debêntures, a Emissora obriga-se a </w:t>
      </w:r>
      <w:r>
        <w:t>pagar</w:t>
      </w:r>
      <w:r w:rsidRPr="009605FA">
        <w:t xml:space="preserve"> a totalidade das Debêntures, pelo Valor Nominal Unitário</w:t>
      </w:r>
      <w:r w:rsidRPr="004A3C10">
        <w:t xml:space="preserve"> </w:t>
      </w:r>
      <w:r>
        <w:t>ou o saldo do Valor Nominal Unitário</w:t>
      </w:r>
      <w:r w:rsidRPr="009605FA">
        <w:t xml:space="preserve">, </w:t>
      </w:r>
      <w:r>
        <w:t>conforme o caso</w:t>
      </w:r>
      <w:r w:rsidRPr="009605FA">
        <w:t>, acrescido da Remuneraç</w:t>
      </w:r>
      <w:r>
        <w:t>ão</w:t>
      </w:r>
      <w:r w:rsidRPr="009605FA">
        <w:t xml:space="preserve">, calculada </w:t>
      </w:r>
      <w:r w:rsidRPr="009605FA">
        <w:rPr>
          <w:i/>
          <w:iCs/>
        </w:rPr>
        <w:t xml:space="preserve">pro rata </w:t>
      </w:r>
      <w:proofErr w:type="spellStart"/>
      <w:r w:rsidRPr="009605FA">
        <w:rPr>
          <w:i/>
          <w:iCs/>
        </w:rPr>
        <w:t>temporis</w:t>
      </w:r>
      <w:proofErr w:type="spellEnd"/>
      <w:r w:rsidRPr="009605FA">
        <w:t xml:space="preserve">, desde a </w:t>
      </w:r>
      <w:r w:rsidRPr="009605FA">
        <w:rPr>
          <w:rFonts w:cs="Arial"/>
          <w:color w:val="000000"/>
          <w:szCs w:val="20"/>
        </w:rPr>
        <w:t xml:space="preserve">primeira </w:t>
      </w:r>
      <w:r w:rsidRPr="009605FA">
        <w:t xml:space="preserve">Data de Integralização ou desde a </w:t>
      </w:r>
      <w:r w:rsidRPr="009605FA">
        <w:rPr>
          <w:rFonts w:cs="Arial"/>
          <w:szCs w:val="20"/>
        </w:rPr>
        <w:t xml:space="preserve">Data de Pagamento da Remuneração imediatamente anterior, </w:t>
      </w:r>
      <w:r w:rsidRPr="009605FA">
        <w:t>até a data do efetivo pagamento, sem prejuízo do pagamento dos Encargos Moratórios, quando for o caso e de quaisquer outros valores eventualmente devidos pela Emissora nos termos desta Escritura de Emissão.</w:t>
      </w:r>
      <w:bookmarkEnd w:id="295"/>
    </w:p>
    <w:p w14:paraId="5A5869B4" w14:textId="77777777" w:rsidR="00883C1A" w:rsidRDefault="00883C1A" w:rsidP="00883C1A">
      <w:pPr>
        <w:pStyle w:val="Level3"/>
        <w:numPr>
          <w:ilvl w:val="2"/>
          <w:numId w:val="11"/>
        </w:numPr>
        <w:spacing w:before="140"/>
        <w:ind w:left="1360"/>
        <w:rPr>
          <w:lang w:val="pt-BR"/>
        </w:rPr>
      </w:pPr>
      <w:bookmarkStart w:id="296" w:name="_Ref475086917"/>
      <w:r>
        <w:rPr>
          <w:lang w:val="pt-BR"/>
        </w:rPr>
        <w:t xml:space="preserve">No caso de declaração de vencimento antecipado, o pagamento deverá ser realizado </w:t>
      </w:r>
      <w:r w:rsidRPr="009605FA">
        <w:rPr>
          <w:lang w:val="pt-BR"/>
        </w:rPr>
        <w:t xml:space="preserve">em </w:t>
      </w:r>
      <w:r w:rsidRPr="0023277A">
        <w:rPr>
          <w:lang w:val="pt-BR"/>
        </w:rPr>
        <w:t>até 3 (três)</w:t>
      </w:r>
      <w:r w:rsidRPr="009605FA">
        <w:rPr>
          <w:lang w:val="pt-BR"/>
        </w:rPr>
        <w:t xml:space="preserve"> Dias Úteis contados da data em que for declarado o vencimento antecipado das obrigações decorrentes das Debêntures, mediante comunicação por escrito a ser enviada pelo Agente Fiduciário à Emissora </w:t>
      </w:r>
      <w:r>
        <w:rPr>
          <w:lang w:val="pt-BR"/>
        </w:rPr>
        <w:t>(</w:t>
      </w:r>
      <w:r w:rsidRPr="009605FA">
        <w:rPr>
          <w:lang w:val="pt-BR"/>
        </w:rPr>
        <w:t xml:space="preserve">i) por meio de correio eletrônico na data </w:t>
      </w:r>
      <w:r>
        <w:rPr>
          <w:lang w:val="pt-BR"/>
        </w:rPr>
        <w:t>da declaração de vencimento antecipado</w:t>
      </w:r>
      <w:r w:rsidRPr="009605FA">
        <w:rPr>
          <w:lang w:val="pt-BR"/>
        </w:rPr>
        <w:t xml:space="preserve">, </w:t>
      </w:r>
      <w:r>
        <w:rPr>
          <w:lang w:val="pt-BR"/>
        </w:rPr>
        <w:t>ou</w:t>
      </w:r>
      <w:r w:rsidRPr="009605FA">
        <w:rPr>
          <w:lang w:val="pt-BR"/>
        </w:rPr>
        <w:t xml:space="preserve"> (</w:t>
      </w:r>
      <w:proofErr w:type="spellStart"/>
      <w:r w:rsidRPr="009605FA">
        <w:rPr>
          <w:lang w:val="pt-BR"/>
        </w:rPr>
        <w:t>ii</w:t>
      </w:r>
      <w:proofErr w:type="spellEnd"/>
      <w:r w:rsidRPr="009605FA">
        <w:rPr>
          <w:lang w:val="pt-BR"/>
        </w:rPr>
        <w:t xml:space="preserve">) mediante carta protocolada ou com AR expedido pelos Correios, na data </w:t>
      </w:r>
      <w:r>
        <w:rPr>
          <w:lang w:val="pt-BR"/>
        </w:rPr>
        <w:t>da declaração de vencimento antecipado,</w:t>
      </w:r>
      <w:r w:rsidRPr="009605FA">
        <w:rPr>
          <w:lang w:val="pt-BR"/>
        </w:rPr>
        <w:t xml:space="preserve"> </w:t>
      </w:r>
      <w:r>
        <w:rPr>
          <w:lang w:val="pt-BR"/>
        </w:rPr>
        <w:t xml:space="preserve">conforme dados de contato dispostos na </w:t>
      </w:r>
      <w:r w:rsidRPr="009605FA">
        <w:rPr>
          <w:lang w:val="pt-BR"/>
        </w:rPr>
        <w:t xml:space="preserve">Cláusula </w:t>
      </w:r>
      <w:r>
        <w:rPr>
          <w:lang w:val="pt-BR"/>
        </w:rPr>
        <w:fldChar w:fldCharType="begin"/>
      </w:r>
      <w:r>
        <w:rPr>
          <w:lang w:val="pt-BR"/>
        </w:rPr>
        <w:instrText xml:space="preserve"> REF _Ref475086807 \r \h </w:instrText>
      </w:r>
      <w:r>
        <w:rPr>
          <w:lang w:val="pt-BR"/>
        </w:rPr>
      </w:r>
      <w:r>
        <w:rPr>
          <w:lang w:val="pt-BR"/>
        </w:rPr>
        <w:fldChar w:fldCharType="separate"/>
      </w:r>
      <w:r>
        <w:rPr>
          <w:lang w:val="pt-BR"/>
        </w:rPr>
        <w:t>12</w:t>
      </w:r>
      <w:r>
        <w:rPr>
          <w:lang w:val="pt-BR"/>
        </w:rPr>
        <w:fldChar w:fldCharType="end"/>
      </w:r>
      <w:r w:rsidRPr="009605FA">
        <w:rPr>
          <w:lang w:val="pt-BR"/>
        </w:rPr>
        <w:t xml:space="preserve"> desta Escritura de Emissão,</w:t>
      </w:r>
      <w:r>
        <w:rPr>
          <w:lang w:val="pt-BR"/>
        </w:rPr>
        <w:t xml:space="preserve"> sob pena de, no caso de não realização do pagamento</w:t>
      </w:r>
      <w:r w:rsidRPr="009605FA">
        <w:rPr>
          <w:lang w:val="pt-BR"/>
        </w:rPr>
        <w:t>, ficar obrigada, ainda, ao pagamento dos Encargos Moratórios.</w:t>
      </w:r>
      <w:bookmarkEnd w:id="294"/>
      <w:bookmarkEnd w:id="296"/>
    </w:p>
    <w:p w14:paraId="0CDC02CC" w14:textId="77777777" w:rsidR="00883C1A" w:rsidRPr="009605FA" w:rsidRDefault="00883C1A" w:rsidP="00883C1A">
      <w:pPr>
        <w:pStyle w:val="Level3"/>
        <w:numPr>
          <w:ilvl w:val="2"/>
          <w:numId w:val="11"/>
        </w:numPr>
        <w:spacing w:before="140"/>
        <w:ind w:left="1360"/>
        <w:rPr>
          <w:lang w:val="pt-BR"/>
        </w:rPr>
      </w:pPr>
      <w:bookmarkStart w:id="297" w:name="_Ref475359355"/>
      <w:r>
        <w:rPr>
          <w:lang w:val="pt-BR"/>
        </w:rPr>
        <w:t xml:space="preserve">O pagamento mencionado na Cláusula </w:t>
      </w:r>
      <w:r>
        <w:rPr>
          <w:lang w:val="pt-BR"/>
        </w:rPr>
        <w:fldChar w:fldCharType="begin"/>
      </w:r>
      <w:r>
        <w:rPr>
          <w:lang w:val="pt-BR"/>
        </w:rPr>
        <w:instrText xml:space="preserve"> REF _Ref475086917 \r \h </w:instrText>
      </w:r>
      <w:r>
        <w:rPr>
          <w:lang w:val="pt-BR"/>
        </w:rPr>
      </w:r>
      <w:r>
        <w:rPr>
          <w:lang w:val="pt-BR"/>
        </w:rPr>
        <w:fldChar w:fldCharType="separate"/>
      </w:r>
      <w:r>
        <w:rPr>
          <w:lang w:val="pt-BR"/>
        </w:rPr>
        <w:t>6.7.1</w:t>
      </w:r>
      <w:r>
        <w:rPr>
          <w:lang w:val="pt-BR"/>
        </w:rPr>
        <w:fldChar w:fldCharType="end"/>
      </w:r>
      <w:r>
        <w:rPr>
          <w:lang w:val="pt-BR"/>
        </w:rPr>
        <w:t xml:space="preserve"> deverá ser </w:t>
      </w:r>
      <w:r w:rsidRPr="008949B5">
        <w:rPr>
          <w:lang w:val="pt-BR"/>
        </w:rPr>
        <w:t xml:space="preserve">realizado </w:t>
      </w:r>
      <w:r w:rsidRPr="00757FB6">
        <w:rPr>
          <w:lang w:val="pt-BR"/>
        </w:rPr>
        <w:t>no</w:t>
      </w:r>
      <w:r w:rsidRPr="008949B5">
        <w:rPr>
          <w:lang w:val="pt-BR"/>
        </w:rPr>
        <w:t xml:space="preserve"> ambiente</w:t>
      </w:r>
      <w:r>
        <w:rPr>
          <w:lang w:val="pt-BR"/>
        </w:rPr>
        <w:t xml:space="preserve"> B3 – Segmento </w:t>
      </w:r>
      <w:proofErr w:type="spellStart"/>
      <w:r>
        <w:rPr>
          <w:lang w:val="pt-BR"/>
        </w:rPr>
        <w:t>Cetip</w:t>
      </w:r>
      <w:proofErr w:type="spellEnd"/>
      <w:r>
        <w:rPr>
          <w:lang w:val="pt-BR"/>
        </w:rPr>
        <w:t xml:space="preserve"> UTVM, a qual deverá ser notificada neste sentido com até 3 (três) Dias Úteis de antecedência da data deste pagamento.</w:t>
      </w:r>
      <w:bookmarkEnd w:id="297"/>
      <w:r>
        <w:rPr>
          <w:lang w:val="pt-BR"/>
        </w:rPr>
        <w:t xml:space="preserve"> </w:t>
      </w:r>
    </w:p>
    <w:p w14:paraId="6F640EDE" w14:textId="77777777" w:rsidR="00883C1A" w:rsidRPr="00CE12B1" w:rsidRDefault="00883C1A" w:rsidP="00883C1A">
      <w:pPr>
        <w:pStyle w:val="Level1"/>
        <w:keepNext w:val="0"/>
        <w:keepLines w:val="0"/>
        <w:numPr>
          <w:ilvl w:val="0"/>
          <w:numId w:val="11"/>
        </w:numPr>
        <w:autoSpaceDE w:val="0"/>
        <w:autoSpaceDN w:val="0"/>
        <w:adjustRightInd w:val="0"/>
        <w:spacing w:before="140" w:after="0"/>
        <w:jc w:val="left"/>
      </w:pPr>
      <w:r w:rsidRPr="00CE12B1">
        <w:t>CARACTERÍSTICAS DA OFERTA</w:t>
      </w:r>
    </w:p>
    <w:p w14:paraId="6C9B54C7" w14:textId="77777777" w:rsidR="00883C1A" w:rsidRPr="00CE12B1" w:rsidRDefault="00883C1A" w:rsidP="00883C1A">
      <w:pPr>
        <w:pStyle w:val="Level2"/>
        <w:numPr>
          <w:ilvl w:val="1"/>
          <w:numId w:val="11"/>
        </w:numPr>
        <w:spacing w:before="140" w:after="0"/>
        <w:rPr>
          <w:b/>
        </w:rPr>
      </w:pPr>
      <w:r w:rsidRPr="00CE12B1">
        <w:rPr>
          <w:b/>
        </w:rPr>
        <w:t xml:space="preserve">Colocação e Procedimento de Distribuição </w:t>
      </w:r>
    </w:p>
    <w:p w14:paraId="1E10597F" w14:textId="77777777" w:rsidR="00883C1A" w:rsidRPr="00293CD9" w:rsidRDefault="00883C1A" w:rsidP="00883C1A">
      <w:pPr>
        <w:pStyle w:val="Level3"/>
        <w:numPr>
          <w:ilvl w:val="2"/>
          <w:numId w:val="11"/>
        </w:numPr>
        <w:spacing w:before="140" w:after="0"/>
        <w:rPr>
          <w:lang w:val="pt-BR"/>
        </w:rPr>
      </w:pPr>
      <w:r w:rsidRPr="00125E03">
        <w:rPr>
          <w:lang w:val="pt-BR"/>
        </w:rPr>
        <w:t xml:space="preserve">As Debêntures serão objeto de distribuição pública, com esforços restritos de distribuição, nos termos da Instrução CVM 476, em regime de </w:t>
      </w:r>
      <w:r w:rsidRPr="00D753AF">
        <w:rPr>
          <w:lang w:val="pt-BR"/>
        </w:rPr>
        <w:t>garantia firme</w:t>
      </w:r>
      <w:r w:rsidRPr="00125E03">
        <w:rPr>
          <w:lang w:val="pt-BR"/>
        </w:rPr>
        <w:t xml:space="preserve"> de colocação para o Valor Total da Emissão, de forma individual e não solidária, com a intermediação de instituiç</w:t>
      </w:r>
      <w:r>
        <w:rPr>
          <w:lang w:val="pt-BR"/>
        </w:rPr>
        <w:t>ão</w:t>
      </w:r>
      <w:r w:rsidRPr="00125E03">
        <w:rPr>
          <w:lang w:val="pt-BR"/>
        </w:rPr>
        <w:t xml:space="preserve"> financeira integrante do sistema de distribuição de valores mobiliários responsáve</w:t>
      </w:r>
      <w:r>
        <w:rPr>
          <w:lang w:val="pt-BR"/>
        </w:rPr>
        <w:t>l</w:t>
      </w:r>
      <w:r w:rsidRPr="00125E03">
        <w:rPr>
          <w:lang w:val="pt-BR"/>
        </w:rPr>
        <w:t xml:space="preserve"> pela distribuição das </w:t>
      </w:r>
      <w:r w:rsidRPr="0007130F">
        <w:rPr>
          <w:lang w:val="pt-BR"/>
        </w:rPr>
        <w:t>Debêntures (“</w:t>
      </w:r>
      <w:r w:rsidRPr="0007130F">
        <w:rPr>
          <w:b/>
          <w:lang w:val="pt-BR"/>
        </w:rPr>
        <w:t>Coordenador</w:t>
      </w:r>
      <w:r>
        <w:rPr>
          <w:b/>
          <w:lang w:val="pt-BR"/>
        </w:rPr>
        <w:t xml:space="preserve"> Líder</w:t>
      </w:r>
      <w:r w:rsidRPr="00125E03">
        <w:rPr>
          <w:lang w:val="pt-BR"/>
        </w:rPr>
        <w:t>”), nos termos do “</w:t>
      </w:r>
      <w:r w:rsidRPr="00134F48">
        <w:rPr>
          <w:i/>
          <w:lang w:val="pt-BR"/>
        </w:rPr>
        <w:t>Contrato de Coordenação, Colocação e Distribuição Pública, com Esforços Restritos, sob o Regime de Garantia Firme de Colocação, de Debêntures Simples, Não Conversíveis em Ações, em</w:t>
      </w:r>
      <w:r>
        <w:rPr>
          <w:i/>
          <w:lang w:val="pt-BR"/>
        </w:rPr>
        <w:t xml:space="preserve"> Série Única</w:t>
      </w:r>
      <w:r w:rsidRPr="008B53CF">
        <w:rPr>
          <w:i/>
          <w:lang w:val="pt-BR"/>
        </w:rPr>
        <w:t xml:space="preserve">, </w:t>
      </w:r>
      <w:r w:rsidRPr="00372BF4">
        <w:rPr>
          <w:i/>
          <w:lang w:val="pt-BR"/>
        </w:rPr>
        <w:t xml:space="preserve">da Espécie </w:t>
      </w:r>
      <w:r w:rsidRPr="00372BF4">
        <w:rPr>
          <w:i/>
          <w:szCs w:val="20"/>
          <w:lang w:val="pt-BR"/>
        </w:rPr>
        <w:t>com Garantia Real</w:t>
      </w:r>
      <w:r w:rsidRPr="00372BF4">
        <w:rPr>
          <w:i/>
          <w:lang w:val="pt-BR"/>
        </w:rPr>
        <w:t>, da</w:t>
      </w:r>
      <w:r w:rsidRPr="00134F48">
        <w:rPr>
          <w:i/>
          <w:lang w:val="pt-BR"/>
        </w:rPr>
        <w:t xml:space="preserve"> </w:t>
      </w:r>
      <w:r>
        <w:rPr>
          <w:i/>
          <w:lang w:val="pt-BR"/>
        </w:rPr>
        <w:t>8</w:t>
      </w:r>
      <w:r w:rsidRPr="00134F48">
        <w:rPr>
          <w:i/>
          <w:lang w:val="pt-BR"/>
        </w:rPr>
        <w:t>ª (</w:t>
      </w:r>
      <w:r>
        <w:rPr>
          <w:i/>
          <w:lang w:val="pt-BR"/>
        </w:rPr>
        <w:t>Oitava</w:t>
      </w:r>
      <w:r w:rsidRPr="00134F48">
        <w:rPr>
          <w:i/>
          <w:lang w:val="pt-BR"/>
        </w:rPr>
        <w:t>) Emissão da Transmissora Aliança de Energia Elétrica S.A.</w:t>
      </w:r>
      <w:r w:rsidRPr="00125E03">
        <w:rPr>
          <w:lang w:val="pt-BR"/>
        </w:rPr>
        <w:t xml:space="preserve">”, a ser celebrado entre a Emissora e </w:t>
      </w:r>
      <w:r w:rsidRPr="00293CD9">
        <w:rPr>
          <w:lang w:val="pt-BR"/>
        </w:rPr>
        <w:t>o Coordenador</w:t>
      </w:r>
      <w:r>
        <w:rPr>
          <w:lang w:val="pt-BR"/>
        </w:rPr>
        <w:t xml:space="preserve"> Líder</w:t>
      </w:r>
      <w:r w:rsidRPr="00293CD9">
        <w:rPr>
          <w:lang w:val="pt-BR"/>
        </w:rPr>
        <w:t xml:space="preserve"> (“</w:t>
      </w:r>
      <w:r w:rsidRPr="00293CD9">
        <w:rPr>
          <w:b/>
          <w:lang w:val="pt-BR"/>
        </w:rPr>
        <w:t>Contrato de Distribuição</w:t>
      </w:r>
      <w:r w:rsidRPr="00293CD9">
        <w:rPr>
          <w:lang w:val="pt-BR"/>
        </w:rPr>
        <w:t>”).</w:t>
      </w:r>
      <w:r>
        <w:rPr>
          <w:lang w:val="pt-BR"/>
        </w:rPr>
        <w:t xml:space="preserve"> </w:t>
      </w:r>
    </w:p>
    <w:p w14:paraId="744612B5" w14:textId="77777777" w:rsidR="00883C1A" w:rsidRPr="0014104D" w:rsidRDefault="00883C1A" w:rsidP="00883C1A">
      <w:pPr>
        <w:pStyle w:val="Level3"/>
        <w:numPr>
          <w:ilvl w:val="2"/>
          <w:numId w:val="11"/>
        </w:numPr>
        <w:spacing w:before="140" w:after="0"/>
        <w:rPr>
          <w:lang w:val="pt-BR"/>
        </w:rPr>
      </w:pPr>
      <w:bookmarkStart w:id="298"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Pr>
          <w:szCs w:val="20"/>
          <w:lang w:val="pt-BR"/>
        </w:rPr>
        <w:t>7.1.3</w:t>
      </w:r>
      <w:r>
        <w:rPr>
          <w:szCs w:val="20"/>
          <w:lang w:val="pt-BR"/>
        </w:rPr>
        <w:fldChar w:fldCharType="end"/>
      </w:r>
      <w:r>
        <w:rPr>
          <w:szCs w:val="20"/>
          <w:lang w:val="pt-BR"/>
        </w:rPr>
        <w:t>.</w:t>
      </w:r>
      <w:bookmarkEnd w:id="298"/>
    </w:p>
    <w:p w14:paraId="3F48A516" w14:textId="77777777" w:rsidR="00883C1A" w:rsidRPr="0014104D" w:rsidRDefault="00883C1A" w:rsidP="00883C1A">
      <w:pPr>
        <w:pStyle w:val="Level3"/>
        <w:numPr>
          <w:ilvl w:val="2"/>
          <w:numId w:val="11"/>
        </w:numPr>
        <w:spacing w:before="140" w:after="0"/>
        <w:rPr>
          <w:lang w:val="pt-BR"/>
        </w:rPr>
      </w:pPr>
      <w:bookmarkStart w:id="299"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 </w:t>
      </w:r>
      <w:r>
        <w:rPr>
          <w:szCs w:val="20"/>
          <w:lang w:val="pt-BR"/>
        </w:rPr>
        <w:t>Coordenador Líder</w:t>
      </w:r>
      <w:r w:rsidRPr="00125E03">
        <w:rPr>
          <w:szCs w:val="20"/>
          <w:lang w:val="pt-BR"/>
        </w:rPr>
        <w:t xml:space="preserve"> para as Debêntures que tenham sido subscritas e integralizadas pelo </w:t>
      </w:r>
      <w:r>
        <w:rPr>
          <w:szCs w:val="20"/>
          <w:lang w:val="pt-BR"/>
        </w:rPr>
        <w:t>Coordenador Líder</w:t>
      </w:r>
      <w:r w:rsidRPr="00125E03" w:rsidDel="00F517EB">
        <w:rPr>
          <w:szCs w:val="20"/>
          <w:lang w:val="pt-BR"/>
        </w:rPr>
        <w:t xml:space="preserve"> </w:t>
      </w:r>
      <w:r w:rsidRPr="00125E03">
        <w:rPr>
          <w:szCs w:val="20"/>
          <w:lang w:val="pt-BR"/>
        </w:rPr>
        <w:t xml:space="preserve">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 </w:t>
      </w:r>
      <w:r>
        <w:rPr>
          <w:szCs w:val="20"/>
          <w:lang w:val="pt-BR"/>
        </w:rPr>
        <w:t>Coordenador Líder</w:t>
      </w:r>
      <w:r w:rsidRPr="00125E03">
        <w:rPr>
          <w:szCs w:val="20"/>
          <w:lang w:val="pt-BR"/>
        </w:rPr>
        <w:t>; (</w:t>
      </w:r>
      <w:proofErr w:type="spellStart"/>
      <w:r w:rsidRPr="00125E03">
        <w:rPr>
          <w:szCs w:val="20"/>
          <w:lang w:val="pt-BR"/>
        </w:rPr>
        <w:t>ii</w:t>
      </w:r>
      <w:proofErr w:type="spellEnd"/>
      <w:r w:rsidRPr="00125E03">
        <w:rPr>
          <w:szCs w:val="20"/>
          <w:lang w:val="pt-BR"/>
        </w:rPr>
        <w:t xml:space="preserve">) os </w:t>
      </w:r>
      <w:r>
        <w:rPr>
          <w:szCs w:val="20"/>
          <w:lang w:val="pt-BR"/>
        </w:rPr>
        <w:t>Coordenador Líder</w:t>
      </w:r>
      <w:r w:rsidRPr="00125E03" w:rsidDel="00F517EB">
        <w:rPr>
          <w:szCs w:val="20"/>
          <w:lang w:val="pt-BR"/>
        </w:rPr>
        <w:t xml:space="preserve"> </w:t>
      </w:r>
      <w:r w:rsidRPr="00125E03">
        <w:rPr>
          <w:szCs w:val="20"/>
          <w:lang w:val="pt-BR"/>
        </w:rPr>
        <w:t>verifique o cumprimento das regras previstas nos artigos 2º e 3º da Instrução CVM 476; e (</w:t>
      </w:r>
      <w:proofErr w:type="spellStart"/>
      <w:r w:rsidRPr="00125E03">
        <w:rPr>
          <w:szCs w:val="20"/>
          <w:lang w:val="pt-BR"/>
        </w:rPr>
        <w:t>iii</w:t>
      </w:r>
      <w:proofErr w:type="spellEnd"/>
      <w:r w:rsidRPr="00125E03">
        <w:rPr>
          <w:szCs w:val="20"/>
          <w:lang w:val="pt-BR"/>
        </w:rPr>
        <w:t xml:space="preserve">) a negociação das Debêntures deve ser realizada nas mesmas condições aplicáveis à Oferta, podendo o valor de transferência das Debêntures ser equivalente ao Valor Nominal Unitário </w:t>
      </w:r>
      <w:r>
        <w:rPr>
          <w:lang w:val="pt-BR"/>
        </w:rPr>
        <w:t>ou o saldo do Valor Nominal Unitário ou o Valor Nominal Unitário Atualizado</w:t>
      </w:r>
      <w:r w:rsidRPr="009605FA">
        <w:rPr>
          <w:lang w:val="pt-BR"/>
        </w:rPr>
        <w:t xml:space="preserve">, </w:t>
      </w:r>
      <w:r>
        <w:rPr>
          <w:lang w:val="pt-BR"/>
        </w:rPr>
        <w:t>conforme o caso,</w:t>
      </w:r>
      <w:r w:rsidRPr="00125E03">
        <w:rPr>
          <w:szCs w:val="20"/>
          <w:lang w:val="pt-BR"/>
        </w:rPr>
        <w:t xml:space="preserve"> acrescido da Remuneração, calculada </w:t>
      </w:r>
      <w:r w:rsidRPr="00125E03">
        <w:rPr>
          <w:i/>
          <w:szCs w:val="20"/>
          <w:lang w:val="pt-BR"/>
        </w:rPr>
        <w:t xml:space="preserve">pro rata </w:t>
      </w:r>
      <w:proofErr w:type="spellStart"/>
      <w:r w:rsidRPr="00125E03">
        <w:rPr>
          <w:i/>
          <w:szCs w:val="20"/>
          <w:lang w:val="pt-BR"/>
        </w:rPr>
        <w:t>temporis</w:t>
      </w:r>
      <w:proofErr w:type="spellEnd"/>
      <w:r w:rsidRPr="00125E03">
        <w:rPr>
          <w:szCs w:val="20"/>
          <w:lang w:val="pt-BR"/>
        </w:rPr>
        <w:t xml:space="preserve">, desde a </w:t>
      </w:r>
      <w:r>
        <w:rPr>
          <w:szCs w:val="20"/>
          <w:lang w:val="pt-BR"/>
        </w:rPr>
        <w:t>p</w:t>
      </w:r>
      <w:r w:rsidRPr="00125E03">
        <w:rPr>
          <w:szCs w:val="20"/>
          <w:lang w:val="pt-BR"/>
        </w:rPr>
        <w:t xml:space="preserve">rimeira Data de Integralização </w:t>
      </w:r>
      <w:r>
        <w:rPr>
          <w:szCs w:val="20"/>
          <w:lang w:val="pt-BR"/>
        </w:rPr>
        <w:t>ou da Data de Pagamento da Remuneração, conforme o caso,</w:t>
      </w:r>
      <w:r w:rsidRPr="00125E03">
        <w:rPr>
          <w:szCs w:val="20"/>
          <w:lang w:val="pt-BR"/>
        </w:rPr>
        <w:t xml:space="preserve"> até a data de sua efetiva aquisição.</w:t>
      </w:r>
      <w:bookmarkEnd w:id="299"/>
    </w:p>
    <w:p w14:paraId="60F2163B" w14:textId="77777777" w:rsidR="00883C1A" w:rsidRPr="009E6B2F" w:rsidRDefault="00883C1A" w:rsidP="00883C1A">
      <w:pPr>
        <w:pStyle w:val="Level3"/>
        <w:numPr>
          <w:ilvl w:val="2"/>
          <w:numId w:val="11"/>
        </w:numPr>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424BBC16" w14:textId="77777777" w:rsidR="00883C1A" w:rsidRDefault="00883C1A" w:rsidP="00883C1A">
      <w:pPr>
        <w:pStyle w:val="Level2"/>
        <w:numPr>
          <w:ilvl w:val="1"/>
          <w:numId w:val="11"/>
        </w:numPr>
        <w:spacing w:before="140" w:after="0"/>
        <w:rPr>
          <w:b/>
        </w:rPr>
      </w:pPr>
      <w:bookmarkStart w:id="300" w:name="_Ref434432135"/>
      <w:r w:rsidRPr="009E6B2F">
        <w:rPr>
          <w:b/>
        </w:rPr>
        <w:t>Público Alvo da Oferta</w:t>
      </w:r>
      <w:bookmarkEnd w:id="300"/>
      <w:r w:rsidRPr="009E6B2F">
        <w:rPr>
          <w:b/>
        </w:rPr>
        <w:t xml:space="preserve"> </w:t>
      </w:r>
    </w:p>
    <w:p w14:paraId="6E7B6BFC" w14:textId="77777777" w:rsidR="00883C1A" w:rsidRDefault="00883C1A" w:rsidP="00883C1A">
      <w:pPr>
        <w:pStyle w:val="Level3"/>
        <w:numPr>
          <w:ilvl w:val="2"/>
          <w:numId w:val="11"/>
        </w:numPr>
        <w:spacing w:before="140" w:after="0"/>
        <w:rPr>
          <w:lang w:val="pt-BR"/>
        </w:rPr>
      </w:pPr>
      <w:r w:rsidRPr="00660195">
        <w:rPr>
          <w:lang w:val="pt-BR"/>
        </w:rPr>
        <w:t xml:space="preserve">O Público Alvo da Oferta é composto por </w:t>
      </w:r>
      <w:r w:rsidRPr="00125E03">
        <w:rPr>
          <w:szCs w:val="20"/>
          <w:lang w:val="pt-BR"/>
        </w:rPr>
        <w:t>“</w:t>
      </w:r>
      <w:r w:rsidRPr="00125E03">
        <w:rPr>
          <w:b/>
          <w:szCs w:val="20"/>
          <w:lang w:val="pt-BR"/>
        </w:rPr>
        <w:t>Investidores Profissionais</w:t>
      </w:r>
      <w:r w:rsidRPr="00125E03">
        <w:rPr>
          <w:szCs w:val="20"/>
          <w:lang w:val="pt-BR"/>
        </w:rPr>
        <w:t>”</w:t>
      </w:r>
      <w:r>
        <w:rPr>
          <w:szCs w:val="20"/>
          <w:lang w:val="pt-BR"/>
        </w:rPr>
        <w:t>, assim definidos</w:t>
      </w:r>
      <w:r w:rsidRPr="00125E03">
        <w:rPr>
          <w:szCs w:val="20"/>
          <w:lang w:val="pt-BR"/>
        </w:rPr>
        <w:t xml:space="preserve"> aqueles investidores referidos no artigo 9º-A da Instrução da CVM 539</w:t>
      </w:r>
      <w:r w:rsidRPr="00660195">
        <w:rPr>
          <w:lang w:val="pt-BR"/>
        </w:rPr>
        <w:t xml:space="preserve">. </w:t>
      </w:r>
    </w:p>
    <w:p w14:paraId="0FEA9424" w14:textId="77777777" w:rsidR="00883C1A" w:rsidRPr="009E6B2F" w:rsidRDefault="00883C1A" w:rsidP="00883C1A">
      <w:pPr>
        <w:pStyle w:val="Level2"/>
        <w:numPr>
          <w:ilvl w:val="1"/>
          <w:numId w:val="11"/>
        </w:numPr>
        <w:spacing w:before="140" w:after="0"/>
        <w:rPr>
          <w:b/>
        </w:rPr>
      </w:pPr>
      <w:r w:rsidRPr="009E6B2F">
        <w:rPr>
          <w:b/>
        </w:rPr>
        <w:t xml:space="preserve">Plano de </w:t>
      </w:r>
      <w:r w:rsidRPr="00E65131">
        <w:rPr>
          <w:b/>
        </w:rPr>
        <w:t>Distribuição</w:t>
      </w:r>
      <w:r w:rsidRPr="009E6B2F">
        <w:rPr>
          <w:b/>
        </w:rPr>
        <w:t xml:space="preserve"> </w:t>
      </w:r>
    </w:p>
    <w:p w14:paraId="3541EAA4" w14:textId="77777777" w:rsidR="00883C1A" w:rsidRPr="00125E03" w:rsidRDefault="00883C1A" w:rsidP="00883C1A">
      <w:pPr>
        <w:pStyle w:val="Level3"/>
        <w:numPr>
          <w:ilvl w:val="2"/>
          <w:numId w:val="11"/>
        </w:numPr>
        <w:rPr>
          <w:lang w:val="pt-BR"/>
        </w:rPr>
      </w:pPr>
      <w:r>
        <w:rPr>
          <w:szCs w:val="20"/>
          <w:lang w:val="pt-BR"/>
        </w:rPr>
        <w:t>O Coordenador Líder</w:t>
      </w:r>
      <w:r w:rsidRPr="00125E03" w:rsidDel="00F517EB">
        <w:rPr>
          <w:lang w:val="pt-BR"/>
        </w:rPr>
        <w:t xml:space="preserve"> </w:t>
      </w:r>
      <w:r w:rsidRPr="00125E03">
        <w:rPr>
          <w:lang w:val="pt-BR"/>
        </w:rPr>
        <w:t>organizar</w:t>
      </w:r>
      <w:r>
        <w:rPr>
          <w:lang w:val="pt-BR"/>
        </w:rPr>
        <w:t>á</w:t>
      </w:r>
      <w:r w:rsidRPr="00125E03">
        <w:rPr>
          <w:lang w:val="pt-BR"/>
        </w:rPr>
        <w:t xml:space="preserve"> a distribuição e colocação das Debêntures, observado o disposto na Instrução CVM 476, de forma a assegurar: (i) que o tratamento conferido aos Investidores Profissionais, seja justo e equitativo; e (</w:t>
      </w:r>
      <w:proofErr w:type="spellStart"/>
      <w:r w:rsidRPr="00125E03">
        <w:rPr>
          <w:lang w:val="pt-BR"/>
        </w:rPr>
        <w:t>ii</w:t>
      </w:r>
      <w:proofErr w:type="spellEnd"/>
      <w:r w:rsidRPr="00125E03">
        <w:rPr>
          <w:lang w:val="pt-BR"/>
        </w:rPr>
        <w:t xml:space="preserve">) a adequação do investimento ao perfil de risco dos clientes do </w:t>
      </w:r>
      <w:r>
        <w:rPr>
          <w:szCs w:val="20"/>
          <w:lang w:val="pt-BR"/>
        </w:rPr>
        <w:t>Coordenador Líder</w:t>
      </w:r>
      <w:r w:rsidRPr="00125E03">
        <w:rPr>
          <w:lang w:val="pt-BR"/>
        </w:rPr>
        <w:t xml:space="preserve">. O plano de distribuição será fixado pelos Coordenadores, em conjunto com a Emissora, levando em consideração suas relações com investidores e outras considerações de natureza comercial ou estratégica </w:t>
      </w:r>
      <w:r>
        <w:rPr>
          <w:lang w:val="pt-BR"/>
        </w:rPr>
        <w:t xml:space="preserve">do </w:t>
      </w:r>
      <w:r>
        <w:rPr>
          <w:szCs w:val="20"/>
          <w:lang w:val="pt-BR"/>
        </w:rPr>
        <w:t>Coordenador Líder</w:t>
      </w:r>
      <w:r w:rsidRPr="00125E03">
        <w:rPr>
          <w:lang w:val="pt-BR"/>
        </w:rPr>
        <w:t xml:space="preserve"> e da Emissora (“</w:t>
      </w:r>
      <w:r w:rsidRPr="00125E03">
        <w:rPr>
          <w:b/>
          <w:lang w:val="pt-BR"/>
        </w:rPr>
        <w:t>Plano de Distribuição</w:t>
      </w:r>
      <w:r w:rsidRPr="00125E03">
        <w:rPr>
          <w:lang w:val="pt-BR"/>
        </w:rPr>
        <w:t>”). O Plano de Distribuição será estabelecido mediante os seguintes termos:</w:t>
      </w:r>
    </w:p>
    <w:p w14:paraId="3CD36CF2" w14:textId="77777777" w:rsidR="00883C1A" w:rsidRPr="00125E03" w:rsidRDefault="00883C1A" w:rsidP="00883C1A">
      <w:pPr>
        <w:pStyle w:val="Level4"/>
        <w:numPr>
          <w:ilvl w:val="3"/>
          <w:numId w:val="11"/>
        </w:numPr>
      </w:pPr>
      <w:bookmarkStart w:id="301" w:name="_Ref516666996"/>
      <w:r>
        <w:t>o Coordenador Líder poderá</w:t>
      </w:r>
      <w:r w:rsidRPr="00125E03">
        <w:t xml:space="preserve"> acessar, no máximo, 75 (setenta e cinco) Investidores Profissionais, sendo possível a subscrição ou aquisição de Debêntures por, no máximo, 50 (cinquenta) Investidores Profissionais, nos termos do artigo 3º, incisos I e II, da Instrução CVM 476;</w:t>
      </w:r>
      <w:bookmarkEnd w:id="301"/>
    </w:p>
    <w:p w14:paraId="160751D0" w14:textId="77777777" w:rsidR="00883C1A" w:rsidRPr="00125E03" w:rsidRDefault="00883C1A" w:rsidP="00883C1A">
      <w:pPr>
        <w:pStyle w:val="Level4"/>
        <w:numPr>
          <w:ilvl w:val="3"/>
          <w:numId w:val="11"/>
        </w:numPr>
      </w:pPr>
      <w:r w:rsidRPr="00125E03">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instrText xml:space="preserve"> REF _Ref516666996 \r \p \h  \* MERGEFORMAT </w:instrText>
      </w:r>
      <w:r w:rsidRPr="00252AD1">
        <w:fldChar w:fldCharType="separate"/>
      </w:r>
      <w:r>
        <w:t>(i) acima</w:t>
      </w:r>
      <w:r w:rsidRPr="00252AD1">
        <w:fldChar w:fldCharType="end"/>
      </w:r>
      <w:r w:rsidRPr="00125E03">
        <w:t>, conforme disposto no artigo 3º, parágrafo 1º, da Instrução CVM 476;</w:t>
      </w:r>
    </w:p>
    <w:p w14:paraId="31DA607F" w14:textId="77777777" w:rsidR="00883C1A" w:rsidRPr="00125E03" w:rsidRDefault="00883C1A" w:rsidP="00883C1A">
      <w:pPr>
        <w:pStyle w:val="Level4"/>
        <w:numPr>
          <w:ilvl w:val="3"/>
          <w:numId w:val="11"/>
        </w:numPr>
      </w:pPr>
      <w:r w:rsidRPr="00125E03">
        <w:t>não existirão reservas antecipadas, nem fixação de lotes mínimos ou máximos para a subscrição das Debêntures;</w:t>
      </w:r>
    </w:p>
    <w:p w14:paraId="21B4AA00" w14:textId="77777777" w:rsidR="00883C1A" w:rsidRPr="00125E03" w:rsidRDefault="00883C1A" w:rsidP="00883C1A">
      <w:pPr>
        <w:pStyle w:val="Level4"/>
        <w:numPr>
          <w:ilvl w:val="3"/>
          <w:numId w:val="11"/>
        </w:numPr>
      </w:pPr>
      <w:r w:rsidRPr="00125E03">
        <w:t xml:space="preserve">serão atendidos os clientes Investidores Profissionais </w:t>
      </w:r>
      <w:r>
        <w:t>do Coordenador Líder</w:t>
      </w:r>
      <w:r w:rsidRPr="00125E03">
        <w:t xml:space="preserve"> que desejarem efetuar investimentos nas Debêntures, tendo em vista a relação do</w:t>
      </w:r>
      <w:r>
        <w:t xml:space="preserve"> Coordenador Líder</w:t>
      </w:r>
      <w:r w:rsidRPr="00125E03" w:rsidDel="00F517EB">
        <w:t xml:space="preserve"> </w:t>
      </w:r>
      <w:r w:rsidRPr="00125E03">
        <w:t>com esses clientes, bem como outros investidores, desde que tais investidores sejam Investidores Profissionais, e assinem a Declaração de Investidor Profissional (conforme abaixo definida);</w:t>
      </w:r>
    </w:p>
    <w:p w14:paraId="2AEA8EE1" w14:textId="77777777" w:rsidR="00883C1A" w:rsidRPr="00125E03" w:rsidRDefault="00883C1A" w:rsidP="00883C1A">
      <w:pPr>
        <w:pStyle w:val="Level4"/>
        <w:numPr>
          <w:ilvl w:val="3"/>
          <w:numId w:val="11"/>
        </w:numPr>
      </w:pPr>
      <w:r w:rsidRPr="00125E03">
        <w:t>o prazo de colocação e distribuição pública das Debêntures seguirá as regras definidas na Instrução CVM 476;</w:t>
      </w:r>
    </w:p>
    <w:p w14:paraId="03780F28" w14:textId="77777777" w:rsidR="00883C1A" w:rsidRPr="00491066" w:rsidRDefault="00883C1A" w:rsidP="00883C1A">
      <w:pPr>
        <w:pStyle w:val="Level4"/>
        <w:numPr>
          <w:ilvl w:val="3"/>
          <w:numId w:val="11"/>
        </w:numPr>
      </w:pPr>
      <w:r>
        <w:t>o Coordenador Líder</w:t>
      </w:r>
      <w:r w:rsidRPr="00125E03">
        <w:t xml:space="preserve">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t>;</w:t>
      </w:r>
    </w:p>
    <w:p w14:paraId="2FEA1499" w14:textId="77777777" w:rsidR="00883C1A" w:rsidRDefault="00883C1A" w:rsidP="00883C1A">
      <w:pPr>
        <w:pStyle w:val="Level4"/>
        <w:numPr>
          <w:ilvl w:val="3"/>
          <w:numId w:val="11"/>
        </w:numPr>
      </w:pPr>
      <w:r w:rsidRPr="00125E03">
        <w:t>não será admitida a distribuição parcial das Debêntures</w:t>
      </w:r>
      <w:r>
        <w:t>;</w:t>
      </w:r>
    </w:p>
    <w:p w14:paraId="42250BB9" w14:textId="77777777" w:rsidR="00883C1A" w:rsidRPr="00125E03" w:rsidRDefault="00883C1A" w:rsidP="00883C1A">
      <w:pPr>
        <w:pStyle w:val="Level4"/>
        <w:numPr>
          <w:ilvl w:val="3"/>
          <w:numId w:val="11"/>
        </w:numPr>
      </w:pPr>
      <w:r w:rsidRPr="00125E03">
        <w:t>os Investidores Profissionais deverão assinar “</w:t>
      </w:r>
      <w:r w:rsidRPr="00125E03">
        <w:rPr>
          <w:b/>
        </w:rPr>
        <w:t>Declaração de Investidor Profissional</w:t>
      </w:r>
      <w:r w:rsidRPr="00125E03">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t>.</w:t>
      </w:r>
    </w:p>
    <w:p w14:paraId="223F7F64" w14:textId="77777777" w:rsidR="00883C1A" w:rsidRPr="002C36F0" w:rsidRDefault="00883C1A" w:rsidP="00883C1A">
      <w:pPr>
        <w:pStyle w:val="Level2"/>
        <w:numPr>
          <w:ilvl w:val="1"/>
          <w:numId w:val="11"/>
        </w:numPr>
        <w:rPr>
          <w:b/>
        </w:rPr>
      </w:pPr>
      <w:bookmarkStart w:id="302" w:name="_Ref427712341"/>
      <w:bookmarkStart w:id="303" w:name="_Ref475357421"/>
      <w:r w:rsidRPr="00293CD9">
        <w:rPr>
          <w:b/>
        </w:rPr>
        <w:t xml:space="preserve">Procedimento de Coleta de Intenções de Investimentos (Procedimento de </w:t>
      </w:r>
      <w:proofErr w:type="spellStart"/>
      <w:r w:rsidRPr="00293CD9">
        <w:rPr>
          <w:b/>
          <w:i/>
        </w:rPr>
        <w:t>Bookbuilding</w:t>
      </w:r>
      <w:proofErr w:type="spellEnd"/>
      <w:r w:rsidRPr="00293CD9">
        <w:rPr>
          <w:b/>
        </w:rPr>
        <w:t>)</w:t>
      </w:r>
      <w:bookmarkEnd w:id="302"/>
      <w:r w:rsidRPr="00293CD9">
        <w:rPr>
          <w:b/>
        </w:rPr>
        <w:t xml:space="preserve"> </w:t>
      </w:r>
      <w:bookmarkEnd w:id="303"/>
    </w:p>
    <w:p w14:paraId="7906E83B" w14:textId="77777777" w:rsidR="00883C1A" w:rsidRPr="00CF72AB" w:rsidRDefault="00883C1A" w:rsidP="00883C1A">
      <w:pPr>
        <w:pStyle w:val="Level3"/>
        <w:numPr>
          <w:ilvl w:val="2"/>
          <w:numId w:val="11"/>
        </w:numPr>
        <w:spacing w:before="140" w:after="0"/>
        <w:rPr>
          <w:lang w:val="pt-BR"/>
        </w:rPr>
      </w:pPr>
      <w:bookmarkStart w:id="304" w:name="_Ref427711666"/>
      <w:r w:rsidRPr="00125E03">
        <w:rPr>
          <w:szCs w:val="20"/>
          <w:lang w:val="pt-BR"/>
        </w:rPr>
        <w:t xml:space="preserve">Observados os termos do artigo 3º da Instrução CVM 476, </w:t>
      </w:r>
      <w:r>
        <w:rPr>
          <w:szCs w:val="20"/>
          <w:lang w:val="pt-BR"/>
        </w:rPr>
        <w:t>foi</w:t>
      </w:r>
      <w:r w:rsidRPr="00125E03">
        <w:rPr>
          <w:szCs w:val="20"/>
          <w:lang w:val="pt-BR"/>
        </w:rPr>
        <w:t xml:space="preserve"> adotado o procedimento de coleta de intenções de investimento, organizado pelo Coordenador</w:t>
      </w:r>
      <w:r>
        <w:rPr>
          <w:szCs w:val="20"/>
          <w:lang w:val="pt-BR"/>
        </w:rPr>
        <w:t xml:space="preserve"> Líder</w:t>
      </w:r>
      <w:r w:rsidRPr="00125E03">
        <w:rPr>
          <w:szCs w:val="20"/>
          <w:lang w:val="pt-BR"/>
        </w:rPr>
        <w:t>,</w:t>
      </w:r>
      <w:r>
        <w:rPr>
          <w:szCs w:val="20"/>
          <w:lang w:val="pt-BR"/>
        </w:rPr>
        <w:t xml:space="preserve"> </w:t>
      </w:r>
      <w:r w:rsidRPr="00125E03">
        <w:rPr>
          <w:szCs w:val="20"/>
          <w:lang w:val="pt-BR"/>
        </w:rPr>
        <w:t>nos termos do artigo 23 e do artigo 44, da Instrução CVM nº 400, de 29 de dezembro de 2003, conforme alterada</w:t>
      </w:r>
      <w:r>
        <w:rPr>
          <w:szCs w:val="20"/>
          <w:lang w:val="pt-BR"/>
        </w:rPr>
        <w:t xml:space="preserve"> (“</w:t>
      </w:r>
      <w:r w:rsidRPr="00125E03">
        <w:rPr>
          <w:b/>
          <w:szCs w:val="20"/>
          <w:lang w:val="pt-BR"/>
        </w:rPr>
        <w:t>Instrução CVM 400</w:t>
      </w:r>
      <w:r>
        <w:rPr>
          <w:szCs w:val="20"/>
          <w:lang w:val="pt-BR"/>
        </w:rPr>
        <w:t>”)</w:t>
      </w:r>
      <w:r w:rsidRPr="00125E03">
        <w:rPr>
          <w:szCs w:val="20"/>
          <w:lang w:val="pt-BR"/>
        </w:rPr>
        <w:t xml:space="preserve">, sem lotes mínimos ou máximos, </w:t>
      </w:r>
      <w:r>
        <w:rPr>
          <w:szCs w:val="20"/>
          <w:lang w:val="pt-BR"/>
        </w:rPr>
        <w:t>no qual foi definido</w:t>
      </w:r>
      <w:r w:rsidRPr="00125E03">
        <w:rPr>
          <w:szCs w:val="20"/>
          <w:lang w:val="pt-BR"/>
        </w:rPr>
        <w:t xml:space="preserve">, junto à Emissora, </w:t>
      </w:r>
      <w:r>
        <w:rPr>
          <w:szCs w:val="20"/>
          <w:lang w:val="pt-BR"/>
        </w:rPr>
        <w:t>a</w:t>
      </w:r>
      <w:r w:rsidRPr="00125E03">
        <w:rPr>
          <w:szCs w:val="20"/>
          <w:lang w:val="pt-BR"/>
        </w:rPr>
        <w:t xml:space="preserve"> taxa final da Remuneração</w:t>
      </w:r>
      <w:r>
        <w:rPr>
          <w:szCs w:val="20"/>
          <w:lang w:val="pt-BR"/>
        </w:rPr>
        <w:t xml:space="preserve"> </w:t>
      </w:r>
      <w:r w:rsidRPr="00125E03">
        <w:rPr>
          <w:szCs w:val="20"/>
          <w:lang w:val="pt-BR"/>
        </w:rPr>
        <w:t>(“</w:t>
      </w:r>
      <w:r w:rsidRPr="00125E03">
        <w:rPr>
          <w:b/>
          <w:szCs w:val="20"/>
          <w:lang w:val="pt-BR"/>
        </w:rPr>
        <w:t xml:space="preserve">Procedimento de </w:t>
      </w:r>
      <w:proofErr w:type="spellStart"/>
      <w:r w:rsidRPr="00125E03">
        <w:rPr>
          <w:b/>
          <w:i/>
          <w:szCs w:val="20"/>
          <w:lang w:val="pt-BR"/>
        </w:rPr>
        <w:t>Bookbuilding</w:t>
      </w:r>
      <w:proofErr w:type="spellEnd"/>
      <w:r w:rsidRPr="00125E03">
        <w:rPr>
          <w:szCs w:val="20"/>
          <w:lang w:val="pt-BR"/>
        </w:rPr>
        <w:t>”)</w:t>
      </w:r>
      <w:r>
        <w:rPr>
          <w:szCs w:val="20"/>
          <w:lang w:val="pt-BR"/>
        </w:rPr>
        <w:t>.</w:t>
      </w:r>
      <w:r w:rsidRPr="00CF72AB">
        <w:rPr>
          <w:lang w:val="pt-BR"/>
        </w:rPr>
        <w:t xml:space="preserve"> </w:t>
      </w:r>
    </w:p>
    <w:p w14:paraId="19081586" w14:textId="77777777" w:rsidR="00883C1A" w:rsidRDefault="00883C1A" w:rsidP="00883C1A">
      <w:pPr>
        <w:pStyle w:val="Level3"/>
        <w:numPr>
          <w:ilvl w:val="2"/>
          <w:numId w:val="11"/>
        </w:numPr>
        <w:spacing w:before="140" w:after="0"/>
        <w:rPr>
          <w:lang w:val="pt-BR"/>
        </w:rPr>
      </w:pPr>
      <w:bookmarkStart w:id="305" w:name="_Ref515972495"/>
      <w:bookmarkStart w:id="306" w:name="_Ref516587774"/>
      <w:bookmarkStart w:id="307" w:name="_Ref459766486"/>
      <w:bookmarkStart w:id="308" w:name="_Ref427711719"/>
      <w:bookmarkEnd w:id="304"/>
      <w:r>
        <w:rPr>
          <w:szCs w:val="20"/>
          <w:lang w:val="pt-BR"/>
        </w:rPr>
        <w:t xml:space="preserve">O resultado do </w:t>
      </w:r>
      <w:r w:rsidRPr="00125E03">
        <w:rPr>
          <w:szCs w:val="20"/>
          <w:lang w:val="pt-BR"/>
        </w:rPr>
        <w:t xml:space="preserve">Procedimento de </w:t>
      </w:r>
      <w:proofErr w:type="spellStart"/>
      <w:r w:rsidRPr="00125E03">
        <w:rPr>
          <w:i/>
          <w:szCs w:val="20"/>
          <w:lang w:val="pt-BR"/>
        </w:rPr>
        <w:t>Bookbuilding</w:t>
      </w:r>
      <w:proofErr w:type="spellEnd"/>
      <w:r>
        <w:rPr>
          <w:i/>
          <w:szCs w:val="20"/>
          <w:lang w:val="pt-BR"/>
        </w:rPr>
        <w:t xml:space="preserve"> foi ratificado por meio de aditamento a</w:t>
      </w:r>
      <w:r w:rsidRPr="00125E03">
        <w:rPr>
          <w:szCs w:val="20"/>
          <w:lang w:val="pt-BR"/>
        </w:rPr>
        <w:t xml:space="preserve"> esta Escritura de Emissão</w:t>
      </w:r>
      <w:r>
        <w:rPr>
          <w:szCs w:val="20"/>
          <w:lang w:val="pt-BR"/>
        </w:rPr>
        <w:t>, celebrado previamente à primeira Data de Integralização (conforme acima definido)</w:t>
      </w:r>
      <w:r w:rsidRPr="00125E03">
        <w:rPr>
          <w:szCs w:val="20"/>
          <w:lang w:val="pt-BR"/>
        </w:rPr>
        <w:t xml:space="preserve"> sem </w:t>
      </w:r>
      <w:r>
        <w:rPr>
          <w:szCs w:val="20"/>
          <w:lang w:val="pt-BR"/>
        </w:rPr>
        <w:t xml:space="preserve">a </w:t>
      </w:r>
      <w:r w:rsidRPr="00125E03">
        <w:rPr>
          <w:szCs w:val="20"/>
          <w:lang w:val="pt-BR"/>
        </w:rPr>
        <w:t xml:space="preserve">necessidade de prévia aprovação </w:t>
      </w:r>
      <w:r>
        <w:rPr>
          <w:szCs w:val="20"/>
          <w:lang w:val="pt-BR"/>
        </w:rPr>
        <w:t>da Assembleia Geral de Debenturistas (conforme abaixo definido) e de aprovação societária da Emissora</w:t>
      </w:r>
      <w:r w:rsidRPr="00125E03">
        <w:rPr>
          <w:szCs w:val="20"/>
          <w:lang w:val="pt-BR"/>
        </w:rPr>
        <w:t>.</w:t>
      </w:r>
      <w:bookmarkEnd w:id="305"/>
      <w:bookmarkEnd w:id="306"/>
      <w:r>
        <w:rPr>
          <w:lang w:val="pt-BR"/>
        </w:rPr>
        <w:t xml:space="preserve"> </w:t>
      </w:r>
    </w:p>
    <w:p w14:paraId="662E7358" w14:textId="77777777" w:rsidR="00883C1A" w:rsidRPr="009E6B2F" w:rsidRDefault="00883C1A" w:rsidP="00883C1A">
      <w:pPr>
        <w:pStyle w:val="Level1"/>
        <w:keepLines w:val="0"/>
        <w:numPr>
          <w:ilvl w:val="0"/>
          <w:numId w:val="11"/>
        </w:numPr>
        <w:autoSpaceDE w:val="0"/>
        <w:autoSpaceDN w:val="0"/>
        <w:adjustRightInd w:val="0"/>
      </w:pPr>
      <w:bookmarkStart w:id="309" w:name="_DV_C150"/>
      <w:bookmarkEnd w:id="307"/>
      <w:bookmarkEnd w:id="308"/>
      <w:bookmarkEnd w:id="309"/>
      <w:r w:rsidRPr="009E6B2F">
        <w:t>OBRIGAÇÕES ADICIONAIS DA EMISSORA</w:t>
      </w:r>
    </w:p>
    <w:p w14:paraId="1F0BE39E" w14:textId="77777777" w:rsidR="00883C1A" w:rsidRPr="00465D29" w:rsidRDefault="00883C1A" w:rsidP="00883C1A">
      <w:pPr>
        <w:pStyle w:val="Level2"/>
        <w:numPr>
          <w:ilvl w:val="1"/>
          <w:numId w:val="11"/>
        </w:numPr>
      </w:pPr>
      <w:bookmarkStart w:id="310" w:name="_Ref459545748"/>
      <w:r w:rsidRPr="00125E03">
        <w:rPr>
          <w:rFonts w:cs="Arial"/>
          <w:szCs w:val="20"/>
        </w:rPr>
        <w:t>Observadas as demais obrigações previstas nesta Escritura de Emissão, conforme aplicável, enquanto o saldo devedor das Debêntures não for integralmente pago, a Emissora e obriga-se, conforme aplicável, a</w:t>
      </w:r>
      <w:r w:rsidRPr="00465D29">
        <w:t>:</w:t>
      </w:r>
      <w:bookmarkEnd w:id="310"/>
    </w:p>
    <w:p w14:paraId="2627E66A" w14:textId="77777777" w:rsidR="00883C1A" w:rsidRPr="00125E03" w:rsidRDefault="00883C1A" w:rsidP="00883C1A">
      <w:pPr>
        <w:pStyle w:val="Level3"/>
        <w:numPr>
          <w:ilvl w:val="2"/>
          <w:numId w:val="11"/>
        </w:numPr>
        <w:rPr>
          <w:lang w:val="pt-BR"/>
        </w:rPr>
      </w:pPr>
      <w:bookmarkStart w:id="311"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3BF24F5" w14:textId="77777777" w:rsidR="00883C1A" w:rsidRPr="00125E03" w:rsidRDefault="00883C1A" w:rsidP="00883C1A">
      <w:pPr>
        <w:pStyle w:val="Level4"/>
        <w:widowControl w:val="0"/>
        <w:numPr>
          <w:ilvl w:val="3"/>
          <w:numId w:val="22"/>
        </w:numPr>
        <w:rPr>
          <w:b/>
        </w:rPr>
      </w:pPr>
      <w:bookmarkStart w:id="312" w:name="_Ref528695463"/>
      <w:r w:rsidRPr="00125E03">
        <w:t>dentro de, no máximo, 45 (quarenta e cinco) dias após o término dos 3 (três) primeiros trimestres de cada exercício social observado o disposto na alínea (</w:t>
      </w:r>
      <w:proofErr w:type="spellStart"/>
      <w:r w:rsidRPr="00125E03">
        <w:t>iii</w:t>
      </w:r>
      <w:proofErr w:type="spellEnd"/>
      <w:r w:rsidRPr="00125E03">
        <w:t>) abaixo, cópia de suas informações trimestrais (ITR) completas relativas ao respectivo trimestre acompanhadas de notas explicativas e relatório de revisão especial;</w:t>
      </w:r>
      <w:bookmarkEnd w:id="312"/>
      <w:r w:rsidRPr="00125E03">
        <w:t xml:space="preserve"> </w:t>
      </w:r>
    </w:p>
    <w:p w14:paraId="36F9AA8A" w14:textId="77777777" w:rsidR="00883C1A" w:rsidRPr="00B84287" w:rsidRDefault="00883C1A" w:rsidP="00883C1A">
      <w:pPr>
        <w:pStyle w:val="Level4"/>
        <w:widowControl w:val="0"/>
        <w:numPr>
          <w:ilvl w:val="3"/>
          <w:numId w:val="22"/>
        </w:numPr>
        <w:rPr>
          <w:b/>
        </w:rPr>
      </w:pPr>
      <w:bookmarkStart w:id="313" w:name="_Ref530585658"/>
      <w:r w:rsidRPr="00B84287">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(d) que não foram praticados atos em desacordo com o estatuto social; e (3) cópia de qualquer comunicação feita pelos auditores independentes à Emissora 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313"/>
      <w:r w:rsidRPr="00B84287">
        <w:t xml:space="preserve"> e (4) informações e documentos comprovando a destinação dos recursos da Emissão até que a totalidade dos recursos da Emissão tenha sido utilizada; </w:t>
      </w:r>
    </w:p>
    <w:p w14:paraId="23103A50" w14:textId="77777777" w:rsidR="00883C1A" w:rsidRPr="00125E03" w:rsidRDefault="00883C1A" w:rsidP="00883C1A">
      <w:pPr>
        <w:pStyle w:val="Level4"/>
        <w:widowControl w:val="0"/>
        <w:numPr>
          <w:ilvl w:val="3"/>
          <w:numId w:val="22"/>
        </w:numPr>
      </w:pPr>
      <w:r w:rsidRPr="00125E03">
        <w:t xml:space="preserve">cópia das informações pertinentes à Instrução CVM 480, nos prazos ali previstos ou, se não houver prazo determinado neste normativo, em até 10 (dez) dias da data em que forem solicitados pelo Agente Fiduciário; </w:t>
      </w:r>
    </w:p>
    <w:p w14:paraId="4099E229" w14:textId="77777777" w:rsidR="00883C1A" w:rsidRPr="00125E03" w:rsidRDefault="00883C1A" w:rsidP="00883C1A">
      <w:pPr>
        <w:pStyle w:val="Level4"/>
        <w:widowControl w:val="0"/>
        <w:numPr>
          <w:ilvl w:val="3"/>
          <w:numId w:val="22"/>
        </w:numPr>
      </w:pPr>
      <w:r w:rsidRPr="00125E03">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Pr="003866D5">
        <w:t xml:space="preserve"> Fiscal da Emissora</w:t>
      </w:r>
      <w:r w:rsidRPr="00125E03">
        <w:t xml:space="preserve"> que envolvam os interesses dos Debenturistas;</w:t>
      </w:r>
    </w:p>
    <w:p w14:paraId="6A86033A" w14:textId="77777777" w:rsidR="00883C1A" w:rsidRPr="00125E03" w:rsidRDefault="00883C1A" w:rsidP="00883C1A">
      <w:pPr>
        <w:pStyle w:val="Level4"/>
        <w:widowControl w:val="0"/>
        <w:numPr>
          <w:ilvl w:val="3"/>
          <w:numId w:val="22"/>
        </w:numPr>
      </w:pPr>
      <w:r w:rsidRPr="00125E03">
        <w:t>em até 10 (dez) Dias Úteis da data de solicitação, qualquer informação referente à presente Emissão que lhe venha a ser razoavelmente solicitada, por escrito, pelo Agente Fiduciário;</w:t>
      </w:r>
    </w:p>
    <w:p w14:paraId="3236BB16" w14:textId="77777777" w:rsidR="00883C1A" w:rsidRPr="00125E03" w:rsidRDefault="00883C1A" w:rsidP="00883C1A">
      <w:pPr>
        <w:pStyle w:val="Level4"/>
        <w:widowControl w:val="0"/>
        <w:numPr>
          <w:ilvl w:val="3"/>
          <w:numId w:val="22"/>
        </w:numPr>
      </w:pPr>
      <w:r w:rsidRPr="00125E03">
        <w:t>caso não seja possível identificar o respectivo pagamento por meio da B3</w:t>
      </w:r>
      <w:r>
        <w:t xml:space="preserve"> – Segmento </w:t>
      </w:r>
      <w:proofErr w:type="spellStart"/>
      <w:r>
        <w:t>Cetip</w:t>
      </w:r>
      <w:proofErr w:type="spellEnd"/>
      <w:r>
        <w:t xml:space="preserve"> UTVM</w:t>
      </w:r>
      <w:r w:rsidRPr="00125E03">
        <w:t xml:space="preserve"> e/ou por meio do </w:t>
      </w:r>
      <w:proofErr w:type="spellStart"/>
      <w:r w:rsidRPr="00125E03">
        <w:t>Escriturador</w:t>
      </w:r>
      <w:proofErr w:type="spellEnd"/>
      <w:r w:rsidRPr="00125E03">
        <w:t xml:space="preserve">, por escrito, os comprovantes de cumprimento de suas obrigações pecuniárias previstas nesta Escritura de Emissão, no prazo de até 10 (dez) Dias Úteis contados da respectiva data de solicitação do Agente Fiduciário neste sentido; </w:t>
      </w:r>
    </w:p>
    <w:p w14:paraId="78B40DDC" w14:textId="77777777" w:rsidR="00883C1A" w:rsidRPr="00125E03" w:rsidRDefault="00883C1A" w:rsidP="00883C1A">
      <w:pPr>
        <w:pStyle w:val="Level4"/>
        <w:widowControl w:val="0"/>
        <w:numPr>
          <w:ilvl w:val="3"/>
          <w:numId w:val="22"/>
        </w:numPr>
      </w:pPr>
      <w:r w:rsidRPr="00125E03">
        <w:t>informações a respeito da ocorrência de qualquer dos Eventos de Vencimento Antecipado, em até 3 (três) Dias Úteis contados da sua ocorrência;</w:t>
      </w:r>
    </w:p>
    <w:p w14:paraId="2E84AD14" w14:textId="77777777" w:rsidR="00883C1A" w:rsidRPr="00125E03" w:rsidRDefault="00883C1A" w:rsidP="00883C1A">
      <w:pPr>
        <w:pStyle w:val="Level4"/>
        <w:widowControl w:val="0"/>
        <w:numPr>
          <w:ilvl w:val="3"/>
          <w:numId w:val="22"/>
        </w:numPr>
      </w:pPr>
      <w:r w:rsidRPr="00125E03">
        <w:t>todos os demais documentos e informaç</w:t>
      </w:r>
      <w:r w:rsidRPr="003866D5">
        <w:t>ões que a Emissora</w:t>
      </w:r>
      <w:r w:rsidRPr="00125E03">
        <w:t>, nos termos e condições previstos nesta Escrit</w:t>
      </w:r>
      <w:r w:rsidRPr="003866D5">
        <w:t>ura de Emissão, se comprometeu</w:t>
      </w:r>
      <w:r w:rsidRPr="00125E03">
        <w:t xml:space="preserve"> a enviar ao Agente Fiduciário, em seus respectivos prazos ou, em sua ausência, em até 10 (dez) Dias Úteis; e</w:t>
      </w:r>
    </w:p>
    <w:p w14:paraId="32F0B15B" w14:textId="77777777" w:rsidR="00883C1A" w:rsidRPr="00125E03" w:rsidRDefault="00883C1A" w:rsidP="00883C1A">
      <w:pPr>
        <w:pStyle w:val="Level4"/>
        <w:widowControl w:val="0"/>
        <w:numPr>
          <w:ilvl w:val="3"/>
          <w:numId w:val="22"/>
        </w:numPr>
      </w:pPr>
      <w:r w:rsidRPr="00125E03">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t xml:space="preserve"> </w:t>
      </w:r>
      <w:r w:rsidRPr="00252AD1">
        <w:fldChar w:fldCharType="begin"/>
      </w:r>
      <w:r w:rsidRPr="00125E03">
        <w:instrText xml:space="preserve"> REF _Ref491137801 \w \h  \* MERGEFORMAT </w:instrText>
      </w:r>
      <w:r w:rsidRPr="00252AD1">
        <w:fldChar w:fldCharType="separate"/>
      </w:r>
      <w:r>
        <w:t>9.5</w:t>
      </w:r>
      <w:r w:rsidRPr="00252AD1">
        <w:fldChar w:fldCharType="end"/>
      </w:r>
      <w:r w:rsidRPr="008167F9">
        <w:fldChar w:fldCharType="begin"/>
      </w:r>
      <w:r w:rsidRPr="00125E03">
        <w:instrText xml:space="preserve"> REF _Ref459547205 \n \h  \* MERGEFORMAT </w:instrText>
      </w:r>
      <w:r w:rsidRPr="008167F9">
        <w:fldChar w:fldCharType="separate"/>
      </w:r>
      <w:r>
        <w:t>(p)</w:t>
      </w:r>
      <w:r w:rsidRPr="008167F9">
        <w:fldChar w:fldCharType="end"/>
      </w:r>
      <w:r w:rsidRPr="00125E03">
        <w:t xml:space="preserve"> abaixo no prazo de até 30 (trinta) dias corridos antes do encerramento do prazo previsto na Cláusula </w:t>
      </w:r>
      <w:r w:rsidRPr="008167F9">
        <w:fldChar w:fldCharType="begin"/>
      </w:r>
      <w:r w:rsidRPr="00125E03">
        <w:instrText xml:space="preserve"> REF _Ref491137654 \r \h  \* MERGEFORMAT </w:instrText>
      </w:r>
      <w:r w:rsidRPr="008167F9">
        <w:fldChar w:fldCharType="separate"/>
      </w:r>
      <w:r>
        <w:t>8.1.1</w:t>
      </w:r>
      <w:r w:rsidRPr="008167F9">
        <w:fldChar w:fldCharType="end"/>
      </w:r>
      <w:r w:rsidRPr="008167F9">
        <w:fldChar w:fldCharType="begin"/>
      </w:r>
      <w:r w:rsidRPr="00125E03">
        <w:instrText xml:space="preserve"> REF _Ref530585658 \n \h  \* MERGEFORMAT </w:instrText>
      </w:r>
      <w:r w:rsidRPr="008167F9">
        <w:fldChar w:fldCharType="separate"/>
      </w:r>
      <w:r>
        <w:t>(</w:t>
      </w:r>
      <w:proofErr w:type="spellStart"/>
      <w:r>
        <w:t>ii</w:t>
      </w:r>
      <w:proofErr w:type="spellEnd"/>
      <w:r>
        <w:t>)</w:t>
      </w:r>
      <w:r w:rsidRPr="008167F9">
        <w:fldChar w:fldCharType="end"/>
      </w:r>
      <w:r w:rsidRPr="00125E03">
        <w:t xml:space="preserve"> acima; </w:t>
      </w:r>
    </w:p>
    <w:bookmarkEnd w:id="311"/>
    <w:p w14:paraId="56D0C8C6" w14:textId="77777777" w:rsidR="00883C1A" w:rsidRPr="00125E03" w:rsidRDefault="00883C1A" w:rsidP="00883C1A">
      <w:pPr>
        <w:pStyle w:val="Level3"/>
        <w:numPr>
          <w:ilvl w:val="2"/>
          <w:numId w:val="11"/>
        </w:numPr>
        <w:rPr>
          <w:lang w:val="pt-BR"/>
        </w:rPr>
      </w:pPr>
      <w:r w:rsidRPr="00125E03">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proofErr w:type="spellStart"/>
      <w:r w:rsidRPr="00125E03">
        <w:rPr>
          <w:lang w:val="pt-BR"/>
        </w:rPr>
        <w:t>Escriturador</w:t>
      </w:r>
      <w:proofErr w:type="spellEnd"/>
      <w:r w:rsidRPr="00125E03">
        <w:rPr>
          <w:lang w:val="pt-BR"/>
        </w:rPr>
        <w:t>, o Agente Fiduciário, a Agência de Classificação de Risco e o ambiente de negociação das Debêntures no mercado secundário (CETIP21);</w:t>
      </w:r>
      <w:r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p>
    <w:p w14:paraId="22B3302B" w14:textId="77777777" w:rsidR="00883C1A" w:rsidRPr="00125E03" w:rsidRDefault="00883C1A" w:rsidP="00883C1A">
      <w:pPr>
        <w:pStyle w:val="Level3"/>
        <w:numPr>
          <w:ilvl w:val="2"/>
          <w:numId w:val="11"/>
        </w:numPr>
        <w:rPr>
          <w:lang w:val="pt-BR"/>
        </w:rPr>
      </w:pPr>
      <w:r w:rsidRPr="00125E03">
        <w:rPr>
          <w:lang w:val="pt-BR"/>
        </w:rPr>
        <w:t>manter atualizado o registro de companhia aberta da Emissora perante a CVM, nos termos da Instrução CVM 480;</w:t>
      </w:r>
    </w:p>
    <w:p w14:paraId="4F4BAC19" w14:textId="77777777" w:rsidR="00883C1A" w:rsidRPr="00125E03" w:rsidRDefault="00883C1A" w:rsidP="00883C1A">
      <w:pPr>
        <w:pStyle w:val="Level3"/>
        <w:numPr>
          <w:ilvl w:val="2"/>
          <w:numId w:val="11"/>
        </w:numPr>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5162A0E" w14:textId="77777777" w:rsidR="00883C1A" w:rsidRPr="00125E03" w:rsidRDefault="00883C1A" w:rsidP="00883C1A">
      <w:pPr>
        <w:pStyle w:val="Level3"/>
        <w:numPr>
          <w:ilvl w:val="2"/>
          <w:numId w:val="11"/>
        </w:numPr>
        <w:rPr>
          <w:lang w:val="pt-BR"/>
        </w:rPr>
      </w:pPr>
      <w:r w:rsidRPr="00125E03">
        <w:rPr>
          <w:lang w:val="pt-BR"/>
        </w:rPr>
        <w:t xml:space="preserve">convocar, nos termos da Cláusula </w:t>
      </w:r>
      <w:r>
        <w:rPr>
          <w:highlight w:val="yellow"/>
          <w:lang w:val="pt-BR"/>
        </w:rPr>
        <w:fldChar w:fldCharType="begin"/>
      </w:r>
      <w:r>
        <w:rPr>
          <w:lang w:val="pt-BR"/>
        </w:rPr>
        <w:instrText xml:space="preserve"> REF _Ref427712773 \r \h </w:instrText>
      </w:r>
      <w:r>
        <w:rPr>
          <w:highlight w:val="yellow"/>
          <w:lang w:val="pt-BR"/>
        </w:rPr>
      </w:r>
      <w:r>
        <w:rPr>
          <w:highlight w:val="yellow"/>
          <w:lang w:val="pt-BR"/>
        </w:rPr>
        <w:fldChar w:fldCharType="separate"/>
      </w:r>
      <w:r>
        <w:rPr>
          <w:lang w:val="pt-BR"/>
        </w:rPr>
        <w:t>10</w:t>
      </w:r>
      <w:r>
        <w:rPr>
          <w:highlight w:val="yellow"/>
          <w:lang w:val="pt-BR"/>
        </w:rPr>
        <w:fldChar w:fldCharType="end"/>
      </w:r>
      <w:r w:rsidRPr="00125E03">
        <w:rPr>
          <w:lang w:val="pt-BR"/>
        </w:rPr>
        <w:t xml:space="preserve"> abaixo, Assembleia Geral de Debenturista para deliberar sobre qualquer das matérias que direta ou indiretamente se relacione com a Emissão, a Oferta, e as Debêntures, caso o Agente Fiduciário deva fazer, nos termos da presente Escritura de Emissão, mas não o faça;</w:t>
      </w:r>
    </w:p>
    <w:p w14:paraId="5E580EEF" w14:textId="77777777" w:rsidR="00883C1A" w:rsidRPr="00125E03" w:rsidRDefault="00883C1A" w:rsidP="00883C1A">
      <w:pPr>
        <w:pStyle w:val="Level3"/>
        <w:numPr>
          <w:ilvl w:val="2"/>
          <w:numId w:val="11"/>
        </w:numPr>
        <w:rPr>
          <w:lang w:val="pt-BR"/>
        </w:rPr>
      </w:pPr>
      <w:r w:rsidRPr="00125E03">
        <w:rPr>
          <w:lang w:val="pt-BR"/>
        </w:rPr>
        <w:t>comparecer às Assembleias Gerais de Debenturistas, sempre que solicitado;</w:t>
      </w:r>
    </w:p>
    <w:p w14:paraId="7341DB56" w14:textId="77777777" w:rsidR="00883C1A" w:rsidRPr="00125E03" w:rsidRDefault="00883C1A" w:rsidP="00883C1A">
      <w:pPr>
        <w:pStyle w:val="Level3"/>
        <w:numPr>
          <w:ilvl w:val="2"/>
          <w:numId w:val="11"/>
        </w:numPr>
        <w:rPr>
          <w:lang w:val="pt-BR"/>
        </w:rPr>
      </w:pPr>
      <w:r w:rsidRPr="00125E03">
        <w:rPr>
          <w:lang w:val="pt-BR"/>
        </w:rPr>
        <w:t xml:space="preserve">cumprir todas as normas e regulamentos relacionados à Emissão e à Oferta, incluindo, mas não se limitando às normas e regulamentos da CVM, B3 – Segmento </w:t>
      </w:r>
      <w:proofErr w:type="spellStart"/>
      <w:r w:rsidRPr="00125E03">
        <w:rPr>
          <w:lang w:val="pt-BR"/>
        </w:rPr>
        <w:t>Cetip</w:t>
      </w:r>
      <w:proofErr w:type="spellEnd"/>
      <w:r w:rsidRPr="00125E03">
        <w:rPr>
          <w:lang w:val="pt-BR"/>
        </w:rPr>
        <w:t xml:space="preserve"> UTVM;</w:t>
      </w:r>
    </w:p>
    <w:p w14:paraId="40885D64" w14:textId="77777777" w:rsidR="00883C1A" w:rsidRPr="00125E03" w:rsidRDefault="00883C1A" w:rsidP="00883C1A">
      <w:pPr>
        <w:pStyle w:val="Level3"/>
        <w:numPr>
          <w:ilvl w:val="2"/>
          <w:numId w:val="11"/>
        </w:numPr>
        <w:rPr>
          <w:lang w:val="pt-BR"/>
        </w:rPr>
      </w:pPr>
      <w:r w:rsidRPr="00125E03">
        <w:rPr>
          <w:lang w:val="pt-BR"/>
        </w:rPr>
        <w:t>efetuar, no prazo de 20 (vinte)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p>
    <w:p w14:paraId="4A739593" w14:textId="77777777" w:rsidR="00883C1A" w:rsidRPr="00125E03" w:rsidRDefault="00883C1A" w:rsidP="00883C1A">
      <w:pPr>
        <w:pStyle w:val="Level3"/>
        <w:numPr>
          <w:ilvl w:val="2"/>
          <w:numId w:val="11"/>
        </w:numPr>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atos societários; (c) de contratação do Agente Fiduciário, do Banco Liquidante e do </w:t>
      </w:r>
      <w:proofErr w:type="spellStart"/>
      <w:r w:rsidRPr="00125E03">
        <w:rPr>
          <w:lang w:val="pt-BR"/>
        </w:rPr>
        <w:t>Escriturador</w:t>
      </w:r>
      <w:proofErr w:type="spellEnd"/>
      <w:r w:rsidRPr="00125E03">
        <w:rPr>
          <w:lang w:val="pt-BR"/>
        </w:rPr>
        <w:t xml:space="preserve"> e (d) da Agência de Classificação de Risco;</w:t>
      </w:r>
    </w:p>
    <w:p w14:paraId="4F3E16D9" w14:textId="77777777" w:rsidR="00883C1A" w:rsidRPr="00125E03" w:rsidRDefault="00883C1A" w:rsidP="00883C1A">
      <w:pPr>
        <w:pStyle w:val="Level3"/>
        <w:numPr>
          <w:ilvl w:val="2"/>
          <w:numId w:val="11"/>
        </w:numPr>
        <w:rPr>
          <w:lang w:val="pt-BR"/>
        </w:rPr>
      </w:pPr>
      <w:r w:rsidRPr="00125E03">
        <w:rPr>
          <w:lang w:val="pt-BR"/>
        </w:rPr>
        <w:t>obter e manter válidas e eficazes todas as autorizações, incluindo as societárias e governamentais, exigidas: (i) para a validade ou exequibilidade das Debêntures; e (</w:t>
      </w:r>
      <w:proofErr w:type="spellStart"/>
      <w:r w:rsidRPr="00125E03">
        <w:rPr>
          <w:lang w:val="pt-BR"/>
        </w:rPr>
        <w:t>ii</w:t>
      </w:r>
      <w:proofErr w:type="spellEnd"/>
      <w:r w:rsidRPr="00125E03">
        <w:rPr>
          <w:lang w:val="pt-BR"/>
        </w:rPr>
        <w:t>) para o fiel, pontual e integral cumprimento das obrigações decorrentes das Debêntures;</w:t>
      </w:r>
    </w:p>
    <w:p w14:paraId="1BFF52A2" w14:textId="77777777" w:rsidR="00883C1A" w:rsidRPr="00125E03" w:rsidRDefault="00883C1A" w:rsidP="00883C1A">
      <w:pPr>
        <w:pStyle w:val="Level3"/>
        <w:numPr>
          <w:ilvl w:val="2"/>
          <w:numId w:val="11"/>
        </w:numPr>
        <w:rPr>
          <w:lang w:val="pt-BR"/>
        </w:rPr>
      </w:pPr>
      <w:r w:rsidRPr="00125E03">
        <w:rPr>
          <w:lang w:val="pt-BR"/>
        </w:rPr>
        <w:t xml:space="preserve">cumprir com todas as obrigações constantes desta Escritura de Emissão; </w:t>
      </w:r>
    </w:p>
    <w:p w14:paraId="2D11D57D" w14:textId="77777777" w:rsidR="00883C1A" w:rsidRPr="00125E03" w:rsidRDefault="00883C1A" w:rsidP="00883C1A">
      <w:pPr>
        <w:pStyle w:val="Level3"/>
        <w:numPr>
          <w:ilvl w:val="2"/>
          <w:numId w:val="11"/>
        </w:numPr>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Pr>
          <w:highlight w:val="yellow"/>
          <w:lang w:val="pt-BR"/>
        </w:rPr>
        <w:fldChar w:fldCharType="begin"/>
      </w:r>
      <w:r>
        <w:rPr>
          <w:lang w:val="pt-BR"/>
        </w:rPr>
        <w:instrText xml:space="preserve"> REF _Ref475090616 \r \h </w:instrText>
      </w:r>
      <w:r>
        <w:rPr>
          <w:highlight w:val="yellow"/>
          <w:lang w:val="pt-BR"/>
        </w:rPr>
      </w:r>
      <w:r>
        <w:rPr>
          <w:highlight w:val="yellow"/>
          <w:lang w:val="pt-BR"/>
        </w:rPr>
        <w:fldChar w:fldCharType="separate"/>
      </w:r>
      <w:r>
        <w:rPr>
          <w:lang w:val="pt-BR"/>
        </w:rPr>
        <w:t>2.8.3</w:t>
      </w:r>
      <w:r>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 </w:t>
      </w:r>
    </w:p>
    <w:p w14:paraId="2037DE93" w14:textId="77777777" w:rsidR="00883C1A" w:rsidRPr="00125E03" w:rsidRDefault="00883C1A" w:rsidP="00883C1A">
      <w:pPr>
        <w:pStyle w:val="Level3"/>
        <w:numPr>
          <w:ilvl w:val="2"/>
          <w:numId w:val="11"/>
        </w:numPr>
        <w:rPr>
          <w:lang w:val="pt-BR"/>
        </w:rPr>
      </w:pPr>
      <w:bookmarkStart w:id="314"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bookmarkEnd w:id="314"/>
      <w:r w:rsidRPr="00125E03">
        <w:rPr>
          <w:lang w:val="pt-BR"/>
        </w:rPr>
        <w:t xml:space="preserve"> </w:t>
      </w:r>
    </w:p>
    <w:p w14:paraId="1A626FCB" w14:textId="77777777" w:rsidR="00883C1A" w:rsidRPr="00125E03" w:rsidRDefault="00883C1A" w:rsidP="00883C1A">
      <w:pPr>
        <w:pStyle w:val="Level3"/>
        <w:numPr>
          <w:ilvl w:val="2"/>
          <w:numId w:val="11"/>
        </w:numPr>
        <w:rPr>
          <w:lang w:val="pt-BR"/>
        </w:rPr>
      </w:pPr>
      <w:r w:rsidRPr="00125E03">
        <w:rPr>
          <w:lang w:val="pt-BR"/>
        </w:rPr>
        <w:t xml:space="preserve">cumprir a destinação dos recursos captados por meio da Emissão, nos termos da Cláusula </w:t>
      </w:r>
      <w:r>
        <w:rPr>
          <w:highlight w:val="yellow"/>
          <w:lang w:val="pt-BR"/>
        </w:rPr>
        <w:fldChar w:fldCharType="begin"/>
      </w:r>
      <w:r>
        <w:rPr>
          <w:lang w:val="pt-BR"/>
        </w:rPr>
        <w:instrText xml:space="preserve"> REF _Ref459767256 \r \h </w:instrText>
      </w:r>
      <w:r>
        <w:rPr>
          <w:highlight w:val="yellow"/>
          <w:lang w:val="pt-BR"/>
        </w:rPr>
      </w:r>
      <w:r>
        <w:rPr>
          <w:highlight w:val="yellow"/>
          <w:lang w:val="pt-BR"/>
        </w:rPr>
        <w:fldChar w:fldCharType="separate"/>
      </w:r>
      <w:r>
        <w:rPr>
          <w:lang w:val="pt-BR"/>
        </w:rPr>
        <w:t>4</w:t>
      </w:r>
      <w:r>
        <w:rPr>
          <w:highlight w:val="yellow"/>
          <w:lang w:val="pt-BR"/>
        </w:rPr>
        <w:fldChar w:fldCharType="end"/>
      </w:r>
      <w:r w:rsidRPr="00125E03">
        <w:rPr>
          <w:lang w:val="pt-BR"/>
        </w:rPr>
        <w:t>;</w:t>
      </w:r>
    </w:p>
    <w:p w14:paraId="4D676FAC" w14:textId="77777777" w:rsidR="00883C1A" w:rsidRPr="00125E03" w:rsidRDefault="00883C1A" w:rsidP="00883C1A">
      <w:pPr>
        <w:pStyle w:val="Level3"/>
        <w:numPr>
          <w:ilvl w:val="2"/>
          <w:numId w:val="11"/>
        </w:numPr>
        <w:rPr>
          <w:lang w:val="pt-BR"/>
        </w:rPr>
      </w:pPr>
      <w:r w:rsidRPr="00125E03">
        <w:rPr>
          <w:lang w:val="pt-BR"/>
        </w:rPr>
        <w:t>cumprir, em todos os aspectos, todas as leis, as regras, os regulamentos e as ordens aplicáveis em qualquer jurisdição na qual realize negócios ou possua ativos, salvo nos casos em que, de boa-fé, a Emissora esteja discutindo a aplicabilidade da lei, regra, regulamento ou ordem nas esferas administrativa e/ou judicial;</w:t>
      </w:r>
    </w:p>
    <w:p w14:paraId="14340AC7" w14:textId="77777777" w:rsidR="00883C1A" w:rsidRPr="00125E03" w:rsidRDefault="00883C1A" w:rsidP="00883C1A">
      <w:pPr>
        <w:pStyle w:val="Level3"/>
        <w:numPr>
          <w:ilvl w:val="2"/>
          <w:numId w:val="11"/>
        </w:numPr>
        <w:rPr>
          <w:lang w:val="pt-BR"/>
        </w:rPr>
      </w:pPr>
      <w:r w:rsidRPr="00125E03">
        <w:rPr>
          <w:lang w:val="pt-BR"/>
        </w:rPr>
        <w:t xml:space="preserve">cumprir </w:t>
      </w:r>
      <w:r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Pr>
          <w:lang w:val="pt-BR"/>
        </w:rPr>
        <w:t xml:space="preserve">, </w:t>
      </w:r>
      <w:r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Pr="00125E03">
        <w:rPr>
          <w:lang w:val="pt-BR"/>
        </w:rPr>
        <w:t xml:space="preserve"> (“</w:t>
      </w:r>
      <w:r w:rsidRPr="00125E03">
        <w:rPr>
          <w:b/>
          <w:lang w:val="pt-BR"/>
        </w:rPr>
        <w:t>Leis Ambientais</w:t>
      </w:r>
      <w:r w:rsidRPr="003B6FB9">
        <w:rPr>
          <w:lang w:val="pt-BR"/>
        </w:rPr>
        <w:t>” e “</w:t>
      </w:r>
      <w:r>
        <w:rPr>
          <w:b/>
          <w:lang w:val="pt-BR"/>
        </w:rPr>
        <w:t>Leis</w:t>
      </w:r>
      <w:r w:rsidRPr="00125E03">
        <w:rPr>
          <w:b/>
          <w:lang w:val="pt-BR"/>
        </w:rPr>
        <w:t xml:space="preserve"> Trabalhistas</w:t>
      </w:r>
      <w:r w:rsidRPr="00125E03">
        <w:rPr>
          <w:lang w:val="pt-BR"/>
        </w:rPr>
        <w:t>”</w:t>
      </w:r>
      <w:r>
        <w:rPr>
          <w:lang w:val="pt-BR"/>
        </w:rPr>
        <w:t>, conforme aplicável</w:t>
      </w:r>
      <w:r w:rsidRPr="00125E03">
        <w:rPr>
          <w:lang w:val="pt-BR"/>
        </w:rPr>
        <w:t>);</w:t>
      </w:r>
      <w:r>
        <w:rPr>
          <w:b/>
          <w:lang w:val="pt-BR"/>
        </w:rPr>
        <w:t xml:space="preserve"> </w:t>
      </w:r>
    </w:p>
    <w:p w14:paraId="2B8E4059" w14:textId="77777777" w:rsidR="00883C1A" w:rsidRPr="00662569" w:rsidRDefault="00883C1A" w:rsidP="00883C1A">
      <w:pPr>
        <w:pStyle w:val="Level3"/>
        <w:numPr>
          <w:ilvl w:val="2"/>
          <w:numId w:val="11"/>
        </w:numPr>
        <w:rPr>
          <w:b/>
          <w:lang w:val="pt-BR"/>
        </w:rPr>
      </w:pPr>
      <w:r>
        <w:rPr>
          <w:lang w:val="pt-BR"/>
        </w:rPr>
        <w:t xml:space="preserve">cumprir e adotar todas as medidas necessárias para assegurar o cumprimento pelas </w:t>
      </w:r>
      <w:r w:rsidRPr="00800C28">
        <w:rPr>
          <w:lang w:val="pt-BR"/>
        </w:rPr>
        <w:t>Subsidiárias Relevantes</w:t>
      </w:r>
      <w:r>
        <w:rPr>
          <w:lang w:val="pt-BR"/>
        </w:rPr>
        <w:t xml:space="preserve"> de</w:t>
      </w:r>
      <w:r w:rsidRPr="00125E03">
        <w:rPr>
          <w:lang w:val="pt-BR"/>
        </w:rPr>
        <w:t xml:space="preserve"> leis ou regulamentos</w:t>
      </w:r>
      <w:r>
        <w:rPr>
          <w:lang w:val="pt-BR"/>
        </w:rPr>
        <w:t xml:space="preserve"> em geral</w:t>
      </w:r>
      <w:r w:rsidRPr="00125E03">
        <w:rPr>
          <w:lang w:val="pt-BR"/>
        </w:rPr>
        <w:t xml:space="preserve">, nacionais ou estrangeiros, contra prática de corrupção ou atos lesivos à administração pública, incluindo, sem limitação, </w:t>
      </w:r>
      <w:r>
        <w:rPr>
          <w:lang w:val="pt-BR"/>
        </w:rPr>
        <w:t xml:space="preserve">o Decreto-Lei nº 2.848, de 7 de dezembro de 1940, conforme alterada, </w:t>
      </w:r>
      <w:r w:rsidRPr="00125E03">
        <w:rPr>
          <w:lang w:val="pt-BR"/>
        </w:rPr>
        <w:t xml:space="preserve">a Lei nº 12.846 de 1 de agosto de 2013, conforme alterada, Lei n.º 12.529, de 30 de novembro de 2011, Lei nº 9.613, de 3 de março de 1998 e </w:t>
      </w:r>
      <w:r w:rsidRPr="00125E03">
        <w:rPr>
          <w:i/>
          <w:lang w:val="pt-BR"/>
        </w:rPr>
        <w:t xml:space="preserve">U.S. </w:t>
      </w:r>
      <w:proofErr w:type="spellStart"/>
      <w:r w:rsidRPr="00125E03">
        <w:rPr>
          <w:i/>
          <w:lang w:val="pt-BR"/>
        </w:rPr>
        <w:t>Foreign</w:t>
      </w:r>
      <w:proofErr w:type="spellEnd"/>
      <w:r w:rsidRPr="00125E03">
        <w:rPr>
          <w:i/>
          <w:lang w:val="pt-BR"/>
        </w:rPr>
        <w:t xml:space="preserve"> </w:t>
      </w:r>
      <w:proofErr w:type="spellStart"/>
      <w:r w:rsidRPr="00125E03">
        <w:rPr>
          <w:i/>
          <w:lang w:val="pt-BR"/>
        </w:rPr>
        <w:t>Corrupt</w:t>
      </w:r>
      <w:proofErr w:type="spellEnd"/>
      <w:r w:rsidRPr="00125E03">
        <w:rPr>
          <w:i/>
          <w:lang w:val="pt-BR"/>
        </w:rPr>
        <w:t xml:space="preserve"> </w:t>
      </w:r>
      <w:proofErr w:type="spellStart"/>
      <w:r w:rsidRPr="00125E03">
        <w:rPr>
          <w:i/>
          <w:lang w:val="pt-BR"/>
        </w:rPr>
        <w:t>Act</w:t>
      </w:r>
      <w:proofErr w:type="spellEnd"/>
      <w:r w:rsidRPr="00125E03">
        <w:rPr>
          <w:i/>
          <w:lang w:val="pt-BR"/>
        </w:rPr>
        <w:t xml:space="preserve"> </w:t>
      </w:r>
      <w:proofErr w:type="spellStart"/>
      <w:r w:rsidRPr="00125E03">
        <w:rPr>
          <w:i/>
          <w:lang w:val="pt-BR"/>
        </w:rPr>
        <w:t>of</w:t>
      </w:r>
      <w:proofErr w:type="spellEnd"/>
      <w:r w:rsidRPr="00125E03">
        <w:rPr>
          <w:lang w:val="pt-BR"/>
        </w:rPr>
        <w:t xml:space="preserve"> 1977 e o </w:t>
      </w:r>
      <w:r w:rsidRPr="00125E03">
        <w:rPr>
          <w:i/>
          <w:lang w:val="pt-BR"/>
        </w:rPr>
        <w:t xml:space="preserve">UK </w:t>
      </w:r>
      <w:proofErr w:type="spellStart"/>
      <w:r w:rsidRPr="00125E03">
        <w:rPr>
          <w:i/>
          <w:lang w:val="pt-BR"/>
        </w:rPr>
        <w:t>Bribery</w:t>
      </w:r>
      <w:proofErr w:type="spellEnd"/>
      <w:r w:rsidRPr="00125E03">
        <w:rPr>
          <w:i/>
          <w:lang w:val="pt-BR"/>
        </w:rPr>
        <w:t xml:space="preserve"> </w:t>
      </w:r>
      <w:proofErr w:type="spellStart"/>
      <w:r w:rsidRPr="00125E03">
        <w:rPr>
          <w:i/>
          <w:lang w:val="pt-BR"/>
        </w:rPr>
        <w:t>Act</w:t>
      </w:r>
      <w:proofErr w:type="spellEnd"/>
      <w:r w:rsidRPr="00125E03">
        <w:rPr>
          <w:lang w:val="pt-BR"/>
        </w:rPr>
        <w:t xml:space="preserve"> 2010, caso a Emissora ou suas Subsidiárias Relevantes se tornem sujeitas a tais legislações estrangeiras (“</w:t>
      </w:r>
      <w:r w:rsidRPr="00125E03">
        <w:rPr>
          <w:b/>
          <w:lang w:val="pt-BR"/>
        </w:rPr>
        <w:t>Leis Anticorrupção</w:t>
      </w:r>
      <w:r w:rsidRPr="00125E03">
        <w:rPr>
          <w:lang w:val="pt-BR"/>
        </w:rPr>
        <w:t>”);</w:t>
      </w:r>
      <w:r>
        <w:rPr>
          <w:lang w:val="pt-BR"/>
        </w:rPr>
        <w:t xml:space="preserve"> </w:t>
      </w:r>
    </w:p>
    <w:p w14:paraId="0B4757D3" w14:textId="77777777" w:rsidR="00883C1A" w:rsidRPr="00D753AF" w:rsidRDefault="00883C1A" w:rsidP="00883C1A">
      <w:pPr>
        <w:pStyle w:val="Level3"/>
        <w:numPr>
          <w:ilvl w:val="2"/>
          <w:numId w:val="11"/>
        </w:numPr>
        <w:rPr>
          <w:lang w:val="pt-BR"/>
        </w:rPr>
      </w:pPr>
      <w:r w:rsidRPr="00D753AF">
        <w:rPr>
          <w:lang w:val="pt-BR"/>
        </w:rPr>
        <w:t xml:space="preserve">obter, no prazo de até </w:t>
      </w:r>
      <w:r>
        <w:rPr>
          <w:lang w:val="pt-BR"/>
        </w:rPr>
        <w:t>45 (quarenta e cinco) dias</w:t>
      </w:r>
      <w:r w:rsidRPr="00D753AF">
        <w:rPr>
          <w:lang w:val="pt-BR"/>
        </w:rPr>
        <w:t xml:space="preserve"> contados da Primeira Data de Integralização, nota de classificação de risco (rating) para a Emissão, que deverá ser, em escala nacional, equivalente a, no mínimo, </w:t>
      </w:r>
      <w:r w:rsidRPr="00832BB4">
        <w:rPr>
          <w:lang w:val="pt-BR"/>
        </w:rPr>
        <w:t>“</w:t>
      </w:r>
      <w:r w:rsidRPr="00D3452E">
        <w:rPr>
          <w:lang w:val="pt-BR"/>
        </w:rPr>
        <w:t>AA+</w:t>
      </w:r>
      <w:r>
        <w:rPr>
          <w:lang w:val="pt-BR"/>
        </w:rPr>
        <w:t>”</w:t>
      </w:r>
      <w:r w:rsidRPr="00D753AF">
        <w:rPr>
          <w:lang w:val="pt-BR"/>
        </w:rPr>
        <w:t xml:space="preserve">, a ser atribuída pela Agência de Classificação de Risco; </w:t>
      </w:r>
    </w:p>
    <w:p w14:paraId="4B00E3B0" w14:textId="77777777" w:rsidR="00883C1A" w:rsidRPr="00125E03" w:rsidRDefault="00883C1A" w:rsidP="00883C1A">
      <w:pPr>
        <w:pStyle w:val="Level3"/>
        <w:numPr>
          <w:ilvl w:val="2"/>
          <w:numId w:val="11"/>
        </w:numPr>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p>
    <w:p w14:paraId="7C2BACF4" w14:textId="77777777" w:rsidR="00883C1A" w:rsidRPr="00125E03" w:rsidRDefault="00883C1A" w:rsidP="00883C1A">
      <w:pPr>
        <w:pStyle w:val="Level3"/>
        <w:numPr>
          <w:ilvl w:val="2"/>
          <w:numId w:val="11"/>
        </w:numPr>
        <w:rPr>
          <w:lang w:val="pt-BR"/>
        </w:rPr>
      </w:pPr>
      <w:bookmarkStart w:id="315"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315"/>
    </w:p>
    <w:p w14:paraId="3296FA90" w14:textId="77777777" w:rsidR="00883C1A" w:rsidRPr="00125E03" w:rsidRDefault="00883C1A" w:rsidP="00883C1A">
      <w:pPr>
        <w:pStyle w:val="Level4"/>
        <w:tabs>
          <w:tab w:val="clear" w:pos="2041"/>
          <w:tab w:val="left" w:pos="2098"/>
        </w:tabs>
        <w:ind w:left="2098"/>
        <w:rPr>
          <w:w w:val="0"/>
        </w:rPr>
      </w:pPr>
      <w:r w:rsidRPr="00125E03">
        <w:rPr>
          <w:w w:val="0"/>
        </w:rPr>
        <w:t>preparar as demonstrações financeiras da Emissora relativas a cada exercício social, em conformidade com a Lei das Sociedades por Ações e com as regras emitidas pela CVM;</w:t>
      </w:r>
    </w:p>
    <w:p w14:paraId="65172BC5" w14:textId="77777777" w:rsidR="00883C1A" w:rsidRPr="00125E03" w:rsidRDefault="00883C1A" w:rsidP="00883C1A">
      <w:pPr>
        <w:pStyle w:val="Level4"/>
        <w:tabs>
          <w:tab w:val="clear" w:pos="2041"/>
          <w:tab w:val="left" w:pos="2098"/>
        </w:tabs>
        <w:ind w:left="2098"/>
        <w:rPr>
          <w:w w:val="0"/>
        </w:rPr>
      </w:pPr>
      <w:r w:rsidRPr="00125E03">
        <w:rPr>
          <w:w w:val="0"/>
        </w:rPr>
        <w:t>submeter as demonstrações financeiras da Emissora relativas a cada exercício social a auditoria por auditor independente registrado na CVM;</w:t>
      </w:r>
    </w:p>
    <w:p w14:paraId="44F70D04" w14:textId="77777777" w:rsidR="00883C1A" w:rsidRPr="00125E03" w:rsidRDefault="00883C1A" w:rsidP="00883C1A">
      <w:pPr>
        <w:pStyle w:val="Level4"/>
        <w:tabs>
          <w:tab w:val="clear" w:pos="2041"/>
          <w:tab w:val="left" w:pos="2098"/>
        </w:tabs>
        <w:ind w:left="2098"/>
        <w:rPr>
          <w:w w:val="0"/>
        </w:rPr>
      </w:pPr>
      <w:r w:rsidRPr="00125E03">
        <w:rPr>
          <w:w w:val="0"/>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54BB343C" w14:textId="77777777" w:rsidR="00883C1A" w:rsidRPr="00125E03" w:rsidRDefault="00883C1A" w:rsidP="00883C1A">
      <w:pPr>
        <w:pStyle w:val="Level4"/>
        <w:tabs>
          <w:tab w:val="clear" w:pos="2041"/>
          <w:tab w:val="left" w:pos="2098"/>
        </w:tabs>
        <w:ind w:left="2098"/>
        <w:rPr>
          <w:w w:val="0"/>
        </w:rPr>
      </w:pPr>
      <w:bookmarkStart w:id="316" w:name="_Ref528344748"/>
      <w:r w:rsidRPr="00125E03">
        <w:rPr>
          <w:w w:val="0"/>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316"/>
    </w:p>
    <w:p w14:paraId="2CCFBD36" w14:textId="77777777" w:rsidR="00883C1A" w:rsidRPr="00125E03" w:rsidRDefault="00883C1A" w:rsidP="00883C1A">
      <w:pPr>
        <w:pStyle w:val="Level4"/>
        <w:tabs>
          <w:tab w:val="clear" w:pos="2041"/>
          <w:tab w:val="left" w:pos="2098"/>
        </w:tabs>
        <w:ind w:left="2098"/>
        <w:rPr>
          <w:w w:val="0"/>
        </w:rPr>
      </w:pPr>
      <w:r w:rsidRPr="00125E03">
        <w:t>observar as disposições da Instrução da CVM nº 358, de 03 de janeiro de 2002, conforme alterada (“</w:t>
      </w:r>
      <w:r w:rsidRPr="00125E03">
        <w:rPr>
          <w:b/>
        </w:rPr>
        <w:t>Instrução CVM 358</w:t>
      </w:r>
      <w:r w:rsidRPr="00125E03">
        <w:t>”) no tocante a dever de sigilo e vedações à negociação;</w:t>
      </w:r>
    </w:p>
    <w:p w14:paraId="389A8B2C" w14:textId="77777777" w:rsidR="00883C1A" w:rsidRDefault="00883C1A" w:rsidP="00883C1A">
      <w:pPr>
        <w:pStyle w:val="Level4"/>
        <w:tabs>
          <w:tab w:val="clear" w:pos="2041"/>
          <w:tab w:val="left" w:pos="2098"/>
        </w:tabs>
        <w:ind w:left="2098"/>
        <w:rPr>
          <w:w w:val="0"/>
        </w:rPr>
      </w:pPr>
      <w:r w:rsidRPr="00125E03">
        <w:rPr>
          <w:w w:val="0"/>
        </w:rPr>
        <w:t>divulgar, em sua página na Internet, a ocorrência de qualquer ato ou fato relevante, conforme definido no artigo 2º da Instrução CVM 358;</w:t>
      </w:r>
    </w:p>
    <w:p w14:paraId="1BD9E690" w14:textId="77777777" w:rsidR="00883C1A" w:rsidRDefault="00883C1A" w:rsidP="00883C1A">
      <w:pPr>
        <w:pStyle w:val="Level4"/>
        <w:tabs>
          <w:tab w:val="clear" w:pos="2041"/>
          <w:tab w:val="left" w:pos="2098"/>
        </w:tabs>
        <w:ind w:left="2098"/>
        <w:rPr>
          <w:w w:val="0"/>
        </w:rPr>
      </w:pPr>
      <w:r w:rsidRPr="00125E03">
        <w:rPr>
          <w:w w:val="0"/>
        </w:rPr>
        <w:t>fornecer todas as informações solicitadas pela CVM e pela B3; e</w:t>
      </w:r>
    </w:p>
    <w:p w14:paraId="116ED20C" w14:textId="77777777" w:rsidR="00883C1A" w:rsidRDefault="00883C1A" w:rsidP="00883C1A">
      <w:pPr>
        <w:pStyle w:val="Level4"/>
        <w:tabs>
          <w:tab w:val="clear" w:pos="2041"/>
          <w:tab w:val="left" w:pos="2098"/>
        </w:tabs>
        <w:ind w:left="2098"/>
        <w:rPr>
          <w:w w:val="0"/>
        </w:rPr>
      </w:pPr>
      <w:r w:rsidRPr="00125E03">
        <w:rPr>
          <w:w w:val="0"/>
        </w:rPr>
        <w:t xml:space="preserve">divulgar, em sua página na Internet demais comunicações enviadas pelo Agente Fiduciário na mesma data do seu recebimento, observado, ainda, o disposto na alínea </w:t>
      </w:r>
      <w:r>
        <w:rPr>
          <w:w w:val="0"/>
        </w:rPr>
        <w:fldChar w:fldCharType="begin"/>
      </w:r>
      <w:r>
        <w:rPr>
          <w:w w:val="0"/>
        </w:rPr>
        <w:instrText xml:space="preserve"> REF _Ref528344748 \r \h </w:instrText>
      </w:r>
      <w:r>
        <w:rPr>
          <w:w w:val="0"/>
        </w:rPr>
      </w:r>
      <w:r>
        <w:rPr>
          <w:w w:val="0"/>
        </w:rPr>
        <w:fldChar w:fldCharType="separate"/>
      </w:r>
      <w:r>
        <w:rPr>
          <w:w w:val="0"/>
        </w:rPr>
        <w:t>(</w:t>
      </w:r>
      <w:proofErr w:type="spellStart"/>
      <w:r>
        <w:rPr>
          <w:w w:val="0"/>
        </w:rPr>
        <w:t>iv</w:t>
      </w:r>
      <w:proofErr w:type="spellEnd"/>
      <w:r>
        <w:rPr>
          <w:w w:val="0"/>
        </w:rPr>
        <w:t>)</w:t>
      </w:r>
      <w:r>
        <w:rPr>
          <w:w w:val="0"/>
        </w:rPr>
        <w:fldChar w:fldCharType="end"/>
      </w:r>
      <w:r w:rsidRPr="00125E03">
        <w:rPr>
          <w:w w:val="0"/>
        </w:rPr>
        <w:t xml:space="preserve"> acima</w:t>
      </w:r>
      <w:r>
        <w:rPr>
          <w:w w:val="0"/>
        </w:rPr>
        <w:t>.</w:t>
      </w:r>
    </w:p>
    <w:p w14:paraId="637CBE85" w14:textId="77777777" w:rsidR="00883C1A" w:rsidRPr="003B6FB9" w:rsidRDefault="00883C1A" w:rsidP="00883C1A">
      <w:pPr>
        <w:pStyle w:val="Level3"/>
        <w:numPr>
          <w:ilvl w:val="2"/>
          <w:numId w:val="11"/>
        </w:numPr>
        <w:rPr>
          <w:w w:val="0"/>
          <w:lang w:val="pt-BR"/>
        </w:rPr>
      </w:pPr>
      <w:r w:rsidRPr="003B6FB9">
        <w:rPr>
          <w:w w:val="0"/>
          <w:szCs w:val="20"/>
          <w:lang w:val="pt-BR"/>
        </w:rPr>
        <w:t xml:space="preserve">obter, manter e conservar em vigor (e, nos casos em que apropriado, renovar de modo tempestivo) todas as autorizações, aprovações, licenças, permissões, alvarás e suas renovações, necessárias à implantação, desenvolvimento, operação e desenvolvimento do Projeto e ao desempenho das atividades da Emissora </w:t>
      </w:r>
      <w:r>
        <w:rPr>
          <w:w w:val="0"/>
          <w:szCs w:val="20"/>
          <w:lang w:val="pt-BR"/>
        </w:rPr>
        <w:t>e da Garantidora</w:t>
      </w:r>
      <w:r w:rsidRPr="003B6FB9">
        <w:rPr>
          <w:w w:val="0"/>
          <w:szCs w:val="20"/>
          <w:lang w:val="pt-BR"/>
        </w:rPr>
        <w:t>;</w:t>
      </w:r>
    </w:p>
    <w:p w14:paraId="43A5DBF1" w14:textId="77777777" w:rsidR="00883C1A" w:rsidRPr="00134F48" w:rsidRDefault="00883C1A" w:rsidP="00883C1A">
      <w:pPr>
        <w:pStyle w:val="Level3"/>
        <w:numPr>
          <w:ilvl w:val="2"/>
          <w:numId w:val="11"/>
        </w:numPr>
        <w:rPr>
          <w:w w:val="0"/>
          <w:lang w:val="pt-BR"/>
        </w:rPr>
      </w:pPr>
      <w:r w:rsidRPr="00134F48">
        <w:rPr>
          <w:w w:val="0"/>
          <w:lang w:val="pt-BR"/>
        </w:rPr>
        <w:t>não utilizar os recursos oriundos da Emissão em atividades relativas ao Projeto para as quais não possua a licença ambiental válida e vigente, conforme exigida pelas Leis Ambientais;</w:t>
      </w:r>
    </w:p>
    <w:p w14:paraId="4CF38E68" w14:textId="77777777" w:rsidR="00883C1A" w:rsidRDefault="00883C1A" w:rsidP="00883C1A">
      <w:pPr>
        <w:pStyle w:val="Level3"/>
        <w:numPr>
          <w:ilvl w:val="2"/>
          <w:numId w:val="11"/>
        </w:numPr>
        <w:rPr>
          <w:w w:val="0"/>
          <w:lang w:val="pt-BR"/>
        </w:rPr>
      </w:pPr>
      <w:r w:rsidRPr="00134F48">
        <w:rPr>
          <w:w w:val="0"/>
          <w:lang w:val="pt-BR"/>
        </w:rPr>
        <w:t>obter todos os documentos (laudos, estudos, relatórios, licenças) previstos nas Leis Ambientais e nas Leis Trabalhistas relativas à saúde e segurança ocupacional relacionados ao Projeto, atestando o seu cumprimento e mantendo as licenças e outorgas em pleno vigor e eficácia, bem como a informar ao Agente Fiduciário imediatamente sobre a incidência de manifestação desfavorável de qualquer autoridade</w:t>
      </w:r>
      <w:r>
        <w:rPr>
          <w:w w:val="0"/>
          <w:lang w:val="pt-BR"/>
        </w:rPr>
        <w:t>; e</w:t>
      </w:r>
    </w:p>
    <w:p w14:paraId="36AB0E2A" w14:textId="77777777" w:rsidR="00883C1A" w:rsidRDefault="00883C1A" w:rsidP="00883C1A">
      <w:pPr>
        <w:pStyle w:val="Level3"/>
        <w:numPr>
          <w:ilvl w:val="2"/>
          <w:numId w:val="11"/>
        </w:numPr>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os benefícios ambientais auferidos pelo Projeto conforme indicadores definidos no Parecer de Segunda Opinião </w:t>
      </w:r>
      <w:r w:rsidRPr="00293CD9">
        <w:rPr>
          <w:w w:val="0"/>
          <w:lang w:val="pt-BR"/>
        </w:rPr>
        <w:t>da consultoria especializada SITAWI Finanças do Bem.</w:t>
      </w:r>
    </w:p>
    <w:p w14:paraId="5B4B27B0" w14:textId="77777777" w:rsidR="00883C1A" w:rsidRPr="00134F48" w:rsidRDefault="00883C1A" w:rsidP="00883C1A">
      <w:pPr>
        <w:pStyle w:val="Level3"/>
        <w:numPr>
          <w:ilvl w:val="2"/>
          <w:numId w:val="11"/>
        </w:numPr>
        <w:rPr>
          <w:w w:val="0"/>
          <w:lang w:val="pt-BR"/>
        </w:rPr>
      </w:pPr>
      <w:r>
        <w:rPr>
          <w:w w:val="0"/>
          <w:lang w:val="pt-BR"/>
        </w:rPr>
        <w:t>fornecer ao Agente Fiduciário a documentação necessária ao acompanhamento da destinação dos recursos da Emissão.</w:t>
      </w:r>
    </w:p>
    <w:p w14:paraId="6D3E813F" w14:textId="77777777" w:rsidR="00883C1A" w:rsidRPr="009E6B2F" w:rsidRDefault="00883C1A" w:rsidP="00883C1A">
      <w:pPr>
        <w:pStyle w:val="Level1"/>
        <w:keepLines w:val="0"/>
        <w:numPr>
          <w:ilvl w:val="0"/>
          <w:numId w:val="11"/>
        </w:numPr>
        <w:autoSpaceDE w:val="0"/>
        <w:autoSpaceDN w:val="0"/>
        <w:adjustRightInd w:val="0"/>
      </w:pPr>
      <w:bookmarkStart w:id="317" w:name="_DV_M195"/>
      <w:bookmarkStart w:id="318" w:name="_DV_M196"/>
      <w:bookmarkStart w:id="319" w:name="_DV_M197"/>
      <w:bookmarkStart w:id="320" w:name="_DV_M198"/>
      <w:bookmarkStart w:id="321" w:name="_DV_M200"/>
      <w:bookmarkStart w:id="322" w:name="_DV_M201"/>
      <w:bookmarkStart w:id="323" w:name="_DV_M202"/>
      <w:bookmarkStart w:id="324" w:name="_DV_M203"/>
      <w:bookmarkStart w:id="325" w:name="_DV_M204"/>
      <w:bookmarkStart w:id="326" w:name="_DV_M205"/>
      <w:bookmarkStart w:id="327" w:name="_DV_M206"/>
      <w:bookmarkStart w:id="328" w:name="_DV_M207"/>
      <w:bookmarkStart w:id="329" w:name="_DV_M208"/>
      <w:bookmarkStart w:id="330" w:name="_DV_M209"/>
      <w:bookmarkStart w:id="331" w:name="_DV_M220"/>
      <w:bookmarkStart w:id="332" w:name="_DV_M221"/>
      <w:bookmarkStart w:id="333" w:name="_DV_M222"/>
      <w:bookmarkStart w:id="334" w:name="_DV_M224"/>
      <w:bookmarkStart w:id="335" w:name="_DV_M226"/>
      <w:bookmarkStart w:id="336" w:name="_DV_M227"/>
      <w:bookmarkStart w:id="337" w:name="_DV_M228"/>
      <w:bookmarkStart w:id="338" w:name="_DV_M229"/>
      <w:bookmarkStart w:id="339" w:name="_DV_M233"/>
      <w:bookmarkStart w:id="340" w:name="_DV_M234"/>
      <w:bookmarkStart w:id="341" w:name="_DV_M235"/>
      <w:bookmarkStart w:id="342" w:name="_DV_M236"/>
      <w:bookmarkStart w:id="343" w:name="_DV_M237"/>
      <w:bookmarkStart w:id="344" w:name="_DV_M238"/>
      <w:bookmarkStart w:id="345" w:name="_DV_M239"/>
      <w:bookmarkStart w:id="346" w:name="_DV_M242"/>
      <w:bookmarkStart w:id="347" w:name="_DV_M243"/>
      <w:bookmarkStart w:id="348" w:name="_DV_M24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E6B2F">
        <w:t>DO AGENTE FIDUCIÁRIO</w:t>
      </w:r>
      <w:r>
        <w:t xml:space="preserve"> </w:t>
      </w:r>
    </w:p>
    <w:p w14:paraId="11F146D3" w14:textId="77777777" w:rsidR="00883C1A" w:rsidRPr="002F510A" w:rsidRDefault="00883C1A" w:rsidP="00883C1A">
      <w:pPr>
        <w:pStyle w:val="Level2"/>
        <w:numPr>
          <w:ilvl w:val="1"/>
          <w:numId w:val="11"/>
        </w:numPr>
      </w:pPr>
      <w:r w:rsidRPr="002F510A">
        <w:t>A Emissora nomeia e constitui como Agente Fiduciário da Emissão</w:t>
      </w:r>
      <w:r>
        <w:t xml:space="preserve"> a </w:t>
      </w:r>
      <w:proofErr w:type="spellStart"/>
      <w:r w:rsidRPr="00D753AF">
        <w:rPr>
          <w:b/>
        </w:rPr>
        <w:t>Simplific</w:t>
      </w:r>
      <w:proofErr w:type="spellEnd"/>
      <w:r w:rsidRPr="00D753AF">
        <w:rPr>
          <w:b/>
        </w:rPr>
        <w:t xml:space="preserve"> </w:t>
      </w:r>
      <w:proofErr w:type="spellStart"/>
      <w:r w:rsidRPr="00D753AF">
        <w:rPr>
          <w:b/>
        </w:rPr>
        <w:t>Pavarini</w:t>
      </w:r>
      <w:proofErr w:type="spellEnd"/>
      <w:r w:rsidRPr="00D753AF">
        <w:rPr>
          <w:b/>
        </w:rPr>
        <w:t xml:space="preserve"> Distribuidora de Títulos e Valores Mobiliários Ltda.</w:t>
      </w:r>
      <w:r w:rsidRPr="00166558">
        <w:t>,</w:t>
      </w:r>
      <w:r w:rsidRPr="002F510A">
        <w:t xml:space="preserve"> qualificado no preâmbulo desta Escritura de Emissão, que, por meio deste ato, aceita a nomeação para, nos termos da lei e da presente Escritura de Emissão, representar perante ela, Emissora, os interesses da comunhão dos Debenturistas. </w:t>
      </w:r>
    </w:p>
    <w:p w14:paraId="7036C6B8" w14:textId="77777777" w:rsidR="00883C1A" w:rsidRPr="009E6B2F" w:rsidRDefault="00883C1A" w:rsidP="00883C1A">
      <w:pPr>
        <w:pStyle w:val="Level2"/>
        <w:numPr>
          <w:ilvl w:val="1"/>
          <w:numId w:val="11"/>
        </w:numPr>
        <w:spacing w:before="140" w:after="0"/>
      </w:pPr>
      <w:r w:rsidRPr="009E6B2F">
        <w:t>O Agente Fiduciário, nomeado na presente Escritura de Emissão, declara que:</w:t>
      </w:r>
    </w:p>
    <w:p w14:paraId="00727849"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eastAsia="Arial Unicode MS" w:hAnsi="Arial" w:cs="Arial"/>
          <w:w w:val="0"/>
          <w:sz w:val="20"/>
          <w:szCs w:val="20"/>
        </w:rPr>
      </w:pPr>
      <w:proofErr w:type="spellStart"/>
      <w:r w:rsidRPr="009E6B2F">
        <w:rPr>
          <w:rFonts w:ascii="Arial" w:eastAsia="Arial Unicode MS" w:hAnsi="Arial" w:cs="Arial"/>
          <w:w w:val="0"/>
          <w:sz w:val="20"/>
          <w:szCs w:val="20"/>
        </w:rPr>
        <w:t>é</w:t>
      </w:r>
      <w:proofErr w:type="spellEnd"/>
      <w:r w:rsidRPr="009E6B2F">
        <w:rPr>
          <w:rFonts w:ascii="Arial" w:eastAsia="Arial Unicode MS" w:hAnsi="Arial" w:cs="Arial"/>
          <w:w w:val="0"/>
          <w:sz w:val="20"/>
          <w:szCs w:val="20"/>
        </w:rPr>
        <w:t xml:space="preserve"> sociedade devidamente organizada, constituída e existente sob a forma de sociedade por ações, de acordo com as leis brasileiras;</w:t>
      </w:r>
    </w:p>
    <w:p w14:paraId="427D2A50"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Pr>
          <w:rFonts w:ascii="Arial" w:hAnsi="Arial" w:cs="Arial"/>
          <w:sz w:val="20"/>
          <w:szCs w:val="20"/>
        </w:rPr>
        <w:t>o</w:t>
      </w:r>
      <w:r w:rsidRPr="009E6B2F">
        <w:rPr>
          <w:rFonts w:ascii="Arial" w:hAnsi="Arial" w:cs="Arial"/>
          <w:sz w:val="20"/>
          <w:szCs w:val="20"/>
        </w:rPr>
        <w:t>s na legislação específica e nesta Escritura de Emissão;</w:t>
      </w:r>
    </w:p>
    <w:p w14:paraId="56CD15D4"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14:paraId="14CB585C"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58097BF1"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7EE4A111"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3º do artigo 66, da Lei das Sociedades por Ações, para exercer a função que lhe é conferida; </w:t>
      </w:r>
    </w:p>
    <w:p w14:paraId="2404052F"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Pr>
          <w:rFonts w:ascii="Arial" w:hAnsi="Arial" w:cs="Arial"/>
          <w:sz w:val="20"/>
          <w:szCs w:val="20"/>
        </w:rPr>
        <w:t>6</w:t>
      </w:r>
      <w:r w:rsidRPr="009E6B2F">
        <w:rPr>
          <w:rFonts w:ascii="Arial" w:hAnsi="Arial" w:cs="Arial"/>
          <w:sz w:val="20"/>
          <w:szCs w:val="20"/>
        </w:rPr>
        <w:t xml:space="preserve"> Instrução CVM </w:t>
      </w:r>
      <w:r>
        <w:rPr>
          <w:rFonts w:ascii="Arial" w:hAnsi="Arial" w:cs="Arial"/>
          <w:sz w:val="20"/>
          <w:szCs w:val="20"/>
        </w:rPr>
        <w:t>nº 583, de 20 de dezembro de 2016, conforme alterada (“</w:t>
      </w:r>
      <w:r w:rsidRPr="003B1AAA">
        <w:rPr>
          <w:rFonts w:ascii="Arial" w:hAnsi="Arial" w:cs="Arial"/>
          <w:b/>
          <w:sz w:val="20"/>
          <w:szCs w:val="20"/>
        </w:rPr>
        <w:t xml:space="preserve">Instrução CVM </w:t>
      </w:r>
      <w:r>
        <w:rPr>
          <w:rFonts w:ascii="Arial" w:hAnsi="Arial" w:cs="Arial"/>
          <w:b/>
          <w:sz w:val="20"/>
          <w:szCs w:val="20"/>
        </w:rPr>
        <w:t>583</w:t>
      </w:r>
      <w:r>
        <w:rPr>
          <w:rFonts w:ascii="Arial" w:hAnsi="Arial" w:cs="Arial"/>
          <w:sz w:val="20"/>
          <w:szCs w:val="20"/>
        </w:rPr>
        <w:t>”)</w:t>
      </w:r>
      <w:r w:rsidRPr="009E6B2F">
        <w:rPr>
          <w:rFonts w:ascii="Arial" w:hAnsi="Arial" w:cs="Arial"/>
          <w:sz w:val="20"/>
          <w:szCs w:val="20"/>
        </w:rPr>
        <w:t>;</w:t>
      </w:r>
    </w:p>
    <w:p w14:paraId="4947A73A"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ligação com a Emissora que o impeça de exercer suas funções; </w:t>
      </w:r>
    </w:p>
    <w:p w14:paraId="5CE73D07"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ciente das disposições da Circular do BACEN nº 1.832, de 31 de outubro de 1990;</w:t>
      </w:r>
    </w:p>
    <w:p w14:paraId="2E1D1108"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verificou a veracidade das informações contidas </w:t>
      </w:r>
      <w:proofErr w:type="spellStart"/>
      <w:r w:rsidRPr="009E6B2F">
        <w:rPr>
          <w:rFonts w:ascii="Arial" w:hAnsi="Arial" w:cs="Arial"/>
          <w:sz w:val="20"/>
          <w:szCs w:val="20"/>
        </w:rPr>
        <w:t>nesta</w:t>
      </w:r>
      <w:proofErr w:type="spellEnd"/>
      <w:r w:rsidRPr="009E6B2F">
        <w:rPr>
          <w:rFonts w:ascii="Arial" w:hAnsi="Arial" w:cs="Arial"/>
          <w:sz w:val="20"/>
          <w:szCs w:val="20"/>
        </w:rPr>
        <w:t xml:space="preserve"> Escritura de Emissão;</w:t>
      </w:r>
    </w:p>
    <w:p w14:paraId="2C23316E"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5D2C146A"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Pr>
          <w:rFonts w:ascii="Arial" w:hAnsi="Arial" w:cs="Arial"/>
          <w:sz w:val="20"/>
          <w:szCs w:val="20"/>
        </w:rPr>
        <w:fldChar w:fldCharType="begin"/>
      </w:r>
      <w:r>
        <w:rPr>
          <w:rFonts w:ascii="Arial" w:hAnsi="Arial" w:cs="Arial"/>
          <w:sz w:val="20"/>
          <w:szCs w:val="20"/>
        </w:rPr>
        <w:instrText xml:space="preserve"> REF _Ref475091144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6</w:t>
      </w:r>
      <w:r>
        <w:rPr>
          <w:rFonts w:ascii="Arial" w:hAnsi="Arial" w:cs="Arial"/>
          <w:sz w:val="20"/>
          <w:szCs w:val="20"/>
        </w:rPr>
        <w:fldChar w:fldCharType="end"/>
      </w:r>
      <w:r w:rsidRPr="009E6B2F">
        <w:rPr>
          <w:rFonts w:ascii="Arial" w:hAnsi="Arial" w:cs="Arial"/>
          <w:sz w:val="20"/>
          <w:szCs w:val="20"/>
        </w:rPr>
        <w:t xml:space="preserve"> desta Escritura de Emissão;</w:t>
      </w:r>
    </w:p>
    <w:p w14:paraId="7F17FCF9"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devidamente qualificado a exercer as atividades de Agente Fiduciário, nos termos da regulamentação aplicável vigente;</w:t>
      </w:r>
    </w:p>
    <w:p w14:paraId="5650CDD3" w14:textId="77777777" w:rsidR="00883C1A" w:rsidRPr="009E6B2F" w:rsidRDefault="00883C1A" w:rsidP="00883C1A">
      <w:pPr>
        <w:widowControl/>
        <w:numPr>
          <w:ilvl w:val="0"/>
          <w:numId w:val="13"/>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Pr>
          <w:rFonts w:ascii="Arial" w:hAnsi="Arial" w:cs="Arial"/>
          <w:sz w:val="20"/>
          <w:szCs w:val="20"/>
        </w:rPr>
        <w:t>784, incisos I e III</w:t>
      </w:r>
      <w:r w:rsidRPr="009E6B2F">
        <w:rPr>
          <w:rFonts w:ascii="Arial" w:hAnsi="Arial" w:cs="Arial"/>
          <w:sz w:val="20"/>
          <w:szCs w:val="20"/>
        </w:rPr>
        <w:t xml:space="preserve"> </w:t>
      </w:r>
      <w:r>
        <w:rPr>
          <w:rFonts w:ascii="Arial" w:hAnsi="Arial" w:cs="Arial"/>
          <w:sz w:val="20"/>
          <w:szCs w:val="20"/>
        </w:rPr>
        <w:t>da Lei nº 13.105, de 16 de março de 2015 (“</w:t>
      </w:r>
      <w:r w:rsidRPr="003A18E7">
        <w:rPr>
          <w:rFonts w:ascii="Arial" w:hAnsi="Arial" w:cs="Arial"/>
          <w:b/>
          <w:sz w:val="20"/>
          <w:szCs w:val="20"/>
        </w:rPr>
        <w:t>Código de Processo Civil</w:t>
      </w:r>
      <w:r>
        <w:rPr>
          <w:rFonts w:ascii="Arial" w:hAnsi="Arial" w:cs="Arial"/>
          <w:sz w:val="20"/>
          <w:szCs w:val="20"/>
        </w:rPr>
        <w:t>”)</w:t>
      </w:r>
      <w:r w:rsidRPr="009E6B2F">
        <w:rPr>
          <w:rFonts w:ascii="Arial" w:hAnsi="Arial" w:cs="Arial"/>
          <w:sz w:val="20"/>
          <w:szCs w:val="20"/>
        </w:rPr>
        <w:t>; e</w:t>
      </w:r>
    </w:p>
    <w:p w14:paraId="74F4EABF" w14:textId="77777777" w:rsidR="00883C1A" w:rsidRDefault="00883C1A" w:rsidP="00883C1A">
      <w:pPr>
        <w:widowControl/>
        <w:numPr>
          <w:ilvl w:val="0"/>
          <w:numId w:val="13"/>
        </w:numPr>
        <w:tabs>
          <w:tab w:val="clear" w:pos="1080"/>
        </w:tabs>
        <w:suppressAutoHyphens/>
        <w:spacing w:before="140" w:line="290" w:lineRule="auto"/>
        <w:ind w:left="1418" w:hanging="708"/>
      </w:pPr>
      <w:r w:rsidRPr="00BB11AE">
        <w:rPr>
          <w:rFonts w:ascii="Arial" w:hAnsi="Arial" w:cs="Arial"/>
          <w:sz w:val="20"/>
          <w:szCs w:val="20"/>
        </w:rPr>
        <w:t>que</w:t>
      </w:r>
      <w:r>
        <w:rPr>
          <w:rFonts w:ascii="Arial" w:hAnsi="Arial" w:cs="Arial"/>
          <w:sz w:val="20"/>
          <w:szCs w:val="20"/>
        </w:rPr>
        <w:t>,</w:t>
      </w:r>
      <w:r w:rsidRPr="00BB11AE">
        <w:rPr>
          <w:rFonts w:ascii="Arial" w:hAnsi="Arial" w:cs="Arial"/>
          <w:sz w:val="20"/>
          <w:szCs w:val="20"/>
        </w:rPr>
        <w:t xml:space="preserve"> conforme exigência do artigo </w:t>
      </w:r>
      <w:r>
        <w:rPr>
          <w:rFonts w:ascii="Arial" w:hAnsi="Arial" w:cs="Arial"/>
          <w:sz w:val="20"/>
          <w:szCs w:val="20"/>
        </w:rPr>
        <w:t>6º</w:t>
      </w:r>
      <w:r w:rsidRPr="00BB11AE">
        <w:rPr>
          <w:rFonts w:ascii="Arial" w:hAnsi="Arial" w:cs="Arial"/>
          <w:sz w:val="20"/>
          <w:szCs w:val="20"/>
        </w:rPr>
        <w:t xml:space="preserve">, </w:t>
      </w:r>
      <w:r>
        <w:rPr>
          <w:rFonts w:ascii="Arial" w:hAnsi="Arial" w:cs="Arial"/>
          <w:sz w:val="20"/>
          <w:szCs w:val="20"/>
        </w:rPr>
        <w:t>§2º</w:t>
      </w:r>
      <w:r w:rsidRPr="00BB11AE">
        <w:rPr>
          <w:rFonts w:ascii="Arial" w:hAnsi="Arial" w:cs="Arial"/>
          <w:sz w:val="20"/>
          <w:szCs w:val="20"/>
        </w:rPr>
        <w:t xml:space="preserve"> da Instrução CVM </w:t>
      </w:r>
      <w:r>
        <w:rPr>
          <w:rFonts w:ascii="Arial" w:hAnsi="Arial" w:cs="Arial"/>
          <w:sz w:val="20"/>
          <w:szCs w:val="20"/>
        </w:rPr>
        <w:t>583</w:t>
      </w:r>
      <w:r w:rsidRPr="00BB11AE">
        <w:rPr>
          <w:rFonts w:ascii="Arial" w:hAnsi="Arial" w:cs="Arial"/>
          <w:sz w:val="20"/>
          <w:szCs w:val="20"/>
        </w:rPr>
        <w:t xml:space="preserve">, também exerce a função de agente fiduciário </w:t>
      </w:r>
      <w:r>
        <w:rPr>
          <w:rFonts w:ascii="Arial" w:hAnsi="Arial" w:cs="Arial"/>
          <w:sz w:val="20"/>
          <w:szCs w:val="20"/>
        </w:rPr>
        <w:t xml:space="preserve">e agente de </w:t>
      </w:r>
      <w:r w:rsidRPr="00293CD9">
        <w:rPr>
          <w:rFonts w:ascii="Arial" w:hAnsi="Arial" w:cs="Arial"/>
          <w:sz w:val="20"/>
          <w:szCs w:val="20"/>
        </w:rPr>
        <w:t>notas nas seguintes emissões:</w:t>
      </w:r>
      <w:r w:rsidRPr="00BB11AE">
        <w:rPr>
          <w:rFonts w:ascii="Arial" w:hAnsi="Arial" w:cs="Arial"/>
          <w:sz w:val="20"/>
          <w:szCs w:val="20"/>
        </w:rPr>
        <w:t xml:space="preserve"> </w:t>
      </w:r>
    </w:p>
    <w:p w14:paraId="72DE8C15" w14:textId="77777777" w:rsidR="00883C1A" w:rsidRPr="00757FB6" w:rsidRDefault="00883C1A" w:rsidP="00883C1A">
      <w:pPr>
        <w:pStyle w:val="Level4"/>
        <w:numPr>
          <w:ilvl w:val="3"/>
          <w:numId w:val="11"/>
        </w:numPr>
        <w:tabs>
          <w:tab w:val="clear" w:pos="2041"/>
          <w:tab w:val="num" w:pos="2098"/>
        </w:tabs>
        <w:ind w:left="2098"/>
      </w:pPr>
      <w:r w:rsidRPr="00757FB6">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p>
    <w:p w14:paraId="5EB0F4A4" w14:textId="77777777" w:rsidR="00883C1A" w:rsidRPr="00757FB6" w:rsidRDefault="00883C1A" w:rsidP="00883C1A">
      <w:pPr>
        <w:pStyle w:val="Level4"/>
        <w:numPr>
          <w:ilvl w:val="3"/>
          <w:numId w:val="11"/>
        </w:numPr>
        <w:tabs>
          <w:tab w:val="clear" w:pos="2041"/>
          <w:tab w:val="num" w:pos="2098"/>
        </w:tabs>
        <w:ind w:left="2098"/>
      </w:pPr>
      <w:r w:rsidRPr="00757FB6">
        <w:t>10ª (décima) emissão de debêntures da Companhia de Saneamento de Minas Gerais – COPASA MG, no valor de R$140.000.000,00 (cento e quarenta milhões de reais), com remuneração equivalente a 100% (cem por cento) da variação acumulada da Taxa DI acrescida de spread de 3,00% (três por cento) ao ano, na data de emissão, 15 de setembro de 2016, representada por 140 (cento e quarenta) debêntures, não conversíveis em ações, da espécie quirografária, com vencimento em 15 de setembro de 2020, sendo o valor nominal unitário e a remuneração pagos semestralmente a partir de 15 de setembro de 2017, não tendo ocorrido, até a data de celebração desta Escritura de Emissão quaisquer eventos de resgate, amortização antecipada, conversão, repactuação ou inadimplemento;</w:t>
      </w:r>
    </w:p>
    <w:p w14:paraId="45A630E3" w14:textId="77777777" w:rsidR="00883C1A" w:rsidRPr="00757FB6" w:rsidRDefault="00883C1A" w:rsidP="00883C1A">
      <w:pPr>
        <w:pStyle w:val="Level4"/>
        <w:numPr>
          <w:ilvl w:val="3"/>
          <w:numId w:val="11"/>
        </w:numPr>
        <w:tabs>
          <w:tab w:val="clear" w:pos="2041"/>
          <w:tab w:val="num" w:pos="2098"/>
        </w:tabs>
        <w:ind w:left="2098"/>
      </w:pPr>
      <w:r w:rsidRPr="00757FB6">
        <w:t>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a partir da data de emissão, ocorrendo o primeiro pagamento em 15 de setembro de 2018 e, o último, na data de vencimento, 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 não tendo ocorrido, até a data de celebração desta Escritura de Emissão quaisquer eventos de resgate, amortização antecipada, conversão, repactuação ou inadimplemento;</w:t>
      </w:r>
    </w:p>
    <w:p w14:paraId="13AE513B" w14:textId="77777777" w:rsidR="00883C1A" w:rsidRPr="00757FB6" w:rsidRDefault="00883C1A" w:rsidP="00883C1A">
      <w:pPr>
        <w:pStyle w:val="Level4"/>
        <w:numPr>
          <w:ilvl w:val="3"/>
          <w:numId w:val="11"/>
        </w:numPr>
        <w:tabs>
          <w:tab w:val="clear" w:pos="2041"/>
          <w:tab w:val="num" w:pos="2098"/>
        </w:tabs>
        <w:ind w:left="2098"/>
      </w:pPr>
      <w:bookmarkStart w:id="349" w:name="_Hlk5282944"/>
      <w:r w:rsidRPr="00757FB6">
        <w:t>5ª (quarta) emissão de debêntures da Emissora, em série única no valor total de R$400.000.000,00 (quatrocentos milhões de reais), com valor nominal unitário atualizado pela variação acumulada do IPCA, com juros remuneratórios prefixados correspondentes a 0,30%% (trinta décimos por cento) ao ano, na data de emissão, 15 de julho de 2018, representada por 400.000 (quatrocentas mil) debêntures, não conversíveis em ações, da espécie quirografária, com vencimento em 15 de julho de 2025, sendo o valor nominal unitário pago em duas parcelas em 15 de julho de 2024 e 15 de setembro de 2025, e a remuneração paga anualmente, sem carência, a partir da data de emissão, ocorrendo o primeiro pagamento em 15 de julho de 2019 e, o último, na data de vencimento, não tendo ocorrido, até a data de celebração desta Escritura de Emissão quaisquer eventos de resgate, amortização antecipada, conversão, repactuação ou inadimplemento</w:t>
      </w:r>
      <w:bookmarkEnd w:id="349"/>
      <w:r w:rsidRPr="00757FB6">
        <w:t>.</w:t>
      </w:r>
    </w:p>
    <w:p w14:paraId="216EF2F7" w14:textId="77777777" w:rsidR="00883C1A" w:rsidRPr="00757FB6" w:rsidRDefault="00883C1A" w:rsidP="00883C1A">
      <w:pPr>
        <w:pStyle w:val="Level4"/>
        <w:numPr>
          <w:ilvl w:val="3"/>
          <w:numId w:val="11"/>
        </w:numPr>
        <w:tabs>
          <w:tab w:val="clear" w:pos="2041"/>
          <w:tab w:val="num" w:pos="2098"/>
        </w:tabs>
        <w:ind w:left="2098"/>
      </w:pPr>
      <w:r w:rsidRPr="00757FB6">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p>
    <w:p w14:paraId="386BBFDA" w14:textId="77777777" w:rsidR="00883C1A" w:rsidRPr="00757FB6" w:rsidRDefault="00883C1A" w:rsidP="00883C1A">
      <w:pPr>
        <w:pStyle w:val="Level4"/>
        <w:numPr>
          <w:ilvl w:val="3"/>
          <w:numId w:val="11"/>
        </w:numPr>
        <w:tabs>
          <w:tab w:val="clear" w:pos="2041"/>
          <w:tab w:val="num" w:pos="2098"/>
        </w:tabs>
        <w:ind w:left="2098"/>
      </w:pPr>
      <w:r w:rsidRPr="00757FB6">
        <w:t>6ª (quarta) emissão de debêntures da Emissora não conversíveis em ações, em 2 séries, sendo a 1ª série da espécie quirografária e a 2ª série da espécie com Garantia Real, no valor total de R$1.060.000,00, com remuneração correspondentes a 110,50% do DI, tendo como data de emissão, 15 de maio de 2019, representada por 850.000 debêntures da 1ª série e 210.000 debêntures da 2ª série, com vencimento da 1ª série em 15 de maio de 2026 e a 2ª série em 15 de maio de 2044, sendo o valor nominal unitário pago em duas parcelas em 15 de julho de 2024, não tendo ocorrido, até a data de celebração desta Escritura de Emissão quaisquer eventos de resgate, amortização antecipada, conversão, repactuação ou inadimplemento.</w:t>
      </w:r>
      <w:r w:rsidRPr="00757FB6" w:rsidDel="009035EC">
        <w:t xml:space="preserve"> </w:t>
      </w:r>
    </w:p>
    <w:p w14:paraId="18ABEB09" w14:textId="77777777" w:rsidR="00883C1A" w:rsidRPr="00843CAE" w:rsidRDefault="00883C1A" w:rsidP="00883C1A">
      <w:pPr>
        <w:pStyle w:val="Level2"/>
        <w:numPr>
          <w:ilvl w:val="1"/>
          <w:numId w:val="11"/>
        </w:numPr>
        <w:spacing w:before="140" w:after="0"/>
      </w:pPr>
      <w:bookmarkStart w:id="350" w:name="_DV_M251"/>
      <w:bookmarkStart w:id="351" w:name="_DV_M252"/>
      <w:bookmarkStart w:id="352" w:name="_DV_M253"/>
      <w:bookmarkStart w:id="353" w:name="_DV_M255"/>
      <w:bookmarkStart w:id="354" w:name="_DV_M258"/>
      <w:bookmarkStart w:id="355" w:name="_DV_M259"/>
      <w:bookmarkStart w:id="356" w:name="_DV_M260"/>
      <w:bookmarkStart w:id="357" w:name="_DV_M261"/>
      <w:bookmarkStart w:id="358" w:name="_DV_M262"/>
      <w:bookmarkStart w:id="359" w:name="_DV_M264"/>
      <w:bookmarkStart w:id="360" w:name="_DV_M271"/>
      <w:bookmarkEnd w:id="350"/>
      <w:bookmarkEnd w:id="351"/>
      <w:bookmarkEnd w:id="352"/>
      <w:bookmarkEnd w:id="353"/>
      <w:bookmarkEnd w:id="354"/>
      <w:bookmarkEnd w:id="355"/>
      <w:bookmarkEnd w:id="356"/>
      <w:bookmarkEnd w:id="357"/>
      <w:bookmarkEnd w:id="358"/>
      <w:bookmarkEnd w:id="359"/>
      <w:bookmarkEnd w:id="360"/>
      <w:r w:rsidRPr="009F1496">
        <w:t>O Agente Fiduciário exercerá suas funções a partir da data de assinatura desta Escritura de Emissão, devendo permanecer no exercício de suas funções até a Data de Vencimento ou até sua efetiva substituição</w:t>
      </w:r>
      <w:r w:rsidRPr="00843CAE">
        <w:t xml:space="preserve"> ou, caso ainda restem obrigações inadimplidas da Emissora nos termos desta Escritura de Emissão após a Data de Vencimento, até que todas as obrigações da Emissora nos termos desta Escritura de Emissão sejam integralmente cumpridas.</w:t>
      </w:r>
    </w:p>
    <w:p w14:paraId="16646DC5" w14:textId="77777777" w:rsidR="00883C1A" w:rsidRPr="00174AD1" w:rsidRDefault="00883C1A" w:rsidP="00883C1A">
      <w:pPr>
        <w:pStyle w:val="Level2"/>
        <w:numPr>
          <w:ilvl w:val="1"/>
          <w:numId w:val="11"/>
        </w:numPr>
        <w:spacing w:before="140" w:after="0"/>
        <w:rPr>
          <w:b/>
        </w:rPr>
      </w:pPr>
      <w:bookmarkStart w:id="361" w:name="_Ref1659803"/>
      <w:r w:rsidRPr="009B514A">
        <w:t>Será devido pela Emissora ao Agente Fiduciário, a título de honorários pelos deveres e atribuições que lhe competem, nos termos da legislação e regulamentação aplicáveis e desta Escritura de Emissão, parcela</w:t>
      </w:r>
      <w:r>
        <w:t xml:space="preserve">s anuais </w:t>
      </w:r>
      <w:r w:rsidRPr="009B514A">
        <w:t>de R</w:t>
      </w:r>
      <w:r w:rsidRPr="009863B4">
        <w:t>$14.</w:t>
      </w:r>
      <w:r w:rsidRPr="005A583F">
        <w:t xml:space="preserve">000,00 </w:t>
      </w:r>
      <w:r w:rsidRPr="009863B4">
        <w:t>(quatorze mil</w:t>
      </w:r>
      <w:r w:rsidRPr="005A583F">
        <w:t xml:space="preserve"> reais), sendo devida no 5º (quinto) Dia Útil</w:t>
      </w:r>
      <w:r w:rsidRPr="009863B4">
        <w:t xml:space="preserve"> após a data de assinatura da Escritura de Emissão e as demais no dia </w:t>
      </w:r>
      <w:r w:rsidRPr="00757FB6">
        <w:t>15 do mesmo mês</w:t>
      </w:r>
      <w:r w:rsidRPr="009863B4">
        <w:t xml:space="preserve"> de emissão</w:t>
      </w:r>
      <w:r>
        <w:t xml:space="preserve"> da primeira fatura nos anos subsequentes</w:t>
      </w:r>
      <w:r w:rsidRPr="00D85C67">
        <w:t xml:space="preserve">. </w:t>
      </w:r>
      <w:r>
        <w:t>A primeira</w:t>
      </w:r>
      <w:r w:rsidRPr="00D85C67">
        <w:t xml:space="preserve"> parcela será devida ainda que a Emissão não seja liquidada, a título de estruturação e implantação</w:t>
      </w:r>
      <w:r w:rsidRPr="00D85C67" w:rsidDel="00D85C67">
        <w:t xml:space="preserve"> </w:t>
      </w:r>
      <w:r w:rsidRPr="00843CAE">
        <w:t>(“</w:t>
      </w:r>
      <w:r w:rsidRPr="002C1351">
        <w:rPr>
          <w:b/>
        </w:rPr>
        <w:t>Remuneração do Agente Fiduciário</w:t>
      </w:r>
      <w:r w:rsidRPr="002C1351">
        <w:t>”)</w:t>
      </w:r>
      <w:r>
        <w:t>.</w:t>
      </w:r>
      <w:bookmarkEnd w:id="361"/>
      <w:r w:rsidRPr="00174AD1">
        <w:t xml:space="preserve"> </w:t>
      </w:r>
    </w:p>
    <w:p w14:paraId="25D3EC92" w14:textId="77777777" w:rsidR="00883C1A" w:rsidRPr="009E6B2F" w:rsidRDefault="00883C1A" w:rsidP="00883C1A">
      <w:pPr>
        <w:pStyle w:val="Level3"/>
        <w:numPr>
          <w:ilvl w:val="2"/>
          <w:numId w:val="11"/>
        </w:numPr>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 xml:space="preserve">ário, excetuando-se o </w:t>
      </w:r>
      <w:r w:rsidRPr="00ED5956">
        <w:rPr>
          <w:lang w:val="pt-BR"/>
        </w:rPr>
        <w:t>IRRF (Imposto de Renda Retido na Fonte)</w:t>
      </w:r>
      <w:r>
        <w:rPr>
          <w:lang w:val="pt-BR"/>
        </w:rPr>
        <w:t xml:space="preserve"> e</w:t>
      </w:r>
      <w:r w:rsidRPr="00ED5956">
        <w:rPr>
          <w:lang w:val="pt-BR"/>
        </w:rPr>
        <w:t xml:space="preserve"> </w:t>
      </w:r>
      <w:r>
        <w:rPr>
          <w:lang w:val="pt-BR"/>
        </w:rPr>
        <w:t xml:space="preserve">a </w:t>
      </w:r>
      <w:r w:rsidRPr="00ED5956">
        <w:rPr>
          <w:lang w:val="pt-BR"/>
        </w:rPr>
        <w:t>CSLL (Contribuição sobre o Lucro Líquido) nas alíquotas vigentes nas datas de cada pagamento</w:t>
      </w:r>
      <w:r w:rsidRPr="009E6B2F">
        <w:rPr>
          <w:lang w:val="pt-BR"/>
        </w:rPr>
        <w:t xml:space="preserve">. </w:t>
      </w:r>
    </w:p>
    <w:p w14:paraId="4E2753E3" w14:textId="77777777" w:rsidR="00883C1A" w:rsidRPr="00800C28" w:rsidRDefault="00883C1A" w:rsidP="00883C1A">
      <w:pPr>
        <w:pStyle w:val="Level3"/>
        <w:numPr>
          <w:ilvl w:val="2"/>
          <w:numId w:val="11"/>
        </w:numPr>
        <w:spacing w:before="140" w:after="0"/>
        <w:rPr>
          <w:b/>
          <w:lang w:val="pt-BR"/>
        </w:rPr>
      </w:pPr>
      <w:bookmarkStart w:id="362"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w:t>
      </w:r>
      <w:r>
        <w:rPr>
          <w:lang w:val="pt-BR"/>
        </w:rPr>
        <w:t>500,00</w:t>
      </w:r>
      <w:r w:rsidRPr="002C1351">
        <w:rPr>
          <w:lang w:val="pt-BR"/>
        </w:rPr>
        <w:t xml:space="preserve"> (</w:t>
      </w:r>
      <w:r>
        <w:rPr>
          <w:lang w:val="pt-BR"/>
        </w:rPr>
        <w:t>quinhentos</w:t>
      </w:r>
      <w:r w:rsidRPr="002C1351">
        <w:rPr>
          <w:lang w:val="pt-BR"/>
        </w:rPr>
        <w:t xml:space="preserve"> reais) por hora-homem de trabalho dedicado a tais serviços.</w:t>
      </w:r>
      <w:bookmarkEnd w:id="362"/>
    </w:p>
    <w:p w14:paraId="55CA03CE" w14:textId="77777777" w:rsidR="00883C1A" w:rsidRPr="009E6B2F" w:rsidRDefault="00883C1A" w:rsidP="00883C1A">
      <w:pPr>
        <w:pStyle w:val="Level3"/>
        <w:numPr>
          <w:ilvl w:val="2"/>
          <w:numId w:val="11"/>
        </w:numPr>
        <w:spacing w:before="140" w:after="0"/>
        <w:rPr>
          <w:b/>
          <w:lang w:val="pt-BR"/>
        </w:rPr>
      </w:pPr>
      <w:r w:rsidRPr="009E6B2F">
        <w:rPr>
          <w:lang w:val="pt-BR"/>
        </w:rPr>
        <w:t xml:space="preserve">As parcelas referidas </w:t>
      </w:r>
      <w:r>
        <w:rPr>
          <w:lang w:val="pt-BR"/>
        </w:rPr>
        <w:t xml:space="preserve">nas Cláusulas </w:t>
      </w:r>
      <w:r>
        <w:rPr>
          <w:lang w:val="pt-BR"/>
        </w:rPr>
        <w:fldChar w:fldCharType="begin"/>
      </w:r>
      <w:r>
        <w:rPr>
          <w:lang w:val="pt-BR"/>
        </w:rPr>
        <w:instrText xml:space="preserve"> REF _Ref1659803 \r \h </w:instrText>
      </w:r>
      <w:r>
        <w:rPr>
          <w:lang w:val="pt-BR"/>
        </w:rPr>
      </w:r>
      <w:r>
        <w:rPr>
          <w:lang w:val="pt-BR"/>
        </w:rPr>
        <w:fldChar w:fldCharType="separate"/>
      </w:r>
      <w:r>
        <w:rPr>
          <w:lang w:val="pt-BR"/>
        </w:rPr>
        <w:t>9.4</w:t>
      </w:r>
      <w:r>
        <w:rPr>
          <w:lang w:val="pt-BR"/>
        </w:rPr>
        <w:fldChar w:fldCharType="end"/>
      </w:r>
      <w:r>
        <w:rPr>
          <w:lang w:val="pt-BR"/>
        </w:rPr>
        <w:t xml:space="preserve"> e </w:t>
      </w:r>
      <w:r>
        <w:rPr>
          <w:lang w:val="pt-BR"/>
        </w:rPr>
        <w:fldChar w:fldCharType="begin"/>
      </w:r>
      <w:r>
        <w:rPr>
          <w:lang w:val="pt-BR"/>
        </w:rPr>
        <w:instrText xml:space="preserve"> REF _Ref1659806 \r \h </w:instrText>
      </w:r>
      <w:r>
        <w:rPr>
          <w:lang w:val="pt-BR"/>
        </w:rPr>
      </w:r>
      <w:r>
        <w:rPr>
          <w:lang w:val="pt-BR"/>
        </w:rPr>
        <w:fldChar w:fldCharType="separate"/>
      </w:r>
      <w:r>
        <w:rPr>
          <w:lang w:val="pt-BR"/>
        </w:rPr>
        <w:t>9.4.2</w:t>
      </w:r>
      <w:r>
        <w:rPr>
          <w:lang w:val="pt-BR"/>
        </w:rPr>
        <w:fldChar w:fldCharType="end"/>
      </w:r>
      <w:r>
        <w:rPr>
          <w:lang w:val="pt-BR"/>
        </w:rPr>
        <w:t xml:space="preserve"> </w:t>
      </w:r>
      <w:r w:rsidRPr="009E6B2F">
        <w:rPr>
          <w:lang w:val="pt-BR"/>
        </w:rPr>
        <w:t xml:space="preserve">acima serão atualizadas, anualmente, de acordo com a variação acumulada do </w:t>
      </w:r>
      <w:r>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4200D598" w14:textId="77777777" w:rsidR="00883C1A" w:rsidRPr="009E6B2F" w:rsidRDefault="00883C1A" w:rsidP="00883C1A">
      <w:pPr>
        <w:pStyle w:val="Level3"/>
        <w:numPr>
          <w:ilvl w:val="2"/>
          <w:numId w:val="11"/>
        </w:numPr>
        <w:spacing w:before="140" w:after="0"/>
        <w:rPr>
          <w:lang w:val="pt-BR"/>
        </w:rPr>
      </w:pPr>
      <w:bookmarkStart w:id="363"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363"/>
    </w:p>
    <w:p w14:paraId="350F074E" w14:textId="77777777" w:rsidR="00883C1A" w:rsidRPr="00125E03" w:rsidRDefault="00883C1A" w:rsidP="00883C1A">
      <w:pPr>
        <w:pStyle w:val="Level3"/>
        <w:numPr>
          <w:ilvl w:val="2"/>
          <w:numId w:val="11"/>
        </w:numPr>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125E03">
        <w:rPr>
          <w:i/>
          <w:lang w:val="pt-BR"/>
        </w:rPr>
        <w:t>pro rata die</w:t>
      </w:r>
      <w:r w:rsidRPr="00125E03">
        <w:rPr>
          <w:lang w:val="pt-BR"/>
        </w:rPr>
        <w:t>.</w:t>
      </w:r>
    </w:p>
    <w:p w14:paraId="1C980212" w14:textId="77777777" w:rsidR="00883C1A" w:rsidRPr="00076C77" w:rsidRDefault="00883C1A" w:rsidP="00883C1A">
      <w:pPr>
        <w:pStyle w:val="Level3"/>
        <w:numPr>
          <w:ilvl w:val="2"/>
          <w:numId w:val="11"/>
        </w:numPr>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desde que em valores razoáveis de mercado e devidamente comprovadas, durante </w:t>
      </w:r>
      <w:r>
        <w:rPr>
          <w:lang w:val="pt-BR"/>
        </w:rPr>
        <w:t>implantação e</w:t>
      </w:r>
      <w:r w:rsidRPr="00C65844">
        <w:rPr>
          <w:lang w:val="pt-BR"/>
        </w:rPr>
        <w:t xml:space="preserve"> a vigência do serviço por ele prestado. Tais despesas serão arcadas pela Emissora, mediante pagamento das respectivas cobranças acompanhadas dos respectivos comprovantes, emitidas diretamente em nome da Emissora ou mediante reembolso, após prévia aprovação, sempre que possível</w:t>
      </w:r>
      <w:r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0E943200" w14:textId="77777777" w:rsidR="00883C1A" w:rsidRDefault="00883C1A" w:rsidP="00883C1A">
      <w:pPr>
        <w:pStyle w:val="Level3"/>
        <w:numPr>
          <w:ilvl w:val="2"/>
          <w:numId w:val="11"/>
        </w:numPr>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Pr="0001694C">
        <w:rPr>
          <w:lang w:val="pt-BR"/>
        </w:rPr>
        <w:t>.</w:t>
      </w:r>
    </w:p>
    <w:p w14:paraId="664EEC16" w14:textId="77777777" w:rsidR="00883C1A" w:rsidRPr="009E6B2F" w:rsidRDefault="00883C1A" w:rsidP="00883C1A">
      <w:pPr>
        <w:pStyle w:val="Level2"/>
        <w:numPr>
          <w:ilvl w:val="1"/>
          <w:numId w:val="11"/>
        </w:numPr>
        <w:spacing w:before="140" w:after="0"/>
      </w:pPr>
      <w:bookmarkStart w:id="364" w:name="_Ref491137801"/>
      <w:r w:rsidRPr="009E6B2F">
        <w:t>Além de outros previstos em lei, em ato normativo da CVM ou nesta Escritura de Emissão, constituem deveres e atribuições do Agente Fiduciário:</w:t>
      </w:r>
      <w:bookmarkEnd w:id="364"/>
    </w:p>
    <w:p w14:paraId="7CC3E9C5" w14:textId="77777777" w:rsidR="00883C1A" w:rsidRDefault="00883C1A" w:rsidP="00883C1A">
      <w:pPr>
        <w:pStyle w:val="Level5"/>
        <w:numPr>
          <w:ilvl w:val="4"/>
          <w:numId w:val="11"/>
        </w:numPr>
        <w:tabs>
          <w:tab w:val="clear" w:pos="2721"/>
          <w:tab w:val="left" w:pos="1361"/>
        </w:tabs>
        <w:spacing w:before="140" w:after="0"/>
        <w:ind w:left="1360"/>
      </w:pPr>
      <w:r>
        <w:t>exercer suas atividades com boa-fé, transparência e lealdade para com os titulares dos valores mobiliários;</w:t>
      </w:r>
    </w:p>
    <w:p w14:paraId="02EC2C59"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proteger os direitos e interesses dos Debenturistas, empregando, no exercício da função, o cuidado e a diligência que todo homem ativo e probo costuma empregar na administração dos seus próprios bens;</w:t>
      </w:r>
    </w:p>
    <w:p w14:paraId="396DF686"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renunciar à função na hipótese de superveniência de conflitos de interesse ou de qualquer outra modalidade de inaptidão</w:t>
      </w:r>
      <w:r>
        <w:t xml:space="preserve"> e realizar a imediata convocação da Assembleia Geral de Debenturistas prevista no artigo 7º da Instrução CVM 583</w:t>
      </w:r>
      <w:r w:rsidRPr="009E6B2F">
        <w:t>;</w:t>
      </w:r>
    </w:p>
    <w:p w14:paraId="4A974241"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conservar em boa guarda toda a escrituração, correspondência e demais papéis relacionados com o exercício de suas funções;</w:t>
      </w:r>
    </w:p>
    <w:p w14:paraId="27D5A4B6"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verificar, no momento de aceitar a função, a veracidade das informações contidas </w:t>
      </w:r>
      <w:proofErr w:type="spellStart"/>
      <w:r w:rsidRPr="009E6B2F">
        <w:t>nesta</w:t>
      </w:r>
      <w:proofErr w:type="spellEnd"/>
      <w:r w:rsidRPr="009E6B2F">
        <w:t xml:space="preserve"> Escritura de Emissão, diligenciando para que sejam sanadas as omissões, falhas ou defeitos de que tenha conhecimento; </w:t>
      </w:r>
    </w:p>
    <w:p w14:paraId="4A1C9F93"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solicitar, </w:t>
      </w:r>
      <w:r>
        <w:t>ao Coordenador Líder e à Emissora</w:t>
      </w:r>
      <w:r w:rsidRPr="009E6B2F">
        <w:t>, lista com as informações e documentos necessários para efetuar as verificações mencionadas na alínea (d) acima;</w:t>
      </w:r>
    </w:p>
    <w:p w14:paraId="4722B2DA"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utilizar as informações obtidas em razão de sua participação na Oferta exclusivamente para os fins aos quais tenham sido contratados; </w:t>
      </w:r>
    </w:p>
    <w:p w14:paraId="193436FB"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garantir a disponibilização das informações públicas relativas à Emissão em sua página na internet; </w:t>
      </w:r>
    </w:p>
    <w:p w14:paraId="032DF03D"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promover, </w:t>
      </w:r>
      <w:r w:rsidRPr="00843CAE">
        <w:t>nos órgãos competentes,</w:t>
      </w:r>
      <w:r w:rsidRPr="009E6B2F">
        <w:t xml:space="preserve"> caso a Emissora não o faça, o registro desta Escritura de Emissão e respectivos aditamentos na </w:t>
      </w:r>
      <w:r>
        <w:t>JUCERJA</w:t>
      </w:r>
      <w:r w:rsidRPr="009E6B2F">
        <w:t xml:space="preserve">, às expensas da Emissora, sanando as lacunas e irregularidades porventura neles existentes; neste caso, o oficial do registro notificará a Emissora para que esta lhe forneça as indicações e documentos necessários, sem prejuízo da ocorrência do descumprimento de obrigação não pecuniária pela Emissora; </w:t>
      </w:r>
    </w:p>
    <w:p w14:paraId="1465F85A"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acompanhar a observância da periodicidade na prestação das informações obrigatórias, alertando os Debenturistas acerca de eventuais omissões ou inverdades constantes de tais informações;</w:t>
      </w:r>
    </w:p>
    <w:p w14:paraId="26F56446" w14:textId="77777777" w:rsidR="00883C1A" w:rsidRPr="009E6B2F" w:rsidRDefault="00883C1A" w:rsidP="00883C1A">
      <w:pPr>
        <w:pStyle w:val="Level5"/>
        <w:numPr>
          <w:ilvl w:val="4"/>
          <w:numId w:val="11"/>
        </w:numPr>
        <w:tabs>
          <w:tab w:val="clear" w:pos="2721"/>
          <w:tab w:val="left" w:pos="1361"/>
        </w:tabs>
        <w:spacing w:before="140" w:after="0"/>
        <w:ind w:left="1360"/>
      </w:pPr>
      <w:bookmarkStart w:id="365" w:name="_DV_M284"/>
      <w:bookmarkEnd w:id="365"/>
      <w:r w:rsidRPr="009E6B2F">
        <w:t>solicitar,</w:t>
      </w:r>
      <w:r>
        <w:t xml:space="preserve"> quando julgar necessário, auditoria externa da Emissora</w:t>
      </w:r>
      <w:r w:rsidRPr="009E6B2F">
        <w:t>;</w:t>
      </w:r>
    </w:p>
    <w:p w14:paraId="2F14982A" w14:textId="77777777" w:rsidR="00883C1A" w:rsidRPr="00DD50B7" w:rsidRDefault="00883C1A" w:rsidP="00883C1A">
      <w:pPr>
        <w:pStyle w:val="Level5"/>
        <w:numPr>
          <w:ilvl w:val="4"/>
          <w:numId w:val="11"/>
        </w:numPr>
        <w:tabs>
          <w:tab w:val="clear" w:pos="2721"/>
          <w:tab w:val="left" w:pos="1361"/>
        </w:tabs>
        <w:spacing w:before="140" w:after="0"/>
        <w:ind w:left="1360"/>
      </w:pPr>
      <w:r>
        <w:t>solicitar, 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441E48B7"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solicitar, quando considerar necessário, auditoria </w:t>
      </w:r>
      <w:r>
        <w:t>externa</w:t>
      </w:r>
      <w:r w:rsidRPr="009E6B2F">
        <w:t xml:space="preserve"> </w:t>
      </w:r>
      <w:r>
        <w:t>da</w:t>
      </w:r>
      <w:r w:rsidRPr="009E6B2F">
        <w:t xml:space="preserve"> Emissora;</w:t>
      </w:r>
    </w:p>
    <w:p w14:paraId="58D87CEE"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convocar, quando necessário, a Assembleia Geral de Debenturistas, mediante anúncio publicado, pelo menos três vezes, nos órgãos de imprensa nos quais a Emissora deve efetuar suas publicações, às expensas desta;</w:t>
      </w:r>
    </w:p>
    <w:p w14:paraId="043D983F"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comparecer à Assembleia Geral de Debenturistas a fim de prestar as informações que lhe forem solicitadas;</w:t>
      </w:r>
    </w:p>
    <w:p w14:paraId="4A065DF0" w14:textId="77777777" w:rsidR="00883C1A" w:rsidRPr="009E6B2F" w:rsidRDefault="00883C1A" w:rsidP="00883C1A">
      <w:pPr>
        <w:pStyle w:val="Level5"/>
        <w:numPr>
          <w:ilvl w:val="4"/>
          <w:numId w:val="11"/>
        </w:numPr>
        <w:tabs>
          <w:tab w:val="clear" w:pos="2721"/>
          <w:tab w:val="left" w:pos="1361"/>
        </w:tabs>
        <w:spacing w:before="140" w:after="0"/>
        <w:ind w:left="1360"/>
      </w:pPr>
      <w:bookmarkStart w:id="366" w:name="_Ref459547205"/>
      <w:r w:rsidRPr="009E6B2F">
        <w:t>elaborar relatórios anuais destinados aos Debenturistas, nos termos da alínea (b) do parágrafo 1º do artigo 68 da Lei das Sociedades por Ações, relativos aos exercícios sociais da Emissora, os quais deverão conter, ao menos, as seguintes informações:</w:t>
      </w:r>
      <w:bookmarkEnd w:id="366"/>
    </w:p>
    <w:p w14:paraId="714E8ABD" w14:textId="77777777" w:rsidR="00883C1A" w:rsidRDefault="00883C1A" w:rsidP="00883C1A">
      <w:pPr>
        <w:widowControl/>
        <w:numPr>
          <w:ilvl w:val="1"/>
          <w:numId w:val="14"/>
        </w:numPr>
        <w:tabs>
          <w:tab w:val="clear" w:pos="1778"/>
        </w:tabs>
        <w:suppressAutoHyphens/>
        <w:spacing w:before="140" w:line="290" w:lineRule="auto"/>
        <w:ind w:left="1985" w:hanging="567"/>
        <w:rPr>
          <w:rFonts w:ascii="Arial" w:hAnsi="Arial" w:cs="Arial"/>
          <w:sz w:val="20"/>
          <w:szCs w:val="20"/>
        </w:rPr>
      </w:pPr>
      <w:r>
        <w:rPr>
          <w:rFonts w:ascii="Arial" w:hAnsi="Arial" w:cs="Arial"/>
          <w:sz w:val="20"/>
          <w:szCs w:val="20"/>
        </w:rPr>
        <w:t>cumprimento pela Emissora das suas obrigações de prestação de informações periódicas, indicando as inconsistências ou omissões de que tenha conhecimento;</w:t>
      </w:r>
    </w:p>
    <w:p w14:paraId="6D2D6A98" w14:textId="77777777" w:rsidR="00883C1A"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25F45D4" w14:textId="77777777" w:rsidR="00883C1A"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1C068C31"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423CF3CB" w14:textId="77777777" w:rsidR="00883C1A"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376181DF"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32C01AA9"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0ECB8649"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843CAE">
        <w:rPr>
          <w:rFonts w:ascii="Arial" w:hAnsi="Arial" w:cs="Arial"/>
          <w:sz w:val="20"/>
          <w:szCs w:val="20"/>
        </w:rPr>
        <w:t>à administração do</w:t>
      </w:r>
      <w:r w:rsidRPr="009E6B2F">
        <w:rPr>
          <w:rFonts w:ascii="Arial" w:hAnsi="Arial" w:cs="Arial"/>
          <w:sz w:val="20"/>
          <w:szCs w:val="20"/>
        </w:rPr>
        <w:t xml:space="preserve"> Agente Fiduciário;</w:t>
      </w:r>
    </w:p>
    <w:p w14:paraId="30EB5D89"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50702164" w14:textId="77777777" w:rsidR="00883C1A"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bookmarkStart w:id="367" w:name="_DV_M290"/>
      <w:bookmarkStart w:id="368" w:name="_DV_M292"/>
      <w:bookmarkStart w:id="369" w:name="_DV_M294"/>
      <w:bookmarkStart w:id="370" w:name="_DV_M297"/>
      <w:bookmarkStart w:id="371" w:name="_Ref459547197"/>
      <w:bookmarkEnd w:id="367"/>
      <w:bookmarkEnd w:id="368"/>
      <w:bookmarkEnd w:id="369"/>
      <w:bookmarkEnd w:id="370"/>
      <w:r>
        <w:rPr>
          <w:rFonts w:ascii="Arial" w:hAnsi="Arial" w:cs="Arial"/>
          <w:sz w:val="20"/>
          <w:szCs w:val="20"/>
        </w:rPr>
        <w:t>declaração sobre a não existência de situação de conflito de interesses que impeça o Agente Fiduciário a continuar exercer a função; e</w:t>
      </w:r>
    </w:p>
    <w:p w14:paraId="78BDE43F" w14:textId="77777777" w:rsidR="00883C1A" w:rsidRPr="009E6B2F" w:rsidRDefault="00883C1A" w:rsidP="00883C1A">
      <w:pPr>
        <w:widowControl/>
        <w:numPr>
          <w:ilvl w:val="1"/>
          <w:numId w:val="14"/>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Pr>
          <w:rFonts w:ascii="Arial" w:hAnsi="Arial" w:cs="Arial"/>
          <w:sz w:val="20"/>
          <w:szCs w:val="20"/>
        </w:rPr>
        <w:t>valores mobiliários</w:t>
      </w:r>
      <w:r w:rsidRPr="009E6B2F">
        <w:rPr>
          <w:rFonts w:ascii="Arial" w:hAnsi="Arial" w:cs="Arial"/>
          <w:sz w:val="20"/>
          <w:szCs w:val="20"/>
        </w:rPr>
        <w:t>, públicas ou privadas, feitas pela Emissora, por sociedade coligada, controlada, controladora ou integrante do mesmo grupo da Emissora em que tenha atuado como agente fiduciário no período, bem como os seguintes dados sobre tais emissões:</w:t>
      </w:r>
      <w:bookmarkEnd w:id="371"/>
    </w:p>
    <w:p w14:paraId="27EA4CCF" w14:textId="77777777" w:rsidR="00883C1A" w:rsidRPr="009E6B2F"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r w:rsidRPr="009E6B2F">
        <w:rPr>
          <w:rFonts w:ascii="Arial" w:hAnsi="Arial" w:cs="Arial"/>
          <w:sz w:val="20"/>
          <w:szCs w:val="20"/>
        </w:rPr>
        <w:t>denominação da companhia ofertante;</w:t>
      </w:r>
    </w:p>
    <w:p w14:paraId="629167DB" w14:textId="77777777" w:rsidR="00883C1A" w:rsidRPr="009E6B2F"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bookmarkStart w:id="372" w:name="_DV_M299"/>
      <w:bookmarkEnd w:id="372"/>
      <w:r w:rsidRPr="009E6B2F">
        <w:rPr>
          <w:rFonts w:ascii="Arial" w:hAnsi="Arial" w:cs="Arial"/>
          <w:sz w:val="20"/>
          <w:szCs w:val="20"/>
        </w:rPr>
        <w:t>valor da emissão;</w:t>
      </w:r>
    </w:p>
    <w:p w14:paraId="7F4A2169" w14:textId="77777777" w:rsidR="00883C1A" w:rsidRPr="009E6B2F"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r w:rsidRPr="009E6B2F">
        <w:rPr>
          <w:rFonts w:ascii="Arial" w:hAnsi="Arial" w:cs="Arial"/>
          <w:sz w:val="20"/>
          <w:szCs w:val="20"/>
        </w:rPr>
        <w:t xml:space="preserve">quantidade de </w:t>
      </w:r>
      <w:r>
        <w:rPr>
          <w:rFonts w:ascii="Arial" w:hAnsi="Arial" w:cs="Arial"/>
          <w:sz w:val="20"/>
          <w:szCs w:val="20"/>
        </w:rPr>
        <w:t>valores mobiliários</w:t>
      </w:r>
      <w:r w:rsidRPr="009E6B2F">
        <w:rPr>
          <w:rFonts w:ascii="Arial" w:hAnsi="Arial" w:cs="Arial"/>
          <w:sz w:val="20"/>
          <w:szCs w:val="20"/>
        </w:rPr>
        <w:t xml:space="preserve"> emitid</w:t>
      </w:r>
      <w:r>
        <w:rPr>
          <w:rFonts w:ascii="Arial" w:hAnsi="Arial" w:cs="Arial"/>
          <w:sz w:val="20"/>
          <w:szCs w:val="20"/>
        </w:rPr>
        <w:t>o</w:t>
      </w:r>
      <w:r w:rsidRPr="009E6B2F">
        <w:rPr>
          <w:rFonts w:ascii="Arial" w:hAnsi="Arial" w:cs="Arial"/>
          <w:sz w:val="20"/>
          <w:szCs w:val="20"/>
        </w:rPr>
        <w:t>s;</w:t>
      </w:r>
    </w:p>
    <w:p w14:paraId="59F0A5B7" w14:textId="77777777" w:rsidR="00883C1A" w:rsidRPr="009E6B2F"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r w:rsidRPr="009E6B2F">
        <w:rPr>
          <w:rFonts w:ascii="Arial" w:hAnsi="Arial" w:cs="Arial"/>
          <w:sz w:val="20"/>
          <w:szCs w:val="20"/>
        </w:rPr>
        <w:t>espécie</w:t>
      </w:r>
      <w:r>
        <w:rPr>
          <w:rFonts w:ascii="Arial" w:hAnsi="Arial" w:cs="Arial"/>
          <w:sz w:val="20"/>
          <w:szCs w:val="20"/>
        </w:rPr>
        <w:t xml:space="preserve"> e garantias envolvidas</w:t>
      </w:r>
      <w:r w:rsidRPr="009E6B2F">
        <w:rPr>
          <w:rFonts w:ascii="Arial" w:hAnsi="Arial" w:cs="Arial"/>
          <w:sz w:val="20"/>
          <w:szCs w:val="20"/>
        </w:rPr>
        <w:t xml:space="preserve">; </w:t>
      </w:r>
    </w:p>
    <w:p w14:paraId="00123EF7" w14:textId="77777777" w:rsidR="00883C1A" w:rsidRPr="009E6B2F"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r w:rsidRPr="009E6B2F">
        <w:rPr>
          <w:rFonts w:ascii="Arial" w:hAnsi="Arial" w:cs="Arial"/>
          <w:sz w:val="20"/>
          <w:szCs w:val="20"/>
        </w:rPr>
        <w:t xml:space="preserve">prazo de vencimento </w:t>
      </w:r>
      <w:r>
        <w:rPr>
          <w:rFonts w:ascii="Arial" w:hAnsi="Arial" w:cs="Arial"/>
          <w:sz w:val="20"/>
          <w:szCs w:val="20"/>
        </w:rPr>
        <w:t>e taxa de juros</w:t>
      </w:r>
      <w:r w:rsidRPr="009E6B2F">
        <w:rPr>
          <w:rFonts w:ascii="Arial" w:hAnsi="Arial" w:cs="Arial"/>
          <w:sz w:val="20"/>
          <w:szCs w:val="20"/>
        </w:rPr>
        <w:t>;</w:t>
      </w:r>
    </w:p>
    <w:p w14:paraId="57064945" w14:textId="77777777" w:rsidR="00883C1A" w:rsidRDefault="00883C1A" w:rsidP="00883C1A">
      <w:pPr>
        <w:widowControl/>
        <w:numPr>
          <w:ilvl w:val="2"/>
          <w:numId w:val="14"/>
        </w:numPr>
        <w:tabs>
          <w:tab w:val="clear" w:pos="2700"/>
        </w:tabs>
        <w:suppressAutoHyphens/>
        <w:spacing w:before="140" w:line="290" w:lineRule="auto"/>
        <w:ind w:left="2552" w:hanging="567"/>
        <w:rPr>
          <w:rFonts w:ascii="Arial" w:hAnsi="Arial" w:cs="Arial"/>
          <w:sz w:val="20"/>
          <w:szCs w:val="20"/>
        </w:rPr>
      </w:pPr>
      <w:bookmarkStart w:id="373" w:name="_DV_M303"/>
      <w:bookmarkEnd w:id="373"/>
      <w:r w:rsidRPr="009E6B2F">
        <w:rPr>
          <w:rFonts w:ascii="Arial" w:hAnsi="Arial" w:cs="Arial"/>
          <w:sz w:val="20"/>
          <w:szCs w:val="20"/>
        </w:rPr>
        <w:t>inadimplemento no período</w:t>
      </w:r>
      <w:r>
        <w:rPr>
          <w:rFonts w:ascii="Arial" w:hAnsi="Arial" w:cs="Arial"/>
          <w:sz w:val="20"/>
          <w:szCs w:val="20"/>
        </w:rPr>
        <w:t>.</w:t>
      </w:r>
    </w:p>
    <w:p w14:paraId="2735B71C" w14:textId="77777777" w:rsidR="00883C1A" w:rsidRPr="009E6B2F" w:rsidRDefault="00883C1A" w:rsidP="00883C1A">
      <w:pPr>
        <w:pStyle w:val="Level5"/>
        <w:numPr>
          <w:ilvl w:val="4"/>
          <w:numId w:val="11"/>
        </w:numPr>
        <w:tabs>
          <w:tab w:val="clear" w:pos="2721"/>
          <w:tab w:val="left" w:pos="1361"/>
        </w:tabs>
        <w:spacing w:before="140" w:after="0"/>
        <w:ind w:left="1360"/>
      </w:pPr>
      <w:bookmarkStart w:id="374" w:name="_DV_M305"/>
      <w:bookmarkEnd w:id="374"/>
      <w:r>
        <w:t xml:space="preserve">manter atualizada a sua </w:t>
      </w:r>
      <w:r w:rsidRPr="009E6B2F">
        <w:t>declaração sobre sua aptidão para continuar exercendo a função de agente fiduciário da Emissão;</w:t>
      </w:r>
    </w:p>
    <w:p w14:paraId="52BE6285"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divulgar as informações referidas no inciso “</w:t>
      </w:r>
      <w:r>
        <w:fldChar w:fldCharType="begin"/>
      </w:r>
      <w:r>
        <w:instrText xml:space="preserve"> REF _Ref459547197 \r \h </w:instrText>
      </w:r>
      <w:r>
        <w:fldChar w:fldCharType="separate"/>
      </w:r>
      <w:r>
        <w:t>(x)</w:t>
      </w:r>
      <w:r>
        <w:fldChar w:fldCharType="end"/>
      </w:r>
      <w:r w:rsidRPr="009E6B2F">
        <w:t xml:space="preserve">” da alínea </w:t>
      </w:r>
      <w:r>
        <w:fldChar w:fldCharType="begin"/>
      </w:r>
      <w:r>
        <w:instrText xml:space="preserve"> REF _Ref459547205 \r \h </w:instrText>
      </w:r>
      <w:r>
        <w:fldChar w:fldCharType="separate"/>
      </w:r>
      <w:r>
        <w:t>(p)</w:t>
      </w:r>
      <w:r>
        <w:fldChar w:fldCharType="end"/>
      </w:r>
      <w:r w:rsidRPr="009E6B2F">
        <w:t xml:space="preserve"> acima em sua página na rede mundial de computadores tão logo delas tenha conhecimento;</w:t>
      </w:r>
    </w:p>
    <w:p w14:paraId="6CD66EBE" w14:textId="77777777" w:rsidR="00883C1A" w:rsidRPr="00B04813" w:rsidRDefault="00883C1A" w:rsidP="00883C1A">
      <w:pPr>
        <w:pStyle w:val="Level5"/>
        <w:numPr>
          <w:ilvl w:val="4"/>
          <w:numId w:val="11"/>
        </w:numPr>
        <w:tabs>
          <w:tab w:val="clear" w:pos="2721"/>
          <w:tab w:val="left" w:pos="1361"/>
        </w:tabs>
        <w:spacing w:before="140" w:after="0"/>
        <w:ind w:left="1360"/>
      </w:pPr>
      <w:bookmarkStart w:id="375" w:name="_DV_M307"/>
      <w:bookmarkStart w:id="376" w:name="_Ref460949229"/>
      <w:bookmarkEnd w:id="375"/>
      <w:r w:rsidRPr="009E6B2F">
        <w:t xml:space="preserve">disponibilizar o relatório a que se refere a alínea </w:t>
      </w:r>
      <w:r>
        <w:fldChar w:fldCharType="begin"/>
      </w:r>
      <w:r>
        <w:instrText xml:space="preserve"> REF _Ref491137801 \r \h </w:instrText>
      </w:r>
      <w:r>
        <w:fldChar w:fldCharType="separate"/>
      </w:r>
      <w:r>
        <w:t>9.5</w:t>
      </w:r>
      <w:r>
        <w:fldChar w:fldCharType="end"/>
      </w:r>
      <w:r>
        <w:fldChar w:fldCharType="begin"/>
      </w:r>
      <w:r>
        <w:instrText xml:space="preserve"> REF _Ref459547205 \r \h </w:instrText>
      </w:r>
      <w:r>
        <w:fldChar w:fldCharType="separate"/>
      </w:r>
      <w:r>
        <w:t>(p)</w:t>
      </w:r>
      <w:r>
        <w:fldChar w:fldCharType="end"/>
      </w:r>
      <w:r w:rsidRPr="009E6B2F">
        <w:t xml:space="preserve"> acima aos Debenturistas até o dia 30 de abril de cada ano</w:t>
      </w:r>
      <w:bookmarkEnd w:id="376"/>
      <w:r>
        <w:t xml:space="preserve"> em sua página na rede mundial de computadores (</w:t>
      </w:r>
      <w:r w:rsidRPr="00946006">
        <w:t>www.simplificpavarini.com.br</w:t>
      </w:r>
      <w:r>
        <w:t>);</w:t>
      </w:r>
    </w:p>
    <w:p w14:paraId="79635479" w14:textId="77777777" w:rsidR="00883C1A" w:rsidRPr="009E6B2F" w:rsidRDefault="00883C1A" w:rsidP="00883C1A">
      <w:pPr>
        <w:pStyle w:val="Level5"/>
        <w:numPr>
          <w:ilvl w:val="4"/>
          <w:numId w:val="11"/>
        </w:numPr>
        <w:tabs>
          <w:tab w:val="clear" w:pos="2721"/>
          <w:tab w:val="left" w:pos="1361"/>
        </w:tabs>
        <w:spacing w:before="140" w:after="0"/>
        <w:ind w:left="1360"/>
      </w:pPr>
      <w:bookmarkStart w:id="377" w:name="_DV_M314"/>
      <w:bookmarkEnd w:id="377"/>
      <w:r w:rsidRPr="009E6B2F">
        <w:t xml:space="preserve">manter atualizada a relação dos Debenturistas e seus endereços, mediante, inclusive, solicitação de informações junto à Emissora, ao </w:t>
      </w:r>
      <w:proofErr w:type="spellStart"/>
      <w:r w:rsidRPr="009E6B2F">
        <w:t>Escriturador</w:t>
      </w:r>
      <w:proofErr w:type="spellEnd"/>
      <w:r w:rsidRPr="009E6B2F">
        <w:t xml:space="preserve">, à </w:t>
      </w:r>
      <w:r>
        <w:t xml:space="preserve">B3 – Segmento </w:t>
      </w:r>
      <w:proofErr w:type="spellStart"/>
      <w:r>
        <w:t>Cetip</w:t>
      </w:r>
      <w:proofErr w:type="spellEnd"/>
      <w:r>
        <w:t xml:space="preserve"> UTVM</w:t>
      </w:r>
      <w:r w:rsidRPr="00843CAE">
        <w:t xml:space="preserve">, à B3, sendo que, para fins de atendimento ao disposto neste inciso, a Emissora e os Debenturistas, assim que subscreverem, integralizarem, ou adquirirem as Debêntures, expressamente autorizam, desde já, a </w:t>
      </w:r>
      <w:r>
        <w:t xml:space="preserve">B3 – Segmento </w:t>
      </w:r>
      <w:proofErr w:type="spellStart"/>
      <w:r>
        <w:t>Cetip</w:t>
      </w:r>
      <w:proofErr w:type="spellEnd"/>
      <w:r>
        <w:t xml:space="preserve"> UTVM</w:t>
      </w:r>
      <w:r w:rsidRPr="00843CAE">
        <w:t xml:space="preserve">, a B3 e o </w:t>
      </w:r>
      <w:proofErr w:type="spellStart"/>
      <w:r w:rsidRPr="00843CAE">
        <w:t>Escriturador</w:t>
      </w:r>
      <w:proofErr w:type="spellEnd"/>
      <w:r w:rsidRPr="00843CAE">
        <w:t xml:space="preserve"> a atender quaisquer solicitações feitas pelo Agente Fiduciário, inclusive referente à divulgação, a qualquer momento, da posição da titularidade das Debêntures</w:t>
      </w:r>
      <w:r w:rsidRPr="009E6B2F">
        <w:t>;</w:t>
      </w:r>
    </w:p>
    <w:p w14:paraId="72ACA40F"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fiscalizar o cumprimento das Cláusulas constantes desta Escritura de Emissão e todas aquelas impositivas de obrigações de fazer e não fazer;</w:t>
      </w:r>
    </w:p>
    <w:p w14:paraId="641EC843" w14:textId="77777777" w:rsidR="00883C1A" w:rsidRPr="009E6B2F" w:rsidRDefault="00883C1A" w:rsidP="00883C1A">
      <w:pPr>
        <w:pStyle w:val="Level5"/>
        <w:numPr>
          <w:ilvl w:val="4"/>
          <w:numId w:val="11"/>
        </w:numPr>
        <w:tabs>
          <w:tab w:val="clear" w:pos="2721"/>
          <w:tab w:val="left" w:pos="1361"/>
        </w:tabs>
        <w:spacing w:before="140" w:after="0"/>
        <w:ind w:left="1360"/>
      </w:pPr>
      <w:bookmarkStart w:id="378" w:name="_DV_M316"/>
      <w:bookmarkEnd w:id="378"/>
      <w:r w:rsidRPr="009E6B2F">
        <w:t xml:space="preserve">notificar os Debenturistas, individualmente ou, caso não seja possível, por meio de aviso publicado nos jornais mencionados na Cláusula </w:t>
      </w:r>
      <w:r w:rsidRPr="009E6B2F">
        <w:fldChar w:fldCharType="begin"/>
      </w:r>
      <w:r w:rsidRPr="009E6B2F">
        <w:instrText xml:space="preserve"> REF _Ref420336525 \r \h  \* MERGEFORMAT </w:instrText>
      </w:r>
      <w:r w:rsidRPr="009E6B2F">
        <w:fldChar w:fldCharType="separate"/>
      </w:r>
      <w:r>
        <w:t>5.28</w:t>
      </w:r>
      <w:r w:rsidRPr="009E6B2F">
        <w:fldChar w:fldCharType="end"/>
      </w:r>
      <w:r w:rsidRPr="009E6B2F">
        <w:t xml:space="preserve"> acima, no prazo máximo de 3 (três) Dias Úteis da data em que tomou ciência do evento a respeito de qualquer inadimplemento pela Emissora de obrigações assumidas nesta Escritura de Emissão, indicando o local em que fornecerá aos interessados maiores informações; comunicação de igual teor deverá ser enviada e/ou à CVM, à </w:t>
      </w:r>
      <w:r>
        <w:t xml:space="preserve">B3 – Segmento </w:t>
      </w:r>
      <w:proofErr w:type="spellStart"/>
      <w:r>
        <w:t>Cetip</w:t>
      </w:r>
      <w:proofErr w:type="spellEnd"/>
      <w:r>
        <w:t xml:space="preserve"> UTVM</w:t>
      </w:r>
      <w:r w:rsidRPr="009E6B2F">
        <w:t xml:space="preserve"> e à </w:t>
      </w:r>
      <w:r>
        <w:t>B3</w:t>
      </w:r>
      <w:r w:rsidRPr="009E6B2F">
        <w:t>;</w:t>
      </w:r>
    </w:p>
    <w:p w14:paraId="0BF59313"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emitir parecer sobre a suficiência das informações constantes de eventuais propostas de modificações nas condições das Debêntures;</w:t>
      </w:r>
    </w:p>
    <w:p w14:paraId="6718067C" w14:textId="77777777" w:rsidR="00883C1A" w:rsidRPr="009E6B2F" w:rsidRDefault="00883C1A" w:rsidP="00883C1A">
      <w:pPr>
        <w:pStyle w:val="Level5"/>
        <w:numPr>
          <w:ilvl w:val="4"/>
          <w:numId w:val="11"/>
        </w:numPr>
        <w:tabs>
          <w:tab w:val="clear" w:pos="2721"/>
          <w:tab w:val="left" w:pos="1361"/>
        </w:tabs>
        <w:spacing w:before="140" w:after="0"/>
        <w:ind w:left="1360"/>
      </w:pPr>
      <w:r w:rsidRPr="00843CAE">
        <w:t>disponibilizar aos Debenturistas e demais participantes do mercado, em sua central de atendimento e/ou website, o cálculo do Valor Nominal Unitário, da Atualização Monetária, conforme o caso, e da Remuneração, a ser calculado pelo Agente Fiduciário</w:t>
      </w:r>
      <w:r w:rsidRPr="009E6B2F">
        <w:rPr>
          <w:rStyle w:val="MquinadeescreverHTML"/>
        </w:rPr>
        <w:t xml:space="preserve">; </w:t>
      </w:r>
    </w:p>
    <w:p w14:paraId="1FBDA0EF"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 xml:space="preserve">acompanhar com o Banco Liquidante em cada data de pagamento, o integral e pontual pagamento dos valores devidos, conforme estipulado na presente Escritura de Emissão; </w:t>
      </w:r>
      <w:r>
        <w:t>e</w:t>
      </w:r>
    </w:p>
    <w:p w14:paraId="48D3BB27" w14:textId="77777777" w:rsidR="00883C1A" w:rsidRPr="009E6B2F" w:rsidRDefault="00883C1A" w:rsidP="00883C1A">
      <w:pPr>
        <w:pStyle w:val="Level5"/>
        <w:numPr>
          <w:ilvl w:val="4"/>
          <w:numId w:val="11"/>
        </w:numPr>
        <w:tabs>
          <w:tab w:val="clear" w:pos="2721"/>
          <w:tab w:val="left" w:pos="1361"/>
        </w:tabs>
        <w:spacing w:before="140" w:after="0"/>
        <w:ind w:left="1360"/>
      </w:pPr>
      <w:r w:rsidRPr="009E6B2F">
        <w:t>fiscalizar o cumprimento, pela Emissora, da manutenção atualizada, pelo menos anualmente e até o vencimento das Debêntures, do relatório de classificação de risco (</w:t>
      </w:r>
      <w:r w:rsidRPr="009E6B2F">
        <w:rPr>
          <w:i/>
        </w:rPr>
        <w:t>rating</w:t>
      </w:r>
      <w:r w:rsidRPr="009E6B2F">
        <w:t>) das Debêntures.</w:t>
      </w:r>
    </w:p>
    <w:p w14:paraId="7DBFA832" w14:textId="77777777" w:rsidR="00883C1A" w:rsidRPr="009E6B2F" w:rsidRDefault="00883C1A" w:rsidP="00883C1A">
      <w:pPr>
        <w:pStyle w:val="Level2"/>
        <w:numPr>
          <w:ilvl w:val="1"/>
          <w:numId w:val="11"/>
        </w:numPr>
        <w:spacing w:before="140" w:after="0"/>
      </w:pPr>
      <w:bookmarkStart w:id="379" w:name="_DV_M321"/>
      <w:bookmarkEnd w:id="379"/>
      <w:r w:rsidRPr="009E6B2F">
        <w:t xml:space="preserve">O Agente Fiduciário </w:t>
      </w:r>
      <w:r w:rsidRPr="00843CAE">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CA48EFC" w14:textId="4E7F79B2" w:rsidR="00883C1A" w:rsidRPr="00843CAE" w:rsidRDefault="00883C1A" w:rsidP="00883C1A">
      <w:pPr>
        <w:pStyle w:val="Level2"/>
        <w:numPr>
          <w:ilvl w:val="1"/>
          <w:numId w:val="11"/>
        </w:numPr>
        <w:spacing w:before="140" w:after="0"/>
      </w:pPr>
      <w:bookmarkStart w:id="380" w:name="_DV_M322"/>
      <w:bookmarkEnd w:id="380"/>
      <w:r w:rsidRPr="00843CAE">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843CAE">
        <w:fldChar w:fldCharType="begin"/>
      </w:r>
      <w:r w:rsidRPr="00843CAE">
        <w:instrText xml:space="preserve"> REF _Ref459667707 \r \h </w:instrText>
      </w:r>
      <w:r w:rsidR="00843CAE">
        <w:instrText xml:space="preserve"> \* MERGEFORMAT </w:instrText>
      </w:r>
      <w:r w:rsidRPr="00843CAE">
        <w:fldChar w:fldCharType="separate"/>
      </w:r>
      <w:r w:rsidRPr="00843CAE">
        <w:t>10.10</w:t>
      </w:r>
      <w:r w:rsidRPr="00843CAE">
        <w:fldChar w:fldCharType="end"/>
      </w:r>
      <w:r w:rsidRPr="00843CAE">
        <w:t>.</w:t>
      </w:r>
    </w:p>
    <w:p w14:paraId="100E271A" w14:textId="77777777" w:rsidR="00883C1A" w:rsidRPr="009E6B2F" w:rsidRDefault="00883C1A" w:rsidP="00883C1A">
      <w:pPr>
        <w:pStyle w:val="Level2"/>
        <w:numPr>
          <w:ilvl w:val="1"/>
          <w:numId w:val="11"/>
        </w:numPr>
        <w:spacing w:before="140" w:after="0"/>
      </w:pPr>
      <w:r w:rsidRPr="00843CAE">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w:t>
      </w:r>
      <w:r w:rsidRPr="009E6B2F">
        <w:rPr>
          <w:rStyle w:val="DeltaViewInsertion"/>
          <w:rFonts w:cs="Arial"/>
          <w:szCs w:val="20"/>
        </w:rPr>
        <w:t xml:space="preserve"> </w:t>
      </w:r>
    </w:p>
    <w:p w14:paraId="09FEC3DA" w14:textId="77777777" w:rsidR="00883C1A" w:rsidRPr="009E6B2F" w:rsidRDefault="00883C1A" w:rsidP="00883C1A">
      <w:pPr>
        <w:pStyle w:val="Level2"/>
        <w:numPr>
          <w:ilvl w:val="1"/>
          <w:numId w:val="11"/>
        </w:numPr>
        <w:spacing w:before="140" w:after="0"/>
      </w:pPr>
      <w:bookmarkStart w:id="381" w:name="_Ref459547597"/>
      <w:r w:rsidRPr="009E6B2F">
        <w:t>O Agente Fiduciário usará de quaisquer procedimentos judiciais ou extrajudiciais contra a Emissora para a proteção e defesa dos interesses da comunhão dos Debenturistas na realização de seus créditos, devendo, em caso de inadimplemento:</w:t>
      </w:r>
      <w:bookmarkEnd w:id="381"/>
    </w:p>
    <w:p w14:paraId="0DAC268A" w14:textId="77777777" w:rsidR="00883C1A" w:rsidRPr="009E6B2F" w:rsidRDefault="00883C1A" w:rsidP="00883C1A">
      <w:pPr>
        <w:widowControl/>
        <w:numPr>
          <w:ilvl w:val="0"/>
          <w:numId w:val="15"/>
        </w:numPr>
        <w:tabs>
          <w:tab w:val="clear" w:pos="1080"/>
        </w:tabs>
        <w:suppressAutoHyphens/>
        <w:spacing w:before="140" w:line="290" w:lineRule="auto"/>
        <w:ind w:left="1276" w:hanging="567"/>
        <w:rPr>
          <w:rFonts w:ascii="Arial" w:hAnsi="Arial" w:cs="Arial"/>
          <w:sz w:val="20"/>
          <w:szCs w:val="20"/>
        </w:rPr>
      </w:pPr>
      <w:bookmarkStart w:id="382" w:name="_Ref459547583"/>
      <w:r w:rsidRPr="009E6B2F">
        <w:rPr>
          <w:rFonts w:ascii="Arial" w:hAnsi="Arial" w:cs="Arial"/>
          <w:sz w:val="20"/>
          <w:szCs w:val="20"/>
        </w:rPr>
        <w:t>declarar antecipadamente vencidas as Debêntures e cobrar seu principal e acessórios, observadas as condições da presente Escritura de Emissão;</w:t>
      </w:r>
      <w:bookmarkEnd w:id="382"/>
    </w:p>
    <w:p w14:paraId="204F3348" w14:textId="77777777" w:rsidR="00883C1A" w:rsidRPr="009E6B2F" w:rsidRDefault="00883C1A" w:rsidP="00883C1A">
      <w:pPr>
        <w:widowControl/>
        <w:numPr>
          <w:ilvl w:val="0"/>
          <w:numId w:val="15"/>
        </w:numPr>
        <w:tabs>
          <w:tab w:val="clear" w:pos="1080"/>
        </w:tabs>
        <w:suppressAutoHyphens/>
        <w:spacing w:before="140" w:line="290" w:lineRule="auto"/>
        <w:ind w:left="1276" w:hanging="567"/>
        <w:rPr>
          <w:rFonts w:ascii="Arial" w:hAnsi="Arial" w:cs="Arial"/>
          <w:sz w:val="20"/>
          <w:szCs w:val="20"/>
        </w:rPr>
      </w:pPr>
      <w:bookmarkStart w:id="383" w:name="_DV_M327"/>
      <w:bookmarkStart w:id="384" w:name="_Ref459547586"/>
      <w:bookmarkEnd w:id="383"/>
      <w:r w:rsidRPr="009E6B2F">
        <w:rPr>
          <w:rFonts w:ascii="Arial" w:hAnsi="Arial" w:cs="Arial"/>
          <w:sz w:val="20"/>
          <w:szCs w:val="20"/>
        </w:rPr>
        <w:t>requerer a falência da Emissora;</w:t>
      </w:r>
      <w:bookmarkEnd w:id="384"/>
    </w:p>
    <w:p w14:paraId="196F1F02" w14:textId="77777777" w:rsidR="00883C1A" w:rsidRPr="009E6B2F" w:rsidRDefault="00883C1A" w:rsidP="00883C1A">
      <w:pPr>
        <w:widowControl/>
        <w:numPr>
          <w:ilvl w:val="0"/>
          <w:numId w:val="15"/>
        </w:numPr>
        <w:tabs>
          <w:tab w:val="clear" w:pos="1080"/>
        </w:tabs>
        <w:suppressAutoHyphens/>
        <w:spacing w:before="140" w:line="290" w:lineRule="auto"/>
        <w:ind w:left="1276" w:hanging="567"/>
        <w:rPr>
          <w:rFonts w:ascii="Arial" w:hAnsi="Arial" w:cs="Arial"/>
          <w:sz w:val="20"/>
          <w:szCs w:val="20"/>
        </w:rPr>
      </w:pPr>
      <w:bookmarkStart w:id="385" w:name="_DV_M328"/>
      <w:bookmarkStart w:id="386" w:name="_Ref459547589"/>
      <w:bookmarkEnd w:id="385"/>
      <w:r w:rsidRPr="009E6B2F">
        <w:rPr>
          <w:rFonts w:ascii="Arial" w:hAnsi="Arial" w:cs="Arial"/>
          <w:sz w:val="20"/>
          <w:szCs w:val="20"/>
        </w:rPr>
        <w:t>tomar todas as providências necessárias para a realização dos créditos dos Debenturistas; e</w:t>
      </w:r>
      <w:bookmarkEnd w:id="386"/>
    </w:p>
    <w:p w14:paraId="57055F00" w14:textId="77777777" w:rsidR="00883C1A" w:rsidRPr="009E6B2F" w:rsidRDefault="00883C1A" w:rsidP="00883C1A">
      <w:pPr>
        <w:widowControl/>
        <w:numPr>
          <w:ilvl w:val="0"/>
          <w:numId w:val="15"/>
        </w:numPr>
        <w:tabs>
          <w:tab w:val="clear" w:pos="1080"/>
        </w:tabs>
        <w:suppressAutoHyphens/>
        <w:spacing w:before="140" w:line="290" w:lineRule="auto"/>
        <w:ind w:left="1276" w:hanging="567"/>
        <w:rPr>
          <w:rFonts w:ascii="Arial" w:hAnsi="Arial" w:cs="Arial"/>
          <w:sz w:val="20"/>
          <w:szCs w:val="20"/>
        </w:rPr>
      </w:pPr>
      <w:bookmarkStart w:id="387" w:name="_Ref459547591"/>
      <w:r w:rsidRPr="009E6B2F">
        <w:rPr>
          <w:rFonts w:ascii="Arial" w:hAnsi="Arial" w:cs="Arial"/>
          <w:sz w:val="20"/>
          <w:szCs w:val="20"/>
        </w:rPr>
        <w:t>representar os Debenturistas em processo de falência, recuperação judicial e extrajudicial, intervenção ou liquidação da Emissora.</w:t>
      </w:r>
      <w:bookmarkEnd w:id="387"/>
    </w:p>
    <w:p w14:paraId="041A6396" w14:textId="61FFBD72" w:rsidR="00883C1A" w:rsidRPr="009E6B2F" w:rsidRDefault="00883C1A" w:rsidP="00883C1A">
      <w:pPr>
        <w:pStyle w:val="Level2"/>
        <w:numPr>
          <w:ilvl w:val="1"/>
          <w:numId w:val="11"/>
        </w:numPr>
        <w:spacing w:before="140" w:after="0"/>
      </w:pPr>
      <w:r w:rsidRPr="009E6B2F">
        <w:t xml:space="preserve">O Agente Fiduciário, observado o disposto na Cláusula </w:t>
      </w:r>
      <w:r>
        <w:fldChar w:fldCharType="begin"/>
      </w:r>
      <w:r>
        <w:instrText xml:space="preserve"> REF _Ref475091144 \r \h </w:instrText>
      </w:r>
      <w:r>
        <w:fldChar w:fldCharType="separate"/>
      </w:r>
      <w:r>
        <w:t>6</w:t>
      </w:r>
      <w:r>
        <w:fldChar w:fldCharType="end"/>
      </w:r>
      <w:r w:rsidRPr="009E6B2F">
        <w:t xml:space="preserve"> acima, somente se eximirá da responsabilidade pela não adoção das medidas contempladas nas alíneas </w:t>
      </w:r>
      <w:r>
        <w:fldChar w:fldCharType="begin"/>
      </w:r>
      <w:r>
        <w:instrText xml:space="preserve"> REF _Ref459547583 \r \h </w:instrText>
      </w:r>
      <w:r>
        <w:fldChar w:fldCharType="separate"/>
      </w:r>
      <w:r>
        <w:t>(a)</w:t>
      </w:r>
      <w:r>
        <w:fldChar w:fldCharType="end"/>
      </w:r>
      <w:r>
        <w:t xml:space="preserve">, </w:t>
      </w:r>
      <w:r>
        <w:fldChar w:fldCharType="begin"/>
      </w:r>
      <w:r>
        <w:instrText xml:space="preserve"> REF _Ref459547586 \r \h </w:instrText>
      </w:r>
      <w:r>
        <w:fldChar w:fldCharType="separate"/>
      </w:r>
      <w:r>
        <w:t>(b)</w:t>
      </w:r>
      <w:r>
        <w:fldChar w:fldCharType="end"/>
      </w:r>
      <w:r>
        <w:t xml:space="preserve">, </w:t>
      </w:r>
      <w:r>
        <w:fldChar w:fldCharType="begin"/>
      </w:r>
      <w:r>
        <w:instrText xml:space="preserve"> REF _Ref459547589 \r \h </w:instrText>
      </w:r>
      <w:r>
        <w:fldChar w:fldCharType="separate"/>
      </w:r>
      <w:r>
        <w:t>(c)</w:t>
      </w:r>
      <w:r>
        <w:fldChar w:fldCharType="end"/>
      </w:r>
      <w:r>
        <w:t xml:space="preserve"> e </w:t>
      </w:r>
      <w:r>
        <w:fldChar w:fldCharType="begin"/>
      </w:r>
      <w:r>
        <w:instrText xml:space="preserve"> REF _Ref459547591 \r \h </w:instrText>
      </w:r>
      <w:r>
        <w:fldChar w:fldCharType="separate"/>
      </w:r>
      <w:r>
        <w:t>(d)</w:t>
      </w:r>
      <w:r>
        <w:fldChar w:fldCharType="end"/>
      </w:r>
      <w:r w:rsidRPr="009E6B2F">
        <w:t xml:space="preserve"> da Cláusula </w:t>
      </w:r>
      <w:r>
        <w:rPr>
          <w:rStyle w:val="DeltaViewInsertion"/>
          <w:rFonts w:cs="Arial"/>
          <w:szCs w:val="20"/>
        </w:rPr>
        <w:fldChar w:fldCharType="begin"/>
      </w:r>
      <w:r>
        <w:instrText xml:space="preserve"> REF _Ref459547597 \r \h </w:instrText>
      </w:r>
      <w:r>
        <w:rPr>
          <w:rStyle w:val="DeltaViewInsertion"/>
          <w:rFonts w:cs="Arial"/>
          <w:szCs w:val="20"/>
        </w:rPr>
      </w:r>
      <w:r>
        <w:rPr>
          <w:rStyle w:val="DeltaViewInsertion"/>
          <w:rFonts w:cs="Arial"/>
          <w:szCs w:val="20"/>
        </w:rPr>
        <w:fldChar w:fldCharType="separate"/>
      </w:r>
      <w:r>
        <w:t>9.9</w:t>
      </w:r>
      <w:r>
        <w:rPr>
          <w:rStyle w:val="DeltaViewInsertion"/>
          <w:rFonts w:cs="Arial"/>
          <w:szCs w:val="20"/>
        </w:rPr>
        <w:fldChar w:fldCharType="end"/>
      </w:r>
      <w:r>
        <w:rPr>
          <w:rStyle w:val="DeltaViewInsertion"/>
          <w:rFonts w:cs="Arial"/>
          <w:szCs w:val="20"/>
        </w:rPr>
        <w:t xml:space="preserve"> </w:t>
      </w:r>
      <w:r w:rsidRPr="009E6B2F">
        <w:t xml:space="preserve">acima, se a Assembleia Geral de Debenturistas assim autorizar por unanimidade das Debêntures em Circulação, sendo certo que na alínea </w:t>
      </w:r>
      <w:r>
        <w:fldChar w:fldCharType="begin"/>
      </w:r>
      <w:r>
        <w:instrText xml:space="preserve"> REF _Ref459547591 \r \h </w:instrText>
      </w:r>
      <w:r>
        <w:fldChar w:fldCharType="separate"/>
      </w:r>
      <w:r>
        <w:t>(d)</w:t>
      </w:r>
      <w:r>
        <w:fldChar w:fldCharType="end"/>
      </w:r>
      <w:r w:rsidRPr="009E6B2F">
        <w:t xml:space="preserve"> d</w:t>
      </w:r>
      <w:r>
        <w:t>a</w:t>
      </w:r>
      <w:r w:rsidRPr="009E6B2F">
        <w:t xml:space="preserve"> Cláusula </w:t>
      </w:r>
      <w:r w:rsidRPr="00843CAE">
        <w:fldChar w:fldCharType="begin"/>
      </w:r>
      <w:r>
        <w:instrText xml:space="preserve"> REF _Ref459547597 \r \h </w:instrText>
      </w:r>
      <w:r w:rsidR="00843CAE">
        <w:instrText xml:space="preserve"> \* MERGEFORMAT </w:instrText>
      </w:r>
      <w:r w:rsidRPr="00843CAE">
        <w:fldChar w:fldCharType="separate"/>
      </w:r>
      <w:r>
        <w:t>9.9</w:t>
      </w:r>
      <w:r w:rsidRPr="00843CAE">
        <w:fldChar w:fldCharType="end"/>
      </w:r>
      <w:r>
        <w:rPr>
          <w:rStyle w:val="DeltaViewInsertion"/>
          <w:rFonts w:cs="Arial"/>
          <w:szCs w:val="20"/>
        </w:rPr>
        <w:t xml:space="preserve"> </w:t>
      </w:r>
      <w:r w:rsidRPr="00843CAE">
        <w:t>acima</w:t>
      </w:r>
      <w:r w:rsidRPr="009E6B2F">
        <w:t xml:space="preserve">, será suficiente a deliberação da maioria das Debêntures em Circulação. </w:t>
      </w:r>
    </w:p>
    <w:p w14:paraId="036B2A24" w14:textId="77777777" w:rsidR="00883C1A" w:rsidRPr="009E6B2F" w:rsidRDefault="00883C1A" w:rsidP="00883C1A">
      <w:pPr>
        <w:pStyle w:val="Level2"/>
        <w:numPr>
          <w:ilvl w:val="1"/>
          <w:numId w:val="11"/>
        </w:numPr>
        <w:spacing w:before="140" w:after="0"/>
      </w:pPr>
      <w:bookmarkStart w:id="388" w:name="_DV_M332"/>
      <w:bookmarkEnd w:id="388"/>
      <w:r w:rsidRPr="009E6B2F">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t xml:space="preserve">e </w:t>
      </w:r>
      <w:r w:rsidRPr="009E6B2F">
        <w:t xml:space="preserve">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843CAE">
        <w:t>resultará</w:t>
      </w:r>
      <w:r w:rsidRPr="009E6B2F">
        <w:t xml:space="preserve"> em remuneração ao novo Agente Fiduciário superior à ora avençada.</w:t>
      </w:r>
    </w:p>
    <w:p w14:paraId="413C66D8" w14:textId="77777777" w:rsidR="00883C1A" w:rsidRPr="009E6B2F" w:rsidRDefault="00883C1A" w:rsidP="00883C1A">
      <w:pPr>
        <w:pStyle w:val="Level3"/>
        <w:numPr>
          <w:ilvl w:val="2"/>
          <w:numId w:val="11"/>
        </w:numPr>
        <w:spacing w:before="140" w:after="0"/>
        <w:rPr>
          <w:lang w:val="pt-BR"/>
        </w:rPr>
      </w:pPr>
      <w:bookmarkStart w:id="389" w:name="_DV_M333"/>
      <w:bookmarkStart w:id="390" w:name="_DV_M334"/>
      <w:bookmarkEnd w:id="389"/>
      <w:bookmarkEnd w:id="390"/>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4542360C" w14:textId="77777777" w:rsidR="00883C1A" w:rsidRPr="009E6B2F" w:rsidRDefault="00883C1A" w:rsidP="00883C1A">
      <w:pPr>
        <w:pStyle w:val="Level3"/>
        <w:numPr>
          <w:ilvl w:val="2"/>
          <w:numId w:val="11"/>
        </w:numPr>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18205270" w14:textId="77777777" w:rsidR="00883C1A" w:rsidRPr="009E6B2F" w:rsidRDefault="00883C1A" w:rsidP="00883C1A">
      <w:pPr>
        <w:pStyle w:val="Level3"/>
        <w:numPr>
          <w:ilvl w:val="2"/>
          <w:numId w:val="11"/>
        </w:numPr>
        <w:spacing w:before="140" w:after="0"/>
        <w:rPr>
          <w:lang w:val="pt-BR"/>
        </w:rPr>
      </w:pPr>
      <w:bookmarkStart w:id="391" w:name="_DV_M335"/>
      <w:bookmarkEnd w:id="391"/>
      <w:r w:rsidRPr="009E6B2F">
        <w:rPr>
          <w:lang w:val="pt-BR"/>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 xml:space="preserve">pro rata </w:t>
      </w:r>
      <w:proofErr w:type="spellStart"/>
      <w:r w:rsidRPr="009E6B2F">
        <w:rPr>
          <w:i/>
          <w:iCs/>
          <w:lang w:val="pt-BR"/>
        </w:rPr>
        <w:t>temporis</w:t>
      </w:r>
      <w:proofErr w:type="spellEnd"/>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B0751A1" w14:textId="77777777" w:rsidR="00883C1A" w:rsidRPr="009E6B2F" w:rsidRDefault="00883C1A" w:rsidP="00883C1A">
      <w:pPr>
        <w:pStyle w:val="Level3"/>
        <w:numPr>
          <w:ilvl w:val="2"/>
          <w:numId w:val="11"/>
        </w:numPr>
        <w:spacing w:before="140" w:after="0"/>
        <w:rPr>
          <w:lang w:val="pt-BR"/>
        </w:rPr>
      </w:pPr>
      <w:bookmarkStart w:id="392" w:name="_DV_M336"/>
      <w:bookmarkEnd w:id="392"/>
      <w:r w:rsidRPr="009E6B2F">
        <w:rPr>
          <w:lang w:val="pt-BR"/>
        </w:rPr>
        <w:t xml:space="preserve">Em qualquer hipótese, a substituição do Agente Fiduciário </w:t>
      </w:r>
      <w:r>
        <w:rPr>
          <w:lang w:val="pt-BR"/>
        </w:rPr>
        <w:t>deve ser comunicada à CVM, no prazo de até 7 (sete) dias Úteis, contados do registro do aditamento à Escritura de Emissão, juntamente com os documentos previstos no artigo 5º e §1º do artigo 5º da Instrução CVM 583</w:t>
      </w:r>
      <w:r w:rsidRPr="009E6B2F">
        <w:rPr>
          <w:lang w:val="pt-BR"/>
        </w:rPr>
        <w:t>.</w:t>
      </w:r>
    </w:p>
    <w:p w14:paraId="52D35724" w14:textId="77777777" w:rsidR="00883C1A" w:rsidRPr="009E6B2F" w:rsidRDefault="00883C1A" w:rsidP="00883C1A">
      <w:pPr>
        <w:pStyle w:val="Level3"/>
        <w:numPr>
          <w:ilvl w:val="2"/>
          <w:numId w:val="11"/>
        </w:numPr>
        <w:spacing w:before="140" w:after="0"/>
        <w:rPr>
          <w:lang w:val="pt-BR"/>
        </w:rPr>
      </w:pPr>
      <w:bookmarkStart w:id="393" w:name="_DV_M337"/>
      <w:bookmarkEnd w:id="393"/>
      <w:r w:rsidRPr="009E6B2F">
        <w:rPr>
          <w:lang w:val="pt-BR"/>
        </w:rPr>
        <w:t xml:space="preserve">A substituição do Agente Fiduciário em caráter permanente deverá ser objeto de aditamento à Escritura de Emissão, que deverá ser registrado nos termos da </w:t>
      </w:r>
      <w:r w:rsidRPr="009E6B2F">
        <w:rPr>
          <w:szCs w:val="20"/>
          <w:lang w:val="pt-BR"/>
        </w:rPr>
        <w:t xml:space="preserve">Cláusula </w:t>
      </w:r>
      <w:r w:rsidRPr="009E6B2F">
        <w:rPr>
          <w:lang w:val="pt-BR"/>
        </w:rPr>
        <w:fldChar w:fldCharType="begin"/>
      </w:r>
      <w:r w:rsidRPr="009E6B2F">
        <w:rPr>
          <w:lang w:val="pt-BR"/>
        </w:rPr>
        <w:instrText xml:space="preserve"> REF _Ref427660038 \r \h  \* MERGEFORMAT </w:instrText>
      </w:r>
      <w:r w:rsidRPr="009E6B2F">
        <w:rPr>
          <w:lang w:val="pt-BR"/>
        </w:rPr>
      </w:r>
      <w:r w:rsidRPr="009E6B2F">
        <w:rPr>
          <w:lang w:val="pt-BR"/>
        </w:rPr>
        <w:fldChar w:fldCharType="separate"/>
      </w:r>
      <w:r>
        <w:rPr>
          <w:lang w:val="pt-BR"/>
        </w:rPr>
        <w:t>2.2.1</w:t>
      </w:r>
      <w:r w:rsidRPr="009E6B2F">
        <w:rPr>
          <w:lang w:val="pt-BR"/>
        </w:rPr>
        <w:fldChar w:fldCharType="end"/>
      </w:r>
      <w:r w:rsidRPr="009E6B2F">
        <w:rPr>
          <w:lang w:val="pt-BR"/>
        </w:rPr>
        <w:t xml:space="preserve"> acima.</w:t>
      </w:r>
    </w:p>
    <w:p w14:paraId="10C2EF20" w14:textId="77777777" w:rsidR="00883C1A" w:rsidRPr="009E6B2F" w:rsidRDefault="00883C1A" w:rsidP="00883C1A">
      <w:pPr>
        <w:pStyle w:val="Level3"/>
        <w:numPr>
          <w:ilvl w:val="2"/>
          <w:numId w:val="11"/>
        </w:numPr>
        <w:spacing w:before="140" w:after="0"/>
        <w:rPr>
          <w:lang w:val="pt-BR"/>
        </w:rPr>
      </w:pPr>
      <w:r w:rsidRPr="009E6B2F">
        <w:rPr>
          <w:lang w:val="pt-BR"/>
        </w:rPr>
        <w:t xml:space="preserve">O Agente Fiduciário substituto deverá, imediatamente após sua nomeação, comunicá-la aos Debenturistas em forma de aviso nos termos da Cláusula </w:t>
      </w:r>
      <w:r w:rsidRPr="009E6B2F">
        <w:rPr>
          <w:lang w:val="pt-BR"/>
        </w:rPr>
        <w:fldChar w:fldCharType="begin"/>
      </w:r>
      <w:r w:rsidRPr="009E6B2F">
        <w:rPr>
          <w:lang w:val="pt-BR"/>
        </w:rPr>
        <w:instrText xml:space="preserve"> REF _Ref420336525 \r \h  \* MERGEFORMAT </w:instrText>
      </w:r>
      <w:r w:rsidRPr="009E6B2F">
        <w:rPr>
          <w:lang w:val="pt-BR"/>
        </w:rPr>
      </w:r>
      <w:r w:rsidRPr="009E6B2F">
        <w:rPr>
          <w:lang w:val="pt-BR"/>
        </w:rPr>
        <w:fldChar w:fldCharType="separate"/>
      </w:r>
      <w:r>
        <w:rPr>
          <w:lang w:val="pt-BR"/>
        </w:rPr>
        <w:t>5.28</w:t>
      </w:r>
      <w:r w:rsidRPr="009E6B2F">
        <w:rPr>
          <w:lang w:val="pt-BR"/>
        </w:rPr>
        <w:fldChar w:fldCharType="end"/>
      </w:r>
      <w:r w:rsidRPr="009E6B2F">
        <w:rPr>
          <w:lang w:val="pt-BR"/>
        </w:rPr>
        <w:t xml:space="preserve"> acima.</w:t>
      </w:r>
    </w:p>
    <w:p w14:paraId="215C5972" w14:textId="77777777" w:rsidR="00883C1A" w:rsidRPr="009E6B2F" w:rsidRDefault="00883C1A" w:rsidP="00883C1A">
      <w:pPr>
        <w:pStyle w:val="Level3"/>
        <w:numPr>
          <w:ilvl w:val="2"/>
          <w:numId w:val="11"/>
        </w:numPr>
        <w:spacing w:before="140" w:after="0"/>
        <w:rPr>
          <w:szCs w:val="20"/>
          <w:lang w:val="pt-BR"/>
        </w:rPr>
      </w:pPr>
      <w:r w:rsidRPr="009E6B2F">
        <w:rPr>
          <w:szCs w:val="20"/>
          <w:lang w:val="pt-BR"/>
        </w:rPr>
        <w:t>Aplicam-se às hipóteses de substituição do Agente Fiduciário as normas e preceitos a este respeito promulgados por atos da CVM.</w:t>
      </w:r>
    </w:p>
    <w:p w14:paraId="6EE03471" w14:textId="77777777" w:rsidR="00883C1A" w:rsidRPr="009E6B2F" w:rsidRDefault="00883C1A" w:rsidP="00883C1A">
      <w:pPr>
        <w:pStyle w:val="Level1"/>
        <w:keepLines w:val="0"/>
        <w:numPr>
          <w:ilvl w:val="0"/>
          <w:numId w:val="11"/>
        </w:numPr>
        <w:autoSpaceDE w:val="0"/>
        <w:autoSpaceDN w:val="0"/>
        <w:adjustRightInd w:val="0"/>
      </w:pPr>
      <w:bookmarkStart w:id="394" w:name="_DV_M340"/>
      <w:bookmarkStart w:id="395" w:name="_Ref427712773"/>
      <w:bookmarkEnd w:id="394"/>
      <w:r w:rsidRPr="009E6B2F">
        <w:t>DA ASSEMBLEIA GERAL DE DEBENTURISTAS</w:t>
      </w:r>
      <w:bookmarkEnd w:id="395"/>
    </w:p>
    <w:p w14:paraId="2A48BE93" w14:textId="77777777" w:rsidR="00883C1A" w:rsidRDefault="00883C1A" w:rsidP="00883C1A">
      <w:pPr>
        <w:pStyle w:val="Level2"/>
        <w:numPr>
          <w:ilvl w:val="1"/>
          <w:numId w:val="11"/>
        </w:numPr>
        <w:spacing w:before="140" w:after="0"/>
        <w:rPr>
          <w:bCs/>
        </w:rPr>
      </w:pPr>
      <w:bookmarkStart w:id="396" w:name="_DV_M341"/>
      <w:bookmarkStart w:id="397" w:name="_DV_M354"/>
      <w:bookmarkEnd w:id="396"/>
      <w:bookmarkEnd w:id="397"/>
      <w:r w:rsidRPr="009E6B2F">
        <w:t>Os Debenturistas poderão, a qualquer tempo, reunir-se em assembleia geral, de acordo com o disposto no artigo 71 da Lei das Sociedades por Ações, a fim de deliberarem sobre matéria de interesse da comunhão dos Debenturistas (“</w:t>
      </w:r>
      <w:r w:rsidRPr="00FA25D8">
        <w:rPr>
          <w:b/>
        </w:rPr>
        <w:t>Assembleia Geral de Debenturistas</w:t>
      </w:r>
      <w:r w:rsidRPr="009E6B2F">
        <w:t>”</w:t>
      </w:r>
      <w:r>
        <w:t>)</w:t>
      </w:r>
      <w:r>
        <w:rPr>
          <w:w w:val="0"/>
        </w:rPr>
        <w:t>.</w:t>
      </w:r>
      <w:r w:rsidRPr="00ED4800">
        <w:rPr>
          <w:w w:val="0"/>
        </w:rPr>
        <w:t xml:space="preserve"> </w:t>
      </w:r>
    </w:p>
    <w:p w14:paraId="43C3DA0E" w14:textId="77777777" w:rsidR="00883C1A" w:rsidRPr="009E6B2F" w:rsidRDefault="00883C1A" w:rsidP="00883C1A">
      <w:pPr>
        <w:pStyle w:val="Level2"/>
        <w:numPr>
          <w:ilvl w:val="1"/>
          <w:numId w:val="11"/>
        </w:numPr>
        <w:spacing w:before="140" w:after="0"/>
      </w:pPr>
      <w:r w:rsidRPr="009E6B2F">
        <w:t xml:space="preserve">A Assembleia Geral de Debenturistas poderá ser convocada pelo Agente Fiduciário, pela Emissora, pelos Debenturistas que representem, no mínimo, 10% (dez por cento) das </w:t>
      </w:r>
      <w:r w:rsidRPr="009E6B2F">
        <w:rPr>
          <w:szCs w:val="26"/>
        </w:rPr>
        <w:t>Debêntures em Circulação</w:t>
      </w:r>
      <w:r>
        <w:t xml:space="preserve">, </w:t>
      </w:r>
      <w:r w:rsidRPr="009E6B2F">
        <w:t>ou pela CVM.</w:t>
      </w:r>
    </w:p>
    <w:p w14:paraId="4B911DF5" w14:textId="77777777" w:rsidR="00883C1A" w:rsidRPr="009E6B2F" w:rsidRDefault="00883C1A" w:rsidP="00883C1A">
      <w:pPr>
        <w:pStyle w:val="Level3"/>
        <w:numPr>
          <w:ilvl w:val="2"/>
          <w:numId w:val="11"/>
        </w:numPr>
        <w:spacing w:before="140" w:after="0"/>
        <w:rPr>
          <w:lang w:val="pt-BR"/>
        </w:rPr>
      </w:pPr>
      <w:bookmarkStart w:id="398" w:name="_Ref187755774"/>
      <w:r>
        <w:rPr>
          <w:lang w:val="pt-BR"/>
        </w:rPr>
        <w:t>A convocação da</w:t>
      </w:r>
      <w:r w:rsidRPr="009E6B2F">
        <w:rPr>
          <w:lang w:val="pt-BR"/>
        </w:rPr>
        <w:t xml:space="preserve"> Assembleia Gera</w:t>
      </w:r>
      <w:r>
        <w:rPr>
          <w:lang w:val="pt-BR"/>
        </w:rPr>
        <w:t>l</w:t>
      </w:r>
      <w:r w:rsidRPr="009E6B2F">
        <w:rPr>
          <w:lang w:val="pt-BR"/>
        </w:rPr>
        <w:t xml:space="preserve"> de Debenturistas dar-se-á mediante anúncio publicado pelo menos 3 (três) vezes nos termos da Cláusula </w:t>
      </w:r>
      <w:r>
        <w:rPr>
          <w:lang w:val="pt-BR"/>
        </w:rPr>
        <w:fldChar w:fldCharType="begin"/>
      </w:r>
      <w:r>
        <w:rPr>
          <w:lang w:val="pt-BR"/>
        </w:rPr>
        <w:instrText xml:space="preserve"> REF _Ref420336525 \r \h </w:instrText>
      </w:r>
      <w:r>
        <w:rPr>
          <w:lang w:val="pt-BR"/>
        </w:rPr>
      </w:r>
      <w:r>
        <w:rPr>
          <w:lang w:val="pt-BR"/>
        </w:rPr>
        <w:fldChar w:fldCharType="separate"/>
      </w:r>
      <w:r>
        <w:rPr>
          <w:lang w:val="pt-BR"/>
        </w:rPr>
        <w:t>5.28</w:t>
      </w:r>
      <w:r>
        <w:rPr>
          <w:lang w:val="pt-BR"/>
        </w:rPr>
        <w:fldChar w:fldCharType="end"/>
      </w:r>
      <w:r>
        <w:rPr>
          <w:lang w:val="pt-BR"/>
        </w:rPr>
        <w:t xml:space="preserve"> </w:t>
      </w:r>
      <w:r w:rsidRPr="009E6B2F">
        <w:rPr>
          <w:lang w:val="pt-BR"/>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8"/>
    </w:p>
    <w:p w14:paraId="193715CD" w14:textId="77777777" w:rsidR="00883C1A" w:rsidRPr="009E6B2F" w:rsidRDefault="00883C1A" w:rsidP="00883C1A">
      <w:pPr>
        <w:pStyle w:val="Level2"/>
        <w:numPr>
          <w:ilvl w:val="1"/>
          <w:numId w:val="11"/>
        </w:numPr>
        <w:spacing w:before="140" w:after="0"/>
      </w:pPr>
      <w:r w:rsidRPr="009E6B2F">
        <w:t xml:space="preserve">Aplicar-se-á à Assembleia Geral de Debenturistas, no que couber, o disposto na Lei das Sociedades por Ações, a respeito das assembleias gerais de acionistas. </w:t>
      </w:r>
    </w:p>
    <w:p w14:paraId="714C0C1F" w14:textId="77777777" w:rsidR="00883C1A" w:rsidRPr="009E6B2F" w:rsidRDefault="00883C1A" w:rsidP="00883C1A">
      <w:pPr>
        <w:pStyle w:val="Level2"/>
        <w:numPr>
          <w:ilvl w:val="1"/>
          <w:numId w:val="11"/>
        </w:numPr>
        <w:spacing w:before="140" w:after="0"/>
      </w:pPr>
      <w:r w:rsidRPr="009E6B2F">
        <w:t>A presidência da Assembleia Geral de Debenturistas caberá ao Debenturista eleito pelos Debenturistas presentes ou àquele que for designado pela CVM.</w:t>
      </w:r>
    </w:p>
    <w:p w14:paraId="0D79F960" w14:textId="77777777" w:rsidR="00883C1A" w:rsidRPr="009E6B2F" w:rsidRDefault="00883C1A" w:rsidP="00883C1A">
      <w:pPr>
        <w:pStyle w:val="Level2"/>
        <w:numPr>
          <w:ilvl w:val="1"/>
          <w:numId w:val="11"/>
        </w:numPr>
        <w:spacing w:before="140" w:after="0"/>
      </w:pPr>
      <w:r w:rsidRPr="009E6B2F">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B6091F2" w14:textId="77777777" w:rsidR="00883C1A" w:rsidRDefault="00883C1A" w:rsidP="00883C1A">
      <w:pPr>
        <w:pStyle w:val="Level2"/>
        <w:numPr>
          <w:ilvl w:val="1"/>
          <w:numId w:val="11"/>
        </w:numPr>
        <w:spacing w:before="140" w:after="0"/>
      </w:pPr>
      <w:bookmarkStart w:id="399" w:name="_Ref460753205"/>
      <w:r w:rsidRPr="009E6B2F">
        <w:t xml:space="preserve">Nos termos do artigo 71, parágrafo 3º, da Lei das </w:t>
      </w:r>
      <w:r w:rsidRPr="00BF5B5D">
        <w:t>Sociedades por Ações, a Assembleia Geral de Debenturistas instalar-se-á, em primeira convocação, com a presença de Debenturistas que representem, no mínimo, 50% (cinquenta por cento) das Debêntures em Circulação</w:t>
      </w:r>
      <w:r>
        <w:t xml:space="preserve">, </w:t>
      </w:r>
      <w:r w:rsidRPr="00BF5B5D">
        <w:t>e</w:t>
      </w:r>
      <w:r w:rsidRPr="009E6B2F">
        <w:t>, em segunda convocação, com qualquer quórum.</w:t>
      </w:r>
      <w:bookmarkEnd w:id="399"/>
    </w:p>
    <w:p w14:paraId="62CBC1FC" w14:textId="77777777" w:rsidR="00883C1A" w:rsidRPr="0040779A" w:rsidRDefault="00883C1A" w:rsidP="00883C1A">
      <w:pPr>
        <w:pStyle w:val="Level3"/>
        <w:numPr>
          <w:ilvl w:val="2"/>
          <w:numId w:val="11"/>
        </w:numPr>
        <w:spacing w:before="140" w:after="0"/>
        <w:rPr>
          <w:lang w:val="pt-BR"/>
        </w:rPr>
      </w:pPr>
      <w:r>
        <w:rPr>
          <w:lang w:val="pt-BR"/>
        </w:rPr>
        <w:t>Instalada a</w:t>
      </w:r>
      <w:r w:rsidRPr="0040779A">
        <w:rPr>
          <w:lang w:val="pt-BR"/>
        </w:rPr>
        <w:t xml:space="preserve"> </w:t>
      </w:r>
      <w:r w:rsidRPr="00BF5B5D">
        <w:rPr>
          <w:lang w:val="pt-BR"/>
        </w:rPr>
        <w:t>Assembleia Geral de Debenturistas</w:t>
      </w:r>
      <w:r w:rsidRPr="0040779A">
        <w:rPr>
          <w:lang w:val="pt-BR"/>
        </w:rPr>
        <w:t>, os titulares de Debêntures em Circulação poderão deliberar pela suspensão dos trabalhos</w:t>
      </w:r>
      <w:r w:rsidRPr="00647608">
        <w:rPr>
          <w:lang w:val="pt-BR"/>
        </w:rPr>
        <w:t xml:space="preserve"> </w:t>
      </w:r>
      <w:r w:rsidRPr="0040779A">
        <w:rPr>
          <w:lang w:val="pt-BR"/>
        </w:rPr>
        <w:t xml:space="preserve">para retomada da respectiva Assembleia Geral de Debenturista em data posterior, </w:t>
      </w:r>
      <w:r>
        <w:rPr>
          <w:lang w:val="pt-BR"/>
        </w:rPr>
        <w:t>desde que a suspensão seja aprovada pelo mesmo quórum estabelecido para deliberação da matéria que ficará suspensa até a retomada dos trabalhos, observado o disposto no artigo 129 da Lei das Sociedades por Ações</w:t>
      </w:r>
      <w:r w:rsidRPr="0040779A">
        <w:rPr>
          <w:lang w:val="pt-BR"/>
        </w:rPr>
        <w:t>.</w:t>
      </w:r>
    </w:p>
    <w:p w14:paraId="3DDDCEEB" w14:textId="77777777" w:rsidR="00883C1A" w:rsidRPr="0040779A" w:rsidRDefault="00883C1A" w:rsidP="00883C1A">
      <w:pPr>
        <w:pStyle w:val="Level3"/>
        <w:numPr>
          <w:ilvl w:val="2"/>
          <w:numId w:val="11"/>
        </w:numPr>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0157D635" w14:textId="77777777" w:rsidR="00883C1A" w:rsidRPr="0040779A" w:rsidRDefault="00883C1A" w:rsidP="00883C1A">
      <w:pPr>
        <w:pStyle w:val="Level3"/>
        <w:numPr>
          <w:ilvl w:val="2"/>
          <w:numId w:val="11"/>
        </w:numPr>
        <w:spacing w:before="140" w:after="0"/>
        <w:rPr>
          <w:lang w:val="pt-BR"/>
        </w:rPr>
      </w:pPr>
      <w:r w:rsidRPr="0040779A">
        <w:rPr>
          <w:lang w:val="pt-BR"/>
        </w:rPr>
        <w:t>As matérias não vota</w:t>
      </w:r>
      <w:r>
        <w:rPr>
          <w:lang w:val="pt-BR"/>
        </w:rPr>
        <w:t>da</w:t>
      </w:r>
      <w:r w:rsidRPr="0040779A">
        <w:rPr>
          <w:lang w:val="pt-BR"/>
        </w:rPr>
        <w:t>s até a suspensão dos trabalhos não serão consideradas deliberadas e não produzirão efeitos até a data da sua efetiva deliberação.</w:t>
      </w:r>
    </w:p>
    <w:p w14:paraId="21C151A6" w14:textId="77777777" w:rsidR="00883C1A" w:rsidRPr="009E6B2F" w:rsidRDefault="00883C1A" w:rsidP="00883C1A">
      <w:pPr>
        <w:pStyle w:val="Level2"/>
        <w:numPr>
          <w:ilvl w:val="1"/>
          <w:numId w:val="11"/>
        </w:numPr>
        <w:spacing w:before="140" w:after="0"/>
      </w:pPr>
      <w:r w:rsidRPr="009E6B2F">
        <w:t>Cada Debênture conferirá ao seu</w:t>
      </w:r>
      <w:r>
        <w:t xml:space="preserve"> titular o direito a um voto na</w:t>
      </w:r>
      <w:r w:rsidRPr="009E6B2F">
        <w:t xml:space="preserve"> </w:t>
      </w:r>
      <w:r w:rsidRPr="00BF5B5D">
        <w:t>Assembleia Geral de Debenturistas</w:t>
      </w:r>
      <w:r w:rsidRPr="009E6B2F">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0660F19" w14:textId="77777777" w:rsidR="00883C1A" w:rsidRPr="009E6B2F" w:rsidRDefault="00883C1A" w:rsidP="00883C1A">
      <w:pPr>
        <w:pStyle w:val="Level2"/>
        <w:numPr>
          <w:ilvl w:val="1"/>
          <w:numId w:val="11"/>
        </w:numPr>
        <w:spacing w:before="140" w:after="0"/>
      </w:pPr>
      <w:r w:rsidRPr="009E6B2F">
        <w:t>Será</w:t>
      </w:r>
      <w:r>
        <w:t xml:space="preserve"> obrigatória</w:t>
      </w:r>
      <w:r w:rsidRPr="009E6B2F">
        <w:t xml:space="preserve"> a presença dos representantes legais da Emissora na </w:t>
      </w:r>
      <w:r w:rsidRPr="00BF5B5D">
        <w:t>Assembleia Geral de Debenturistas</w:t>
      </w:r>
      <w:r>
        <w:t xml:space="preserve"> convocadas pela Emissora, enquanto que nas assembleias convocadas</w:t>
      </w:r>
      <w:r w:rsidRPr="009E6B2F">
        <w:t xml:space="preserve"> pelos Debenturistas</w:t>
      </w:r>
      <w: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t>.</w:t>
      </w:r>
    </w:p>
    <w:p w14:paraId="365DDD21" w14:textId="77777777" w:rsidR="00883C1A" w:rsidRDefault="00883C1A" w:rsidP="00883C1A">
      <w:pPr>
        <w:pStyle w:val="Level2"/>
        <w:numPr>
          <w:ilvl w:val="1"/>
          <w:numId w:val="11"/>
        </w:numPr>
        <w:spacing w:before="140" w:after="0"/>
      </w:pPr>
      <w:r w:rsidRPr="009E6B2F">
        <w:t xml:space="preserve">O Agente Fiduciário deverá comparecer à </w:t>
      </w:r>
      <w:r w:rsidRPr="00BF5B5D">
        <w:t>Assembleia Geral de Debenturistas</w:t>
      </w:r>
      <w:r w:rsidRPr="009E6B2F">
        <w:t xml:space="preserve"> para prestar aos Debenturistas as informações que lhe forem solicitadas.</w:t>
      </w:r>
    </w:p>
    <w:p w14:paraId="49F90F2C" w14:textId="77777777" w:rsidR="00883C1A" w:rsidRDefault="00883C1A" w:rsidP="00883C1A">
      <w:pPr>
        <w:pStyle w:val="Level2"/>
        <w:numPr>
          <w:ilvl w:val="1"/>
          <w:numId w:val="11"/>
        </w:numPr>
        <w:spacing w:before="140" w:after="0"/>
      </w:pPr>
      <w:bookmarkStart w:id="400" w:name="_Ref392020859"/>
      <w:bookmarkStart w:id="401" w:name="_Ref427710498"/>
      <w:bookmarkStart w:id="402" w:name="_Ref459667707"/>
      <w:bookmarkStart w:id="403" w:name="_Ref478476467"/>
      <w:r w:rsidRPr="00003C8E">
        <w:t xml:space="preserve">Exceto pelo disposto na Cláusula </w:t>
      </w:r>
      <w:r w:rsidRPr="00003C8E">
        <w:fldChar w:fldCharType="begin"/>
      </w:r>
      <w:r w:rsidRPr="00003C8E">
        <w:instrText xml:space="preserve"> REF _Ref392020841 \r \h  \* MERGEFORMAT </w:instrText>
      </w:r>
      <w:r w:rsidRPr="00003C8E">
        <w:fldChar w:fldCharType="separate"/>
      </w:r>
      <w:r>
        <w:t>10.11</w:t>
      </w:r>
      <w:r w:rsidRPr="00003C8E">
        <w:fldChar w:fldCharType="end"/>
      </w:r>
      <w:r w:rsidRPr="00003C8E">
        <w:t xml:space="preserve"> abaixo</w:t>
      </w:r>
      <w:r>
        <w:t xml:space="preserve"> </w:t>
      </w:r>
      <w:r w:rsidRPr="000D3235">
        <w:t>e na Cláusula 5.2.4(i)(b) do Contrato de Cessão Fiduciária</w:t>
      </w:r>
      <w:r w:rsidRPr="00003C8E">
        <w:t xml:space="preserve">, as deliberações a serem tomadas em Assembleia Geral de </w:t>
      </w:r>
      <w:r w:rsidRPr="00BF5B5D">
        <w:t>Debenturistas</w:t>
      </w:r>
      <w:r>
        <w:t>, inclusive quanto a pedidos</w:t>
      </w:r>
      <w:r w:rsidRPr="00BF5B5D">
        <w:t xml:space="preserve"> </w:t>
      </w:r>
      <w:r w:rsidRPr="00D241DC">
        <w:t>de renúncia (</w:t>
      </w:r>
      <w:proofErr w:type="spellStart"/>
      <w:r w:rsidRPr="00D241DC">
        <w:rPr>
          <w:i/>
        </w:rPr>
        <w:t>waiver</w:t>
      </w:r>
      <w:proofErr w:type="spellEnd"/>
      <w:r w:rsidRPr="00D241DC">
        <w:rPr>
          <w:i/>
        </w:rPr>
        <w:t xml:space="preserve">) </w:t>
      </w:r>
      <w:r w:rsidRPr="00D241DC">
        <w:t>ou perdão temporário referentes aos Eventos de Vencimento Antecipado</w:t>
      </w:r>
      <w:r>
        <w:t>,</w:t>
      </w:r>
      <w:r w:rsidRPr="00D241DC">
        <w:t xml:space="preserve"> </w:t>
      </w:r>
      <w:r>
        <w:t>deverão observar o seguinte:</w:t>
      </w:r>
    </w:p>
    <w:p w14:paraId="72C7D469" w14:textId="77777777" w:rsidR="00883C1A" w:rsidRPr="00DB6613" w:rsidRDefault="00883C1A" w:rsidP="00883C1A">
      <w:pPr>
        <w:pStyle w:val="Level4"/>
        <w:numPr>
          <w:ilvl w:val="3"/>
          <w:numId w:val="11"/>
        </w:numPr>
        <w:tabs>
          <w:tab w:val="clear" w:pos="2041"/>
          <w:tab w:val="num" w:pos="1361"/>
        </w:tabs>
        <w:ind w:left="1360"/>
      </w:pPr>
      <w:r>
        <w:t xml:space="preserve">no caso de deliberações a serem tomadas em Assembleia Geral de Debenturistas instaladas </w:t>
      </w:r>
      <w:r w:rsidRPr="00660195">
        <w:t xml:space="preserve">em primeira convocação dependerão de aprovação de Debenturistas representando, no mínimo, </w:t>
      </w:r>
      <w:r>
        <w:t>2/3</w:t>
      </w:r>
      <w:r w:rsidRPr="00660195">
        <w:t xml:space="preserve"> (</w:t>
      </w:r>
      <w:r>
        <w:t>dois terços</w:t>
      </w:r>
      <w:r w:rsidRPr="00660195">
        <w:t>) mais uma das Debêntures em Circulação</w:t>
      </w:r>
      <w:r>
        <w:t>, reunidos em uma única Assembleia Geral de Debenturistas</w:t>
      </w:r>
      <w:r w:rsidRPr="00660195">
        <w:t xml:space="preserve">; </w:t>
      </w:r>
      <w:bookmarkEnd w:id="400"/>
      <w:bookmarkEnd w:id="401"/>
    </w:p>
    <w:p w14:paraId="772CC0A5" w14:textId="77777777" w:rsidR="00883C1A" w:rsidRPr="00466178" w:rsidRDefault="00883C1A" w:rsidP="00883C1A">
      <w:pPr>
        <w:pStyle w:val="Level4"/>
        <w:numPr>
          <w:ilvl w:val="3"/>
          <w:numId w:val="11"/>
        </w:numPr>
        <w:tabs>
          <w:tab w:val="clear" w:pos="2041"/>
          <w:tab w:val="num" w:pos="1361"/>
        </w:tabs>
        <w:ind w:left="1360"/>
      </w:pPr>
      <w:r>
        <w:t>n</w:t>
      </w:r>
      <w:r w:rsidRPr="00660195">
        <w:t xml:space="preserve">o caso de deliberações a serem tomadas em Assembleia Geral de Debenturistas em segunda convocação, os quóruns serão de, no mínimo, 50% (cinquenta por cento) mais uma das Debêntures </w:t>
      </w:r>
      <w:r>
        <w:t xml:space="preserve">em </w:t>
      </w:r>
      <w:bookmarkEnd w:id="402"/>
      <w:bookmarkEnd w:id="403"/>
      <w:r>
        <w:t>Circulação presentes na Assembleia Geral de Debenturistas.</w:t>
      </w:r>
    </w:p>
    <w:p w14:paraId="0AE76791" w14:textId="77777777" w:rsidR="00883C1A" w:rsidRPr="00003C8E" w:rsidRDefault="00883C1A" w:rsidP="00883C1A">
      <w:pPr>
        <w:pStyle w:val="Level2"/>
        <w:numPr>
          <w:ilvl w:val="1"/>
          <w:numId w:val="11"/>
        </w:numPr>
        <w:spacing w:before="140"/>
      </w:pPr>
      <w:bookmarkStart w:id="404" w:name="_Ref392020841"/>
      <w:r w:rsidRPr="00003C8E">
        <w:t xml:space="preserve">Não estão incluídos no quórum a que se refere a Cláusula </w:t>
      </w:r>
      <w:r w:rsidRPr="00003C8E">
        <w:fldChar w:fldCharType="begin"/>
      </w:r>
      <w:r w:rsidRPr="00003C8E">
        <w:instrText xml:space="preserve"> REF _Ref427710498 \r \h  \* MERGEFORMAT </w:instrText>
      </w:r>
      <w:r w:rsidRPr="00003C8E">
        <w:fldChar w:fldCharType="separate"/>
      </w:r>
      <w:r>
        <w:t>10.10</w:t>
      </w:r>
      <w:r w:rsidRPr="00003C8E">
        <w:fldChar w:fldCharType="end"/>
      </w:r>
      <w:r w:rsidRPr="00003C8E">
        <w:t xml:space="preserve"> acima</w:t>
      </w:r>
      <w:r>
        <w:t xml:space="preserve"> </w:t>
      </w:r>
      <w:r w:rsidRPr="001167C1">
        <w:t>as alterações relativas às características das Debêntures, conforme venham a ser propostas pela Emissora, assim entendidas (i) a redução da Remuneração, (</w:t>
      </w:r>
      <w:proofErr w:type="spellStart"/>
      <w:r w:rsidRPr="001167C1">
        <w:t>ii</w:t>
      </w:r>
      <w:proofErr w:type="spellEnd"/>
      <w:r w:rsidRPr="001167C1">
        <w:t>) a Data de Pagamento da Remuneração, (</w:t>
      </w:r>
      <w:proofErr w:type="spellStart"/>
      <w:r w:rsidRPr="001167C1">
        <w:t>iii</w:t>
      </w:r>
      <w:proofErr w:type="spellEnd"/>
      <w:r w:rsidRPr="001167C1">
        <w:t>) o prazo de vencimento das Debêntures, (</w:t>
      </w:r>
      <w:proofErr w:type="spellStart"/>
      <w:r w:rsidRPr="001167C1">
        <w:t>iv</w:t>
      </w:r>
      <w:proofErr w:type="spellEnd"/>
      <w:r w:rsidRPr="001167C1">
        <w:t xml:space="preserve">) os valores e data de amortização do principal das Debêntures; (v) os Eventos de Vencimento Antecipado; (vi) a alteração dos quóruns de deliberação previstos nesta Cláusula </w:t>
      </w:r>
      <w:r w:rsidRPr="006A01AC">
        <w:fldChar w:fldCharType="begin"/>
      </w:r>
      <w:r w:rsidRPr="001167C1">
        <w:instrText xml:space="preserve"> REF _Ref427712773 \r \h  \* MERGEFORMAT </w:instrText>
      </w:r>
      <w:r w:rsidRPr="006A01AC">
        <w:fldChar w:fldCharType="separate"/>
      </w:r>
      <w:r>
        <w:t>10</w:t>
      </w:r>
      <w:r w:rsidRPr="006A01AC">
        <w:fldChar w:fldCharType="end"/>
      </w:r>
      <w:r w:rsidRPr="001167C1">
        <w:t xml:space="preserve"> e (</w:t>
      </w:r>
      <w:proofErr w:type="spellStart"/>
      <w:r w:rsidRPr="001167C1">
        <w:t>vii</w:t>
      </w:r>
      <w:proofErr w:type="spellEnd"/>
      <w:r w:rsidRPr="001167C1">
        <w:t>) alteração</w:t>
      </w:r>
      <w:r>
        <w:t>/inclusão, conforme aplicável,</w:t>
      </w:r>
      <w:r w:rsidRPr="001167C1">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t>.</w:t>
      </w:r>
      <w:bookmarkEnd w:id="404"/>
    </w:p>
    <w:p w14:paraId="6A7CCF42" w14:textId="77777777" w:rsidR="00883C1A" w:rsidRDefault="00883C1A" w:rsidP="00883C1A">
      <w:pPr>
        <w:pStyle w:val="Level2"/>
        <w:numPr>
          <w:ilvl w:val="1"/>
          <w:numId w:val="11"/>
        </w:numPr>
      </w:pPr>
      <w:r w:rsidRPr="00522E06">
        <w:t xml:space="preserve">Para efeito de verificação dos quóruns previstos nesta Escritura de Emissão, </w:t>
      </w:r>
      <w:r w:rsidRPr="00ED4800">
        <w:t>serão consideradas como “</w:t>
      </w:r>
      <w:r w:rsidRPr="00ED4800">
        <w:rPr>
          <w:b/>
        </w:rPr>
        <w:t>Debêntures em Circulação</w:t>
      </w:r>
      <w:r w:rsidRPr="00ED4800">
        <w:t>”</w:t>
      </w:r>
      <w:r w:rsidRPr="00522E06">
        <w:t xml:space="preserve"> todas as Debêntures subscritas, integralizadas e não resgatadas, excluídas (i) aquelas mantidas em tesouraria pela Emissora; (</w:t>
      </w:r>
      <w:proofErr w:type="spellStart"/>
      <w:r w:rsidRPr="00522E06">
        <w:t>ii</w:t>
      </w:r>
      <w:proofErr w:type="spellEnd"/>
      <w:r w:rsidRPr="00522E06">
        <w:t>) as de titularidade de (a) sociedades do mesmo Grupo Econômico da Emissora, (b) acionistas controladores da Emissora, (c) administradores da Emissora, incluindo diretores e conselheiros de administração, (d) conselheiros fiscais, se for o caso; e (</w:t>
      </w:r>
      <w:proofErr w:type="spellStart"/>
      <w:r w:rsidRPr="00522E06">
        <w:t>iii</w:t>
      </w:r>
      <w:proofErr w:type="spellEnd"/>
      <w:r w:rsidRPr="00522E06">
        <w:t>) a qualquer diretor, conselheiro, cônjuge, companheiro ou parente até o 3º</w:t>
      </w:r>
      <w:r>
        <w:t xml:space="preserve"> </w:t>
      </w:r>
      <w:r w:rsidRPr="00522E06">
        <w:t>(terceiro) grau de qualquer das pessoas referidas nos itens anteriores.</w:t>
      </w:r>
    </w:p>
    <w:p w14:paraId="51280FE9" w14:textId="77777777" w:rsidR="00883C1A" w:rsidRPr="009E6B2F" w:rsidRDefault="00883C1A" w:rsidP="00883C1A">
      <w:pPr>
        <w:pStyle w:val="Level1"/>
        <w:keepLines w:val="0"/>
        <w:numPr>
          <w:ilvl w:val="0"/>
          <w:numId w:val="11"/>
        </w:numPr>
        <w:autoSpaceDE w:val="0"/>
        <w:autoSpaceDN w:val="0"/>
        <w:adjustRightInd w:val="0"/>
      </w:pPr>
      <w:r w:rsidRPr="009E6B2F">
        <w:t>DAS DECLARAÇÕES DA EMISSORA</w:t>
      </w:r>
    </w:p>
    <w:p w14:paraId="08F73DEE" w14:textId="77777777" w:rsidR="00883C1A" w:rsidRPr="00AE33A7" w:rsidRDefault="00883C1A" w:rsidP="00883C1A">
      <w:pPr>
        <w:pStyle w:val="Level2"/>
        <w:numPr>
          <w:ilvl w:val="1"/>
          <w:numId w:val="11"/>
        </w:numPr>
      </w:pPr>
      <w:bookmarkStart w:id="405" w:name="_DV_M355"/>
      <w:bookmarkEnd w:id="405"/>
      <w:r w:rsidRPr="00AE33A7">
        <w:t xml:space="preserve">A Emissora declara e garante que, nesta data: </w:t>
      </w:r>
    </w:p>
    <w:p w14:paraId="100F969A" w14:textId="77777777" w:rsidR="00883C1A" w:rsidRPr="00AE33A7" w:rsidRDefault="00883C1A" w:rsidP="00883C1A">
      <w:pPr>
        <w:pStyle w:val="Level5"/>
        <w:numPr>
          <w:ilvl w:val="4"/>
          <w:numId w:val="11"/>
        </w:numPr>
        <w:tabs>
          <w:tab w:val="clear" w:pos="2721"/>
          <w:tab w:val="num" w:pos="1361"/>
        </w:tabs>
        <w:ind w:left="1360"/>
      </w:pPr>
      <w:proofErr w:type="spellStart"/>
      <w:r w:rsidRPr="00AE33A7">
        <w:t>é</w:t>
      </w:r>
      <w:proofErr w:type="spellEnd"/>
      <w:r w:rsidRPr="00AE33A7">
        <w:t xml:space="preserve"> sociedade devidamente organizada, constituída e existente sob a forma de sociedade por ações, de acordo com as leis brasileiras e a regulamentação da CVM aplicável;</w:t>
      </w:r>
    </w:p>
    <w:p w14:paraId="41113BD5" w14:textId="77777777" w:rsidR="00883C1A" w:rsidRPr="00771E1A" w:rsidRDefault="00883C1A" w:rsidP="00883C1A">
      <w:pPr>
        <w:pStyle w:val="Level5"/>
        <w:numPr>
          <w:ilvl w:val="4"/>
          <w:numId w:val="11"/>
        </w:numPr>
        <w:tabs>
          <w:tab w:val="clear" w:pos="2721"/>
          <w:tab w:val="num" w:pos="1361"/>
        </w:tabs>
        <w:ind w:left="1360"/>
      </w:pPr>
      <w:r>
        <w:t xml:space="preserve">o </w:t>
      </w:r>
      <w:r w:rsidRPr="00771E1A">
        <w:t>registro de companhia aberta da Emissora está atualizado perante a CVM, conforme requerido pela Instrução CVM 480, e suas informações lá contidas e tornadas públicas estão atualizadas conforme requerido pela Instrução CVM 480;</w:t>
      </w:r>
    </w:p>
    <w:p w14:paraId="4D312276" w14:textId="77777777" w:rsidR="00883C1A" w:rsidRPr="00AE33A7" w:rsidRDefault="00883C1A" w:rsidP="00883C1A">
      <w:pPr>
        <w:pStyle w:val="Level5"/>
        <w:numPr>
          <w:ilvl w:val="4"/>
          <w:numId w:val="11"/>
        </w:numPr>
        <w:tabs>
          <w:tab w:val="clear" w:pos="2721"/>
          <w:tab w:val="num" w:pos="1361"/>
        </w:tabs>
        <w:ind w:left="1360"/>
      </w:pPr>
      <w:r w:rsidRPr="00AE33A7">
        <w:t xml:space="preserve">está devidamente autorizada e obteve todas as licenças e as autorizações relevantes, inclusive, conforme aplicável, legais, societárias, regulatórias e de terceiros, incluindo, mas não se limitando, de credores, necessárias à celebração desta Escritura de Emissão e dos demais documentos da Emissão e da Oferta e ao cumprimento de todas as obrigações aqui e ali previstas e à realização da Emissão e da Oferta, exceto se de outra forma apresentado no formulário de referência da Emissora; </w:t>
      </w:r>
    </w:p>
    <w:p w14:paraId="7103D8AA" w14:textId="77777777" w:rsidR="00883C1A" w:rsidRPr="00AE33A7" w:rsidRDefault="00883C1A" w:rsidP="00883C1A">
      <w:pPr>
        <w:pStyle w:val="Level5"/>
        <w:numPr>
          <w:ilvl w:val="4"/>
          <w:numId w:val="11"/>
        </w:numPr>
        <w:tabs>
          <w:tab w:val="clear" w:pos="2721"/>
          <w:tab w:val="num" w:pos="1361"/>
        </w:tabs>
        <w:ind w:left="1360"/>
      </w:pPr>
      <w:r w:rsidRPr="00AE33A7">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3B9BDCC2" w14:textId="77777777" w:rsidR="00883C1A" w:rsidRPr="00AE33A7" w:rsidRDefault="00883C1A" w:rsidP="00883C1A">
      <w:pPr>
        <w:pStyle w:val="Level5"/>
        <w:numPr>
          <w:ilvl w:val="4"/>
          <w:numId w:val="11"/>
        </w:numPr>
        <w:tabs>
          <w:tab w:val="clear" w:pos="2721"/>
          <w:tab w:val="num" w:pos="1361"/>
        </w:tabs>
        <w:ind w:left="1360"/>
      </w:pPr>
      <w:r w:rsidRPr="00AE33A7">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I e III do Código de Processo Civil; </w:t>
      </w:r>
    </w:p>
    <w:p w14:paraId="6570C0A3" w14:textId="77777777" w:rsidR="00883C1A" w:rsidRPr="00AE33A7" w:rsidRDefault="00883C1A" w:rsidP="00883C1A">
      <w:pPr>
        <w:pStyle w:val="Level5"/>
        <w:numPr>
          <w:ilvl w:val="4"/>
          <w:numId w:val="11"/>
        </w:numPr>
        <w:tabs>
          <w:tab w:val="clear" w:pos="2721"/>
          <w:tab w:val="num" w:pos="1361"/>
        </w:tabs>
        <w:ind w:left="1360"/>
      </w:pPr>
      <w:r w:rsidRPr="00AE33A7">
        <w:t>as opiniões e as análises expressas pela Emissora no seu Formulário de Referência e no material de divulgação da Oferta em relação à Emissora até esta data: (i) foram elaboradas de boa-fé e consideram toda as circunstâncias relevantes sobre a Emissora; e (</w:t>
      </w:r>
      <w:proofErr w:type="spellStart"/>
      <w:r w:rsidRPr="00AE33A7">
        <w:t>ii</w:t>
      </w:r>
      <w:proofErr w:type="spellEnd"/>
      <w:r w:rsidRPr="00AE33A7">
        <w:t>) são verdadeiras, consistentes, corretas e suficientes;</w:t>
      </w:r>
    </w:p>
    <w:p w14:paraId="319B15F7" w14:textId="77777777" w:rsidR="00883C1A" w:rsidRPr="00AE33A7" w:rsidRDefault="00883C1A" w:rsidP="00883C1A">
      <w:pPr>
        <w:pStyle w:val="Level5"/>
        <w:numPr>
          <w:ilvl w:val="4"/>
          <w:numId w:val="11"/>
        </w:numPr>
        <w:tabs>
          <w:tab w:val="clear" w:pos="2721"/>
          <w:tab w:val="num" w:pos="1361"/>
        </w:tabs>
        <w:ind w:left="1360"/>
      </w:pPr>
      <w:r w:rsidRPr="00AE33A7">
        <w:t>a celebração, os termos e condições desta Escritura de Emissão e dos demais documentos da Emissão e da Oferta, a assunção e o cumprimento das obrigações aqui e ali previstas e a realização da Emissão e da Oferta (i) não infringem o estatuto social da Emissora e demais documentos societários da Emissora; (</w:t>
      </w:r>
      <w:proofErr w:type="spellStart"/>
      <w:r w:rsidRPr="00AE33A7">
        <w:t>ii</w:t>
      </w:r>
      <w:proofErr w:type="spellEnd"/>
      <w:r w:rsidRPr="00AE33A7">
        <w:t>) não infringem qualquer contrato ou instrumento do qual a Emissora seja parte e/ou pelo qual qualquer de seus ativos relevantes esteja sujeito; (</w:t>
      </w:r>
      <w:proofErr w:type="spellStart"/>
      <w:r w:rsidRPr="00AE33A7">
        <w:t>iii</w:t>
      </w:r>
      <w:proofErr w:type="spellEnd"/>
      <w:r w:rsidRPr="00AE33A7">
        <w:t>) não resultarão em (</w:t>
      </w:r>
      <w:proofErr w:type="spellStart"/>
      <w:r w:rsidRPr="00AE33A7">
        <w:t>iii.a</w:t>
      </w:r>
      <w:proofErr w:type="spellEnd"/>
      <w:r w:rsidRPr="00AE33A7">
        <w:t>) 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E33A7">
        <w:t>iii.b</w:t>
      </w:r>
      <w:proofErr w:type="spellEnd"/>
      <w:r w:rsidRPr="00AE33A7">
        <w:t>) rescisão de qualquer desses contratos ou instrumentos; (</w:t>
      </w:r>
      <w:proofErr w:type="spellStart"/>
      <w:r w:rsidRPr="00AE33A7">
        <w:t>iv</w:t>
      </w:r>
      <w:proofErr w:type="spellEnd"/>
      <w:r w:rsidRPr="00AE33A7">
        <w:t xml:space="preserve">) não resultarão na criação de qualquer ônus sobre qualquer ativo da Emissora; (v) não infringem qualquer disposição legal ou regulamentar a que a Emissora esteja sujeita; e (vi) não infringem qualquer ordem, decisão ou sentença administrativa, judicial ou arbitral irrecorrível que afete a Emissora e/ou qualquer de seus ativos; </w:t>
      </w:r>
    </w:p>
    <w:p w14:paraId="25A67C06" w14:textId="77777777" w:rsidR="00883C1A" w:rsidRPr="00AE33A7" w:rsidRDefault="00883C1A" w:rsidP="00883C1A">
      <w:pPr>
        <w:pStyle w:val="Level5"/>
        <w:numPr>
          <w:ilvl w:val="4"/>
          <w:numId w:val="11"/>
        </w:numPr>
        <w:tabs>
          <w:tab w:val="clear" w:pos="2721"/>
          <w:tab w:val="num" w:pos="1361"/>
        </w:tabs>
        <w:ind w:left="1360"/>
      </w:pPr>
      <w:r w:rsidRPr="00AE33A7">
        <w:t xml:space="preserve">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 exceto: (i) pelo arquivamento da ata </w:t>
      </w:r>
      <w:r>
        <w:t>da RCA de Emissão</w:t>
      </w:r>
      <w:r w:rsidRPr="00AE33A7">
        <w:t xml:space="preserve"> na JUCERJA; (</w:t>
      </w:r>
      <w:proofErr w:type="spellStart"/>
      <w:r w:rsidRPr="00AE33A7">
        <w:t>ii</w:t>
      </w:r>
      <w:proofErr w:type="spellEnd"/>
      <w:r w:rsidRPr="00AE33A7">
        <w:t xml:space="preserve">) pela inscrição desta Escritura de Emissão, e seus eventuais aditamentos, na JUCERJA, nos termos previstos na Cláusula </w:t>
      </w:r>
      <w:r w:rsidRPr="003B6F77">
        <w:fldChar w:fldCharType="begin"/>
      </w:r>
      <w:r w:rsidRPr="00AE33A7">
        <w:instrText xml:space="preserve"> REF _Ref427712429 \r \h  \* MERGEFORMAT </w:instrText>
      </w:r>
      <w:r w:rsidRPr="003B6F77">
        <w:fldChar w:fldCharType="separate"/>
      </w:r>
      <w:r>
        <w:t>2.2</w:t>
      </w:r>
      <w:r w:rsidRPr="003B6F77">
        <w:fldChar w:fldCharType="end"/>
      </w:r>
      <w:r w:rsidRPr="00AE33A7">
        <w:t xml:space="preserve"> acima; (</w:t>
      </w:r>
      <w:proofErr w:type="spellStart"/>
      <w:r w:rsidRPr="00AE33A7">
        <w:t>iii</w:t>
      </w:r>
      <w:proofErr w:type="spellEnd"/>
      <w:r w:rsidRPr="00AE33A7">
        <w:t xml:space="preserve">) pela publicação da ata </w:t>
      </w:r>
      <w:r>
        <w:t>da RCA de Emissão</w:t>
      </w:r>
      <w:r w:rsidRPr="00AE33A7">
        <w:t xml:space="preserve"> no DOERJ e no jornal “</w:t>
      </w:r>
      <w:r w:rsidRPr="00AE33A7">
        <w:rPr>
          <w:color w:val="000000"/>
        </w:rPr>
        <w:t>Valor Econômico”</w:t>
      </w:r>
      <w:r w:rsidRPr="00AE33A7">
        <w:t>; (</w:t>
      </w:r>
      <w:proofErr w:type="spellStart"/>
      <w:r w:rsidRPr="00AE33A7">
        <w:t>iv</w:t>
      </w:r>
      <w:proofErr w:type="spellEnd"/>
      <w:r w:rsidRPr="00AE33A7">
        <w:t xml:space="preserve">) pelo depósito das Debêntures na </w:t>
      </w:r>
      <w:r>
        <w:t xml:space="preserve">B3 – Segmento </w:t>
      </w:r>
      <w:proofErr w:type="spellStart"/>
      <w:r>
        <w:t>Cetip</w:t>
      </w:r>
      <w:proofErr w:type="spellEnd"/>
      <w:r>
        <w:t xml:space="preserve"> UTVM</w:t>
      </w:r>
      <w:r w:rsidRPr="00AE33A7">
        <w:t xml:space="preserve">; </w:t>
      </w:r>
      <w:r>
        <w:t xml:space="preserve">e </w:t>
      </w:r>
      <w:r w:rsidRPr="00AE33A7">
        <w:t xml:space="preserve">(v) pelo registro das Debêntures na </w:t>
      </w:r>
      <w:r>
        <w:t>B3</w:t>
      </w:r>
      <w:r w:rsidRPr="00AE33A7">
        <w:t xml:space="preserve">; </w:t>
      </w:r>
    </w:p>
    <w:p w14:paraId="7EF0BD1B" w14:textId="77777777" w:rsidR="00883C1A" w:rsidRPr="00AE33A7" w:rsidRDefault="00883C1A" w:rsidP="00883C1A">
      <w:pPr>
        <w:pStyle w:val="Level5"/>
        <w:numPr>
          <w:ilvl w:val="4"/>
          <w:numId w:val="11"/>
        </w:numPr>
        <w:tabs>
          <w:tab w:val="clear" w:pos="2721"/>
          <w:tab w:val="num" w:pos="1361"/>
        </w:tabs>
        <w:ind w:left="1360"/>
      </w:pPr>
      <w:bookmarkStart w:id="406" w:name="_Ref428862044"/>
      <w:r w:rsidRPr="00AE33A7">
        <w:t xml:space="preserve">exceto se de outra forma apresentado no Formulário de Referência da Emissora, em fatos relevantes ou comunicados ao mercado, a Emissora tem válidas e vigentes todas as autorizações, licenças e alvarás relevantes exigidas pelas autoridades federais, estaduais e municipais para o exercício de suas atividades no âmbito das Concessões, sendo que, até a presente data, a Emissora não foi notificada acerca da revogação, suspensão ou extinção das Concessões, de quaisquer autorizações, licenças e alvarás relevantes listados acima ou da existência de processo administrativo que tenha por objeto a revogação, suspensão, extinção ou cancelamento de qualquer uma delas, exceto para as quais a Emissora possua provimento jurisdicional vigente autorizando sua atuação sem as Concessões e/ou as referidas autorizações, licenças e alvarás ou se nos casos em que as Concessões e/ou tais autorizações, licenças e alvarás estejam em processo legal de renovação tempestiva; </w:t>
      </w:r>
    </w:p>
    <w:bookmarkEnd w:id="406"/>
    <w:p w14:paraId="7493A739" w14:textId="77777777" w:rsidR="00883C1A" w:rsidRPr="00AE33A7" w:rsidRDefault="00883C1A" w:rsidP="00883C1A">
      <w:pPr>
        <w:pStyle w:val="Level5"/>
        <w:numPr>
          <w:ilvl w:val="4"/>
          <w:numId w:val="11"/>
        </w:numPr>
        <w:tabs>
          <w:tab w:val="clear" w:pos="2721"/>
          <w:tab w:val="num" w:pos="1361"/>
        </w:tabs>
        <w:ind w:left="1360"/>
      </w:pPr>
      <w:r w:rsidRPr="00AE33A7">
        <w:t>as demonstrações financeiras da Emissora, referentes aos exercícios sociais encerrados em 31 de dezembro de 201</w:t>
      </w:r>
      <w:r>
        <w:t>6</w:t>
      </w:r>
      <w:r w:rsidRPr="00AE33A7">
        <w:t>, 201</w:t>
      </w:r>
      <w:r>
        <w:t>7</w:t>
      </w:r>
      <w:r w:rsidRPr="00AE33A7">
        <w:t xml:space="preserve"> e 201</w:t>
      </w:r>
      <w:r>
        <w:t xml:space="preserve">8 </w:t>
      </w:r>
      <w:r w:rsidRPr="00AE33A7">
        <w:t>representam corretamente as posições patrimonial e financeiras da Emissora naquelas datas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Pr="00AE33A7">
        <w:rPr>
          <w:b/>
        </w:rPr>
        <w:t>Efeito Adverso Relevante</w:t>
      </w:r>
      <w:r w:rsidRPr="00AE33A7">
        <w:t>”);</w:t>
      </w:r>
    </w:p>
    <w:p w14:paraId="5F831DA2" w14:textId="77777777" w:rsidR="00883C1A" w:rsidRPr="00771E1A" w:rsidRDefault="00883C1A" w:rsidP="00883C1A">
      <w:pPr>
        <w:pStyle w:val="Level5"/>
        <w:numPr>
          <w:ilvl w:val="4"/>
          <w:numId w:val="11"/>
        </w:numPr>
        <w:tabs>
          <w:tab w:val="clear" w:pos="2721"/>
          <w:tab w:val="num" w:pos="1361"/>
        </w:tabs>
        <w:ind w:left="1360"/>
      </w:pPr>
      <w:r w:rsidRPr="00771E1A">
        <w:t>os documentos e as informações fornecidos por ocasião da Oferta incluindo, mas não se limitando, àquelas contidas nesta Escritura de Emissão, no Formulário de Referência, inclusive aquelas incluídas no material de divulgação da Oferta e nos Prospectos, são verdadeiras, consistentes, completas corretas e suficientes, permitindo aos Investidores da Oferta uma tomada de decisão fundamentada a respeito da Oferta, e (</w:t>
      </w:r>
      <w:proofErr w:type="spellStart"/>
      <w:r w:rsidRPr="00771E1A">
        <w:t>ii</w:t>
      </w:r>
      <w:proofErr w:type="spellEnd"/>
      <w:r w:rsidRPr="00771E1A">
        <w:t xml:space="preserve">)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414A74B" w14:textId="77777777" w:rsidR="00883C1A" w:rsidRDefault="00883C1A" w:rsidP="00883C1A">
      <w:pPr>
        <w:pStyle w:val="Level5"/>
        <w:numPr>
          <w:ilvl w:val="4"/>
          <w:numId w:val="11"/>
        </w:numPr>
        <w:tabs>
          <w:tab w:val="clear" w:pos="2721"/>
          <w:tab w:val="num" w:pos="1361"/>
        </w:tabs>
        <w:ind w:left="1360"/>
      </w:pPr>
      <w:r w:rsidRPr="00AE33A7">
        <w:t xml:space="preserve">está adimplente e cumprirá todas as obrigações assumidas nos termos desta Escritura de Emissão e não ocorreu ou está em curso qualquer Evento de Vencimento Antecipado; </w:t>
      </w:r>
    </w:p>
    <w:p w14:paraId="6762C11C" w14:textId="77777777" w:rsidR="00883C1A" w:rsidRPr="00AE33A7" w:rsidRDefault="00883C1A" w:rsidP="00883C1A">
      <w:pPr>
        <w:pStyle w:val="Level5"/>
        <w:numPr>
          <w:ilvl w:val="4"/>
          <w:numId w:val="11"/>
        </w:numPr>
        <w:tabs>
          <w:tab w:val="clear" w:pos="2721"/>
          <w:tab w:val="num" w:pos="1361"/>
        </w:tabs>
        <w:ind w:left="1360"/>
      </w:pPr>
      <w:r w:rsidRPr="00125E03">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52973958" w14:textId="77777777" w:rsidR="00883C1A" w:rsidRDefault="00883C1A" w:rsidP="00883C1A">
      <w:pPr>
        <w:pStyle w:val="Level5"/>
        <w:numPr>
          <w:ilvl w:val="4"/>
          <w:numId w:val="11"/>
        </w:numPr>
        <w:tabs>
          <w:tab w:val="clear" w:pos="2721"/>
          <w:tab w:val="num" w:pos="1361"/>
        </w:tabs>
        <w:ind w:left="1360"/>
      </w:pPr>
      <w:r w:rsidRPr="0086475D">
        <w:t xml:space="preserve">os documentos da Oferta </w:t>
      </w:r>
      <w:r w:rsidRPr="0074147A">
        <w:t>(i) contêm,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w:t>
      </w:r>
      <w:proofErr w:type="spellStart"/>
      <w:r w:rsidRPr="0074147A">
        <w:t>ii</w:t>
      </w:r>
      <w:proofErr w:type="spellEnd"/>
      <w:r w:rsidRPr="0074147A">
        <w:t xml:space="preserve">) </w:t>
      </w:r>
      <w:r w:rsidRPr="00125E03">
        <w:t>foram elaborados nos termos da Instrução CVM 476 e demais leis e regulamentações aplicáveis</w:t>
      </w:r>
      <w:r>
        <w:t xml:space="preserve">; </w:t>
      </w:r>
    </w:p>
    <w:p w14:paraId="0E7FCD92" w14:textId="77777777" w:rsidR="00883C1A" w:rsidRDefault="00883C1A" w:rsidP="00883C1A">
      <w:pPr>
        <w:pStyle w:val="Level5"/>
        <w:numPr>
          <w:ilvl w:val="4"/>
          <w:numId w:val="11"/>
        </w:numPr>
        <w:tabs>
          <w:tab w:val="clear" w:pos="2721"/>
          <w:tab w:val="num" w:pos="1361"/>
        </w:tabs>
        <w:ind w:left="1360"/>
      </w:pPr>
      <w:r w:rsidRPr="008E2BC3">
        <w:t>observa a legislação em vigor, em especial a</w:t>
      </w:r>
      <w:r>
        <w:t xml:space="preserve">s Leis Ambientais, as Leis Trabalhista e </w:t>
      </w:r>
      <w:r w:rsidRPr="008E2BC3">
        <w:t>previdenciária, de forma que (i) não utiliza, direta ou indiretamente, trabalho em condições análogas às de escravo ou trabalho infantil; (</w:t>
      </w:r>
      <w:proofErr w:type="spellStart"/>
      <w:r w:rsidRPr="008E2BC3">
        <w:t>ii</w:t>
      </w:r>
      <w:proofErr w:type="spellEnd"/>
      <w:r w:rsidRPr="008E2BC3">
        <w:t>) os trabalhadores são devidamente registrados nos termos da legislação em vigor; (</w:t>
      </w:r>
      <w:proofErr w:type="spellStart"/>
      <w:r w:rsidRPr="008E2BC3">
        <w:t>iii</w:t>
      </w:r>
      <w:proofErr w:type="spellEnd"/>
      <w:r w:rsidRPr="008E2BC3">
        <w:t>) cumpre as obrigações decorrentes dos respectivos contratos de trabalho e da</w:t>
      </w:r>
      <w:r>
        <w:t>s</w:t>
      </w:r>
      <w:r w:rsidRPr="008E2BC3">
        <w:t xml:space="preserve"> </w:t>
      </w:r>
      <w:r>
        <w:t>Leis T</w:t>
      </w:r>
      <w:r w:rsidRPr="008E2BC3">
        <w:t>rabalhista</w:t>
      </w:r>
      <w:r>
        <w:t>s</w:t>
      </w:r>
      <w:r w:rsidRPr="008E2BC3">
        <w:t xml:space="preserve"> e previdenciária em vigor; </w:t>
      </w:r>
      <w:r>
        <w:t xml:space="preserve">e </w:t>
      </w:r>
      <w:r w:rsidRPr="008E2BC3">
        <w:t>(</w:t>
      </w:r>
      <w:proofErr w:type="spellStart"/>
      <w:r w:rsidRPr="008E2BC3">
        <w:t>iv</w:t>
      </w:r>
      <w:proofErr w:type="spellEnd"/>
      <w:r w:rsidRPr="008E2BC3">
        <w:t>) cumpre a</w:t>
      </w:r>
      <w:r>
        <w:t>s Leis Ambientais</w:t>
      </w:r>
      <w:r w:rsidRPr="008E2BC3">
        <w:t xml:space="preserve">, bem como </w:t>
      </w:r>
      <w:r>
        <w:t xml:space="preserve">de proteção </w:t>
      </w:r>
      <w:r w:rsidRPr="008E2BC3">
        <w:t>à saúde e segurança do trabalho</w:t>
      </w:r>
      <w:r>
        <w:t>; e</w:t>
      </w:r>
    </w:p>
    <w:p w14:paraId="57FE2365" w14:textId="77777777" w:rsidR="00883C1A" w:rsidRPr="0074147A" w:rsidRDefault="00883C1A" w:rsidP="00883C1A">
      <w:pPr>
        <w:pStyle w:val="Level5"/>
        <w:numPr>
          <w:ilvl w:val="4"/>
          <w:numId w:val="11"/>
        </w:numPr>
        <w:tabs>
          <w:tab w:val="clear" w:pos="2721"/>
          <w:tab w:val="num" w:pos="1361"/>
        </w:tabs>
        <w:ind w:left="1360"/>
      </w:pPr>
      <w:r w:rsidRPr="007C7711">
        <w:t>o Projeto</w:t>
      </w:r>
      <w:r w:rsidRPr="000B7933">
        <w:t xml:space="preserve"> fo</w:t>
      </w:r>
      <w:r>
        <w:t>i</w:t>
      </w:r>
      <w:r w:rsidRPr="007C7711">
        <w:t xml:space="preserve"> devidamente </w:t>
      </w:r>
      <w:proofErr w:type="gramStart"/>
      <w:r w:rsidRPr="00050C51">
        <w:t>enquadrados</w:t>
      </w:r>
      <w:proofErr w:type="gramEnd"/>
      <w:r w:rsidRPr="00050C51">
        <w:t xml:space="preserve"> nos termos da Lei 12.431 e </w:t>
      </w:r>
      <w:r w:rsidRPr="00BA06D4">
        <w:t>considerado como prioritário</w:t>
      </w:r>
      <w:r w:rsidRPr="00D342CA">
        <w:t xml:space="preserve"> nos </w:t>
      </w:r>
      <w:r w:rsidRPr="00050C51">
        <w:t>termos da Portaria.</w:t>
      </w:r>
    </w:p>
    <w:p w14:paraId="4BA0ACDD" w14:textId="77777777" w:rsidR="00883C1A" w:rsidRPr="00AE33A7" w:rsidRDefault="00883C1A" w:rsidP="00883C1A">
      <w:pPr>
        <w:pStyle w:val="Level2"/>
        <w:numPr>
          <w:ilvl w:val="1"/>
          <w:numId w:val="11"/>
        </w:numPr>
      </w:pPr>
      <w:r w:rsidRPr="00AE33A7">
        <w:rPr>
          <w:u w:val="single"/>
        </w:rPr>
        <w:t>Declarações Adicionais</w:t>
      </w:r>
      <w:r w:rsidRPr="00AE33A7">
        <w:t xml:space="preserve">: A Emissora declara que (i) cumpre e faz com que suas </w:t>
      </w:r>
      <w:r>
        <w:t>controladas e seus respectivos funcionários e administradores</w:t>
      </w:r>
      <w:r w:rsidRPr="00AE33A7">
        <w:t xml:space="preserve"> cumpram com as normas aplicáveis que versam sobre atos de corrupção e atos lesivos contra a administração pública, na forma das Leis Anticorrupção (</w:t>
      </w:r>
      <w:proofErr w:type="spellStart"/>
      <w:r w:rsidRPr="00AE33A7">
        <w:t>ii</w:t>
      </w:r>
      <w:proofErr w:type="spellEnd"/>
      <w:r w:rsidRPr="00AE33A7">
        <w:t xml:space="preserve">) mantêm políticas e procedimentos internos que </w:t>
      </w:r>
      <w:r w:rsidRPr="00AE33A7">
        <w:rPr>
          <w:rFonts w:cs="Arial"/>
        </w:rPr>
        <w:t>asseguram o devido cumprimento de tais normas</w:t>
      </w:r>
      <w:r w:rsidRPr="00AE33A7">
        <w:rPr>
          <w:rFonts w:cs="Arial"/>
          <w:color w:val="000000"/>
          <w:szCs w:val="22"/>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Pr="00AE33A7">
        <w:rPr>
          <w:rFonts w:cs="Arial"/>
        </w:rPr>
        <w:t>; (</w:t>
      </w:r>
      <w:proofErr w:type="spellStart"/>
      <w:r w:rsidRPr="00AE33A7">
        <w:rPr>
          <w:rFonts w:cs="Arial"/>
        </w:rPr>
        <w:t>iii</w:t>
      </w:r>
      <w:proofErr w:type="spellEnd"/>
      <w:r w:rsidRPr="00AE33A7">
        <w:rPr>
          <w:rFonts w:cs="Arial"/>
        </w:rPr>
        <w:t>) abstêm-se de praticar atos de corrupção e de agir de forma lesiva à administração pública, nacional e dos países em que atua, conforme aplicável, no seu interesse ou para seu benefício, exclusivo ou não; (</w:t>
      </w:r>
      <w:proofErr w:type="spellStart"/>
      <w:r w:rsidRPr="00AE33A7">
        <w:rPr>
          <w:rFonts w:cs="Arial"/>
        </w:rPr>
        <w:t>iv</w:t>
      </w:r>
      <w:proofErr w:type="spellEnd"/>
      <w:r w:rsidRPr="00AE33A7">
        <w:rPr>
          <w:rFonts w:cs="Arial"/>
        </w:rPr>
        <w:t xml:space="preserve">) </w:t>
      </w:r>
      <w:r w:rsidRPr="00815B9F">
        <w:rPr>
          <w:rFonts w:cs="Arial"/>
        </w:rPr>
        <w:t xml:space="preserve">dentro do seu melhor conhecimento, a inexistência contra si, suas controladas, funcionários e administradores, de qualquer investigação, inquérito ou procedimento administrativo ou judicial relacionado a práticas contrárias às </w:t>
      </w:r>
      <w:r>
        <w:t xml:space="preserve">Leis Anticorrupção; e </w:t>
      </w:r>
      <w:r>
        <w:rPr>
          <w:rFonts w:cs="Arial"/>
        </w:rPr>
        <w:t xml:space="preserve">(v) </w:t>
      </w:r>
      <w:r w:rsidRPr="00AE33A7">
        <w:rPr>
          <w:rFonts w:cs="Arial"/>
        </w:rPr>
        <w:t xml:space="preserve">caso a Emissora esteja sujeita a legislações estrangeiras, </w:t>
      </w:r>
      <w:r w:rsidRPr="00AE33A7">
        <w:rPr>
          <w:rFonts w:cs="Arial"/>
          <w:color w:val="000000"/>
          <w:szCs w:val="22"/>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Pr="00AE33A7">
        <w:t>.</w:t>
      </w:r>
      <w:r>
        <w:t xml:space="preserve"> </w:t>
      </w:r>
    </w:p>
    <w:p w14:paraId="6E146596" w14:textId="77777777" w:rsidR="00883C1A" w:rsidRDefault="00883C1A" w:rsidP="00883C1A">
      <w:pPr>
        <w:pStyle w:val="Level2"/>
        <w:numPr>
          <w:ilvl w:val="1"/>
          <w:numId w:val="11"/>
        </w:numPr>
      </w:pPr>
      <w:r>
        <w:t xml:space="preserve">A Emissora declara que </w:t>
      </w:r>
      <w:r w:rsidRPr="00AE33A7">
        <w:t xml:space="preserve">cumpre e faz com que suas </w:t>
      </w:r>
      <w:r>
        <w:t>controladas e seus respectivos funcionários e administradores</w:t>
      </w:r>
      <w:r w:rsidRPr="00AE33A7">
        <w:t xml:space="preserve"> cumpram</w:t>
      </w:r>
      <w:r>
        <w:t xml:space="preserve"> as Leis Ambientais e Trabalhistas.</w:t>
      </w:r>
    </w:p>
    <w:p w14:paraId="1F8A1A63" w14:textId="77777777" w:rsidR="00883C1A" w:rsidRPr="00AE33A7" w:rsidRDefault="00883C1A" w:rsidP="00883C1A">
      <w:pPr>
        <w:pStyle w:val="Level2"/>
        <w:numPr>
          <w:ilvl w:val="1"/>
          <w:numId w:val="11"/>
        </w:numPr>
      </w:pPr>
      <w:r w:rsidRPr="00AE33A7">
        <w:t>A Emissora declara, ainda (i) não ter qualquer ligação com o Agente Fiduciário que impeça de exercer, plenamente, suas funções conforme descritas nesta Escritura de Emissão e na Instrução CVM 583; (</w:t>
      </w:r>
      <w:proofErr w:type="spellStart"/>
      <w:r w:rsidRPr="00AE33A7">
        <w:t>ii</w:t>
      </w:r>
      <w:proofErr w:type="spellEnd"/>
      <w:r w:rsidRPr="00AE33A7">
        <w:t>) ter ciência de todas as disposições da Instrução CVM 583 a serem cumpridas pelo Agente Fiduciário; (</w:t>
      </w:r>
      <w:proofErr w:type="spellStart"/>
      <w:r w:rsidRPr="00AE33A7">
        <w:t>iii</w:t>
      </w:r>
      <w:proofErr w:type="spellEnd"/>
      <w:r w:rsidRPr="00AE33A7">
        <w:t>) que cumprirá todas as determinações do Agente Fiduciário vinculadas ao cumprimento das disposições previstas naquela Instrução; e (</w:t>
      </w:r>
      <w:proofErr w:type="spellStart"/>
      <w:r w:rsidRPr="00AE33A7">
        <w:t>iv</w:t>
      </w:r>
      <w:proofErr w:type="spellEnd"/>
      <w:r w:rsidRPr="00AE33A7">
        <w:t>) não existir nenhum impedimento legal, contratual ou acordo de acionistas que impeça a presente Emissão.</w:t>
      </w:r>
    </w:p>
    <w:p w14:paraId="10231B37" w14:textId="77777777" w:rsidR="00883C1A" w:rsidRDefault="00883C1A" w:rsidP="00883C1A">
      <w:pPr>
        <w:pStyle w:val="Level2"/>
        <w:numPr>
          <w:ilvl w:val="1"/>
          <w:numId w:val="11"/>
        </w:numPr>
      </w:pPr>
      <w:r w:rsidRPr="00AE33A7">
        <w:t>A Emissora se compromete a notificar em até 2 (dois) Dias Úteis os Debenturistas e o Agente Fiduciário caso quaisquer das declarações aqui prestadas tornem-se, com relação à data em que forem prestadas, total ou parcialmente inverídicas, incompletas ou incorretas.</w:t>
      </w:r>
    </w:p>
    <w:p w14:paraId="2DD7B8E4" w14:textId="77777777" w:rsidR="00883C1A" w:rsidRPr="006A1E49" w:rsidRDefault="00883C1A" w:rsidP="00883C1A">
      <w:pPr>
        <w:pStyle w:val="Level2"/>
        <w:numPr>
          <w:ilvl w:val="1"/>
          <w:numId w:val="11"/>
        </w:numPr>
      </w:pPr>
      <w:r w:rsidRPr="00AE33A7">
        <w:t>A Emissora declara, ainda</w:t>
      </w:r>
      <w:r>
        <w:t>, que</w:t>
      </w:r>
      <w:r w:rsidRPr="00AE33A7">
        <w:t xml:space="preserve"> (i) </w:t>
      </w:r>
      <w:r>
        <w:t>exceto pela certificação de “Debêntures Verdes” obtida no âmbito da 6ª (sexta) emissão de debêntures da Emissora, o Projeto não foi nominado em qualquer outra certificação de “Debêntures Verdes” ou denominações semelhantes, sendo que Garantidora é uma sociedade constituída com o propósito específico de desenvolver, no âmbito do Projeto, as atividades de transmissão de energia elétrica</w:t>
      </w:r>
      <w:r w:rsidRPr="00AE33A7">
        <w:t>;</w:t>
      </w:r>
      <w:r>
        <w:t xml:space="preserve"> e (</w:t>
      </w:r>
      <w:proofErr w:type="spellStart"/>
      <w:r>
        <w:t>ii</w:t>
      </w:r>
      <w:proofErr w:type="spellEnd"/>
      <w:r>
        <w:t xml:space="preserve">) foram atendidos os procedimentos </w:t>
      </w:r>
      <w:proofErr w:type="spellStart"/>
      <w:r>
        <w:t>pré</w:t>
      </w:r>
      <w:proofErr w:type="spellEnd"/>
      <w:r>
        <w:t xml:space="preserve">-emissão previamente acordados com a consultoria especializada de que trata a Cláusula </w:t>
      </w:r>
      <w:r>
        <w:fldChar w:fldCharType="begin"/>
      </w:r>
      <w:r>
        <w:instrText xml:space="preserve"> REF _Ref6506373 \n \h </w:instrText>
      </w:r>
      <w:r>
        <w:fldChar w:fldCharType="separate"/>
      </w:r>
      <w:r>
        <w:t>2.8</w:t>
      </w:r>
      <w:r>
        <w:fldChar w:fldCharType="end"/>
      </w:r>
      <w:r>
        <w:t xml:space="preserve"> acima, para obtenção do rótulo “Debênture Verde”, conforme Parecer emitido com base no </w:t>
      </w:r>
      <w:r w:rsidRPr="003B6FB9">
        <w:rPr>
          <w:i/>
        </w:rPr>
        <w:t xml:space="preserve">Green </w:t>
      </w:r>
      <w:proofErr w:type="spellStart"/>
      <w:r w:rsidRPr="003B6FB9">
        <w:rPr>
          <w:i/>
        </w:rPr>
        <w:t>Bonds</w:t>
      </w:r>
      <w:proofErr w:type="spellEnd"/>
      <w:r w:rsidRPr="003B6FB9">
        <w:rPr>
          <w:i/>
        </w:rPr>
        <w:t xml:space="preserve"> </w:t>
      </w:r>
      <w:proofErr w:type="spellStart"/>
      <w:r w:rsidRPr="003B6FB9">
        <w:rPr>
          <w:i/>
        </w:rPr>
        <w:t>Principles</w:t>
      </w:r>
      <w:proofErr w:type="spellEnd"/>
      <w:r>
        <w:t xml:space="preserve"> Versão 2018 (Princípios de Títulos Verdes)</w:t>
      </w:r>
      <w:r w:rsidRPr="00AE33A7">
        <w:t>.</w:t>
      </w:r>
    </w:p>
    <w:p w14:paraId="47DCC73D" w14:textId="77777777" w:rsidR="00883C1A" w:rsidRPr="009E6B2F" w:rsidRDefault="00883C1A" w:rsidP="00883C1A">
      <w:pPr>
        <w:pStyle w:val="Level1"/>
        <w:keepLines w:val="0"/>
        <w:numPr>
          <w:ilvl w:val="0"/>
          <w:numId w:val="11"/>
        </w:numPr>
        <w:autoSpaceDE w:val="0"/>
        <w:autoSpaceDN w:val="0"/>
        <w:adjustRightInd w:val="0"/>
      </w:pPr>
      <w:bookmarkStart w:id="407" w:name="_DV_M357"/>
      <w:bookmarkStart w:id="408" w:name="_DV_M358"/>
      <w:bookmarkStart w:id="409" w:name="_DV_M359"/>
      <w:bookmarkStart w:id="410" w:name="_DV_M360"/>
      <w:bookmarkStart w:id="411" w:name="_DV_M361"/>
      <w:bookmarkStart w:id="412" w:name="_DV_M362"/>
      <w:bookmarkStart w:id="413" w:name="_DV_M363"/>
      <w:bookmarkStart w:id="414" w:name="_DV_M364"/>
      <w:bookmarkStart w:id="415" w:name="_DV_M365"/>
      <w:bookmarkStart w:id="416" w:name="_DV_M366"/>
      <w:bookmarkStart w:id="417" w:name="_DV_M367"/>
      <w:bookmarkStart w:id="418" w:name="_DV_M368"/>
      <w:bookmarkStart w:id="419" w:name="_DV_M370"/>
      <w:bookmarkStart w:id="420" w:name="_DV_M372"/>
      <w:bookmarkStart w:id="421" w:name="_DV_M374"/>
      <w:bookmarkStart w:id="422" w:name="_DV_M376"/>
      <w:bookmarkStart w:id="423" w:name="_DV_M377"/>
      <w:bookmarkStart w:id="424" w:name="_DV_M378"/>
      <w:bookmarkStart w:id="425" w:name="_DV_M379"/>
      <w:bookmarkStart w:id="426" w:name="_DV_M380"/>
      <w:bookmarkStart w:id="427" w:name="_DV_M381"/>
      <w:bookmarkStart w:id="428" w:name="_DV_M383"/>
      <w:bookmarkStart w:id="429" w:name="_DV_M384"/>
      <w:bookmarkStart w:id="430" w:name="_DV_M385"/>
      <w:bookmarkStart w:id="431" w:name="_DV_M386"/>
      <w:bookmarkStart w:id="432" w:name="_DV_M388"/>
      <w:bookmarkStart w:id="433" w:name="_Ref47508680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9E6B2F">
        <w:t>NOTIFICAÇÕES</w:t>
      </w:r>
      <w:bookmarkEnd w:id="433"/>
    </w:p>
    <w:p w14:paraId="7BD442C7" w14:textId="77777777" w:rsidR="00883C1A" w:rsidRPr="00AE33A7" w:rsidRDefault="00883C1A" w:rsidP="00883C1A">
      <w:pPr>
        <w:pStyle w:val="Level2"/>
        <w:numPr>
          <w:ilvl w:val="1"/>
          <w:numId w:val="11"/>
        </w:numPr>
      </w:pPr>
      <w:bookmarkStart w:id="434" w:name="_DV_M395"/>
      <w:bookmarkEnd w:id="434"/>
      <w:r w:rsidRPr="00AE33A7">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912C169" w14:textId="77777777" w:rsidR="00883C1A" w:rsidRPr="0051735A" w:rsidRDefault="00883C1A" w:rsidP="00883C1A">
      <w:pPr>
        <w:suppressAutoHyphens/>
        <w:spacing w:after="140" w:line="290" w:lineRule="auto"/>
        <w:ind w:left="709"/>
        <w:rPr>
          <w:rFonts w:ascii="Arial" w:hAnsi="Arial" w:cs="Arial"/>
          <w:b/>
          <w:bCs/>
          <w:sz w:val="20"/>
          <w:szCs w:val="20"/>
        </w:rPr>
      </w:pPr>
      <w:bookmarkStart w:id="435" w:name="_DV_M396"/>
      <w:bookmarkEnd w:id="435"/>
      <w:r w:rsidRPr="0051735A">
        <w:rPr>
          <w:rFonts w:ascii="Arial" w:hAnsi="Arial" w:cs="Arial"/>
          <w:b/>
          <w:bCs/>
          <w:sz w:val="20"/>
          <w:szCs w:val="20"/>
        </w:rPr>
        <w:t>Para a Emissora:</w:t>
      </w:r>
    </w:p>
    <w:p w14:paraId="7F928905" w14:textId="77777777" w:rsidR="00883C1A" w:rsidRPr="009E6B2F" w:rsidRDefault="00883C1A" w:rsidP="00883C1A">
      <w:pPr>
        <w:spacing w:after="140" w:line="290" w:lineRule="auto"/>
        <w:ind w:left="709"/>
        <w:rPr>
          <w:rFonts w:ascii="Arial" w:hAnsi="Arial" w:cs="Arial"/>
          <w:sz w:val="20"/>
          <w:szCs w:val="20"/>
        </w:rPr>
      </w:pPr>
      <w:bookmarkStart w:id="436" w:name="_DV_M397"/>
      <w:bookmarkEnd w:id="436"/>
      <w:r>
        <w:rPr>
          <w:rFonts w:ascii="Arial" w:hAnsi="Arial" w:cs="Arial"/>
          <w:b/>
          <w:sz w:val="20"/>
          <w:szCs w:val="20"/>
        </w:rPr>
        <w:t>TRANSMISSORA ALIANÇA DE ENERGIA ELÉTRICA S.A.</w:t>
      </w:r>
      <w:r>
        <w:rPr>
          <w:rFonts w:ascii="Arial" w:hAnsi="Arial" w:cs="Arial"/>
          <w:b/>
          <w:sz w:val="20"/>
          <w:szCs w:val="20"/>
        </w:rPr>
        <w:br/>
      </w:r>
      <w:r w:rsidRPr="00B71A06">
        <w:rPr>
          <w:rFonts w:ascii="Arial" w:hAnsi="Arial" w:cs="Arial"/>
          <w:sz w:val="20"/>
          <w:szCs w:val="20"/>
        </w:rPr>
        <w:t>Praça XV de Novembro, 20, 6º andar, Centro, Rio de Janeiro, RJ</w:t>
      </w:r>
      <w:r w:rsidRPr="00B71A06">
        <w:rPr>
          <w:rFonts w:ascii="Arial" w:hAnsi="Arial" w:cs="Arial"/>
          <w:sz w:val="20"/>
          <w:szCs w:val="20"/>
        </w:rPr>
        <w:br/>
        <w:t xml:space="preserve">At.: Sr. Marcus </w:t>
      </w:r>
      <w:proofErr w:type="spellStart"/>
      <w:r w:rsidRPr="00B71A06">
        <w:rPr>
          <w:rFonts w:ascii="Arial" w:hAnsi="Arial" w:cs="Arial"/>
          <w:sz w:val="20"/>
          <w:szCs w:val="20"/>
        </w:rPr>
        <w:t>Aucélio</w:t>
      </w:r>
      <w:proofErr w:type="spellEnd"/>
      <w:r w:rsidRPr="00B71A06">
        <w:rPr>
          <w:rFonts w:ascii="Arial" w:hAnsi="Arial" w:cs="Arial"/>
          <w:sz w:val="20"/>
          <w:szCs w:val="20"/>
        </w:rPr>
        <w:br/>
        <w:t>Tel.: (21) 2212-6000/6001</w:t>
      </w:r>
      <w:r w:rsidRPr="00B71A06">
        <w:rPr>
          <w:rFonts w:ascii="Arial" w:hAnsi="Arial" w:cs="Arial"/>
          <w:sz w:val="20"/>
          <w:szCs w:val="20"/>
        </w:rPr>
        <w:br/>
        <w:t>Fax: (21) 2212-6040</w:t>
      </w:r>
      <w:r w:rsidRPr="00B71A06">
        <w:rPr>
          <w:rFonts w:ascii="Arial" w:hAnsi="Arial" w:cs="Arial"/>
          <w:sz w:val="20"/>
          <w:szCs w:val="20"/>
        </w:rPr>
        <w:br/>
        <w:t>E-mail: marcus.aucelio@taesa.com.br</w:t>
      </w:r>
    </w:p>
    <w:p w14:paraId="339F87A4" w14:textId="77777777" w:rsidR="00883C1A" w:rsidRPr="009E6B2F" w:rsidRDefault="00883C1A" w:rsidP="00883C1A">
      <w:pPr>
        <w:spacing w:after="140" w:line="290" w:lineRule="auto"/>
        <w:ind w:left="709"/>
        <w:rPr>
          <w:rFonts w:ascii="Arial" w:hAnsi="Arial" w:cs="Arial"/>
          <w:b/>
          <w:bCs/>
          <w:sz w:val="20"/>
          <w:szCs w:val="20"/>
        </w:rPr>
      </w:pPr>
      <w:bookmarkStart w:id="437" w:name="_DV_M409"/>
      <w:bookmarkStart w:id="438" w:name="_DV_M411"/>
      <w:bookmarkEnd w:id="437"/>
      <w:bookmarkEnd w:id="438"/>
      <w:r w:rsidRPr="009E6B2F">
        <w:rPr>
          <w:rFonts w:ascii="Arial" w:hAnsi="Arial" w:cs="Arial"/>
          <w:b/>
          <w:bCs/>
          <w:sz w:val="20"/>
          <w:szCs w:val="20"/>
        </w:rPr>
        <w:t>Para o Agente Fiduciário:</w:t>
      </w:r>
    </w:p>
    <w:p w14:paraId="0A237E1E" w14:textId="77777777" w:rsidR="00883C1A" w:rsidRDefault="00883C1A" w:rsidP="00883C1A">
      <w:pPr>
        <w:spacing w:after="140" w:line="288" w:lineRule="auto"/>
        <w:ind w:left="709"/>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t xml:space="preserve"> / (11) 3090-0447</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0EA9E8B8" w14:textId="77777777" w:rsidR="00883C1A" w:rsidRDefault="00883C1A" w:rsidP="00883C1A">
      <w:pPr>
        <w:spacing w:after="140" w:line="288" w:lineRule="auto"/>
        <w:ind w:left="709"/>
        <w:rPr>
          <w:rFonts w:ascii="Arial" w:hAnsi="Arial" w:cs="Arial"/>
          <w:b/>
          <w:bCs/>
          <w:sz w:val="20"/>
          <w:szCs w:val="20"/>
        </w:rPr>
      </w:pPr>
      <w:r>
        <w:rPr>
          <w:rFonts w:ascii="Arial" w:hAnsi="Arial" w:cs="Arial"/>
          <w:b/>
          <w:bCs/>
          <w:sz w:val="20"/>
          <w:szCs w:val="20"/>
        </w:rPr>
        <w:t xml:space="preserve">Para o Banco Liquidante ou para o </w:t>
      </w:r>
      <w:proofErr w:type="spellStart"/>
      <w:r>
        <w:rPr>
          <w:rFonts w:ascii="Arial" w:hAnsi="Arial" w:cs="Arial"/>
          <w:b/>
          <w:bCs/>
          <w:sz w:val="20"/>
          <w:szCs w:val="20"/>
        </w:rPr>
        <w:t>Escriturador</w:t>
      </w:r>
      <w:proofErr w:type="spellEnd"/>
      <w:r>
        <w:rPr>
          <w:rFonts w:ascii="Arial" w:hAnsi="Arial" w:cs="Arial"/>
          <w:b/>
          <w:bCs/>
          <w:sz w:val="20"/>
          <w:szCs w:val="20"/>
        </w:rPr>
        <w:t>:</w:t>
      </w:r>
    </w:p>
    <w:p w14:paraId="27518794" w14:textId="77777777" w:rsidR="00883C1A" w:rsidRDefault="00883C1A" w:rsidP="00883C1A">
      <w:pPr>
        <w:spacing w:after="140" w:line="288" w:lineRule="auto"/>
        <w:ind w:left="709"/>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 xml:space="preserve">At.: Sra. Debora Andrade Teixeira / Sr. Mauricio </w:t>
      </w:r>
      <w:proofErr w:type="spellStart"/>
      <w:r w:rsidRPr="00ED4800">
        <w:rPr>
          <w:rFonts w:ascii="Arial" w:eastAsia="Arial Unicode MS" w:hAnsi="Arial" w:cs="Arial"/>
          <w:bCs/>
          <w:color w:val="000000"/>
          <w:sz w:val="20"/>
          <w:szCs w:val="20"/>
        </w:rPr>
        <w:t>Bartalini</w:t>
      </w:r>
      <w:proofErr w:type="spellEnd"/>
      <w:r w:rsidRPr="00ED4800">
        <w:rPr>
          <w:rFonts w:ascii="Arial" w:eastAsia="Arial Unicode MS" w:hAnsi="Arial" w:cs="Arial"/>
          <w:bCs/>
          <w:color w:val="000000"/>
          <w:sz w:val="20"/>
          <w:szCs w:val="20"/>
        </w:rPr>
        <w:t xml:space="preserve"> </w:t>
      </w:r>
      <w:proofErr w:type="spellStart"/>
      <w:r w:rsidRPr="00ED4800">
        <w:rPr>
          <w:rFonts w:ascii="Arial" w:eastAsia="Arial Unicode MS" w:hAnsi="Arial" w:cs="Arial"/>
          <w:bCs/>
          <w:color w:val="000000"/>
          <w:sz w:val="20"/>
          <w:szCs w:val="20"/>
        </w:rPr>
        <w:t>Tempeste</w:t>
      </w:r>
      <w:proofErr w:type="spellEnd"/>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2"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23"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24"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25" w:history="1">
        <w:r w:rsidRPr="00ED4800">
          <w:rPr>
            <w:rFonts w:ascii="Arial" w:eastAsia="Arial Unicode MS" w:hAnsi="Arial" w:cs="Arial"/>
            <w:bCs/>
            <w:color w:val="000000"/>
            <w:sz w:val="20"/>
            <w:szCs w:val="20"/>
          </w:rPr>
          <w:t>4010.debentures@bradesco.com.br</w:t>
        </w:r>
      </w:hyperlink>
    </w:p>
    <w:p w14:paraId="7DCAFD19" w14:textId="77777777" w:rsidR="00883C1A" w:rsidRPr="009E6B2F" w:rsidRDefault="00883C1A" w:rsidP="00883C1A">
      <w:pPr>
        <w:pStyle w:val="Level2"/>
        <w:numPr>
          <w:ilvl w:val="1"/>
          <w:numId w:val="11"/>
        </w:numPr>
        <w:spacing w:before="140" w:after="0"/>
      </w:pPr>
      <w:bookmarkStart w:id="439" w:name="_DV_M650"/>
      <w:bookmarkStart w:id="440" w:name="_DV_M651"/>
      <w:bookmarkStart w:id="441" w:name="_DV_M415"/>
      <w:bookmarkStart w:id="442" w:name="_DV_M418"/>
      <w:bookmarkStart w:id="443" w:name="_DV_M419"/>
      <w:bookmarkStart w:id="444" w:name="_DV_M420"/>
      <w:bookmarkStart w:id="445" w:name="_DV_M421"/>
      <w:bookmarkStart w:id="446" w:name="_DV_M422"/>
      <w:bookmarkStart w:id="447" w:name="_DV_M423"/>
      <w:bookmarkStart w:id="448" w:name="_DV_M424"/>
      <w:bookmarkStart w:id="449" w:name="_DV_M425"/>
      <w:bookmarkStart w:id="450" w:name="_DV_M431"/>
      <w:bookmarkStart w:id="451" w:name="_DV_M432"/>
      <w:bookmarkStart w:id="452" w:name="_DV_M433"/>
      <w:bookmarkStart w:id="453" w:name="_DV_M434"/>
      <w:bookmarkStart w:id="454" w:name="_DV_M435"/>
      <w:bookmarkStart w:id="455" w:name="_DV_M436"/>
      <w:bookmarkStart w:id="456" w:name="_DV_M437"/>
      <w:bookmarkStart w:id="457" w:name="_DV_M438"/>
      <w:bookmarkStart w:id="458" w:name="_DV_M439"/>
      <w:bookmarkStart w:id="459" w:name="_DV_M44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9E6B2F">
        <w:t xml:space="preserve">As comunicações referentes a esta Escritura de Emissão serão consideradas entregues quando recebidas sob protocolo ou com </w:t>
      </w:r>
      <w:r>
        <w:t>“</w:t>
      </w:r>
      <w:r w:rsidRPr="009E6B2F">
        <w:t>aviso de recebimento</w:t>
      </w:r>
      <w:r>
        <w:t>”</w:t>
      </w:r>
      <w:r w:rsidRPr="009E6B2F">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843CAE">
        <w:t xml:space="preserve">As comunicações feitas por correio eletrônico serão consideradas recebidas na data de recebimento de “aviso de entrega e leitura”. </w:t>
      </w:r>
    </w:p>
    <w:p w14:paraId="6F5C9B18" w14:textId="77777777" w:rsidR="00883C1A" w:rsidRPr="009E6B2F" w:rsidRDefault="00883C1A" w:rsidP="00883C1A">
      <w:pPr>
        <w:pStyle w:val="Level1"/>
        <w:keepLines w:val="0"/>
        <w:numPr>
          <w:ilvl w:val="0"/>
          <w:numId w:val="11"/>
        </w:numPr>
        <w:autoSpaceDE w:val="0"/>
        <w:autoSpaceDN w:val="0"/>
        <w:adjustRightInd w:val="0"/>
      </w:pPr>
      <w:bookmarkStart w:id="460" w:name="_DV_M441"/>
      <w:bookmarkEnd w:id="460"/>
      <w:r w:rsidRPr="009E6B2F">
        <w:t>DAS DISPOSIÇÕES GERAIS</w:t>
      </w:r>
    </w:p>
    <w:p w14:paraId="4EB6E107" w14:textId="77777777" w:rsidR="00883C1A" w:rsidRPr="009E6B2F" w:rsidRDefault="00883C1A" w:rsidP="00883C1A">
      <w:pPr>
        <w:pStyle w:val="Level2"/>
        <w:numPr>
          <w:ilvl w:val="1"/>
          <w:numId w:val="11"/>
        </w:numPr>
        <w:spacing w:before="140" w:after="0"/>
      </w:pPr>
      <w:bookmarkStart w:id="461" w:name="_DV_M442"/>
      <w:bookmarkEnd w:id="461"/>
      <w:r w:rsidRPr="009E6B2F">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8E3A661" w14:textId="77777777" w:rsidR="00883C1A" w:rsidRDefault="00883C1A" w:rsidP="00883C1A">
      <w:pPr>
        <w:pStyle w:val="Level2"/>
        <w:numPr>
          <w:ilvl w:val="1"/>
          <w:numId w:val="11"/>
        </w:numPr>
        <w:spacing w:before="140" w:after="0"/>
      </w:pPr>
      <w:bookmarkStart w:id="462" w:name="_DV_M443"/>
      <w:bookmarkEnd w:id="462"/>
      <w:r w:rsidRPr="009E6B2F">
        <w:t xml:space="preserve">A presente Escritura de Emissão é firmada em caráter irrevogável e irretratável, salvo na hipótese de não preenchimento dos requisitos relacionados na Cláusula </w:t>
      </w:r>
      <w:r>
        <w:fldChar w:fldCharType="begin"/>
      </w:r>
      <w:r>
        <w:instrText xml:space="preserve"> REF _Ref475089583 \r \h </w:instrText>
      </w:r>
      <w:r>
        <w:fldChar w:fldCharType="separate"/>
      </w:r>
      <w:r>
        <w:t>2</w:t>
      </w:r>
      <w:r>
        <w:fldChar w:fldCharType="end"/>
      </w:r>
      <w:r w:rsidRPr="009E6B2F">
        <w:t xml:space="preserve"> acima, obrigando as partes por si e seus sucessores.</w:t>
      </w:r>
    </w:p>
    <w:p w14:paraId="3072B31A" w14:textId="77777777" w:rsidR="00883C1A" w:rsidRDefault="00883C1A" w:rsidP="00883C1A">
      <w:pPr>
        <w:pStyle w:val="Level2"/>
        <w:numPr>
          <w:ilvl w:val="1"/>
          <w:numId w:val="11"/>
        </w:numPr>
        <w:spacing w:before="140" w:after="0"/>
      </w:pPr>
      <w:bookmarkStart w:id="463" w:name="_DV_M444"/>
      <w:bookmarkEnd w:id="463"/>
      <w:r w:rsidRPr="006E3A8C">
        <w:t xml:space="preserve">Qualquer alteração a esta Escritura de Emissão após a emissão das Debêntures, além de ser formalizada por meio de aditamento e cumprir os requisitos previstos na Cláusula </w:t>
      </w:r>
      <w:r>
        <w:fldChar w:fldCharType="begin"/>
      </w:r>
      <w:r>
        <w:instrText xml:space="preserve"> REF _Ref427712429 \r \h </w:instrText>
      </w:r>
      <w:r>
        <w:fldChar w:fldCharType="separate"/>
      </w:r>
      <w:r>
        <w:t>2.2</w:t>
      </w:r>
      <w:r>
        <w:fldChar w:fldCharType="end"/>
      </w:r>
      <w:r w:rsidRPr="006E3A8C">
        <w:t xml:space="preserve"> acima, dependerá de prévia aprovação dos Debenturistas reunidos em Assembleia Geral de Debenturistas</w:t>
      </w:r>
      <w:r>
        <w:t>.</w:t>
      </w:r>
      <w:r w:rsidRPr="006E3A8C">
        <w:t xml:space="preserve"> </w:t>
      </w:r>
      <w:r>
        <w:t>E</w:t>
      </w:r>
      <w:r w:rsidRPr="006E3A8C">
        <w:t xml:space="preserve">sta Escritura de Emissão poderá ser alterada, independentemente de Assembleia Geral de Debenturistas, sempre que tal alteração decorrer </w:t>
      </w:r>
      <w:r>
        <w:t xml:space="preserve">(1) da Cláusula 7.4.3; ou (2) </w:t>
      </w:r>
      <w:r w:rsidRPr="006E3A8C">
        <w:t>exclusivamente: (i) de modificações já permitidas expressamente nos documentos da Oferta, (</w:t>
      </w:r>
      <w:proofErr w:type="spellStart"/>
      <w:r w:rsidRPr="006E3A8C">
        <w:t>ii</w:t>
      </w:r>
      <w:proofErr w:type="spellEnd"/>
      <w:r w:rsidRPr="006E3A8C">
        <w:t>) da necessidade de atendimento a exigências de adequação a normas legais ou regulamentares, (</w:t>
      </w:r>
      <w:proofErr w:type="spellStart"/>
      <w:r w:rsidRPr="006E3A8C">
        <w:t>iii</w:t>
      </w:r>
      <w:proofErr w:type="spellEnd"/>
      <w:r w:rsidRPr="006E3A8C">
        <w:t>) quando verificado erro de digitação, ou ainda (</w:t>
      </w:r>
      <w:proofErr w:type="spellStart"/>
      <w:r w:rsidRPr="006E3A8C">
        <w:t>iv</w:t>
      </w:r>
      <w:proofErr w:type="spellEnd"/>
      <w:r w:rsidRPr="006E3A8C">
        <w:t>) em virtude da atualização dos dados cadastrais das Partes, tais como alteração na razão social, endereço e telefone; desde que tais alterações não gerem novos custos ou despesas aos Debenturistas.</w:t>
      </w:r>
    </w:p>
    <w:p w14:paraId="3B4DBA72" w14:textId="77777777" w:rsidR="00883C1A" w:rsidRPr="009E6B2F" w:rsidRDefault="00883C1A" w:rsidP="00883C1A">
      <w:pPr>
        <w:pStyle w:val="Level2"/>
        <w:numPr>
          <w:ilvl w:val="1"/>
          <w:numId w:val="11"/>
        </w:numPr>
        <w:spacing w:before="140" w:after="0"/>
      </w:pPr>
      <w:r w:rsidRPr="009E6B2F">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FF684A0" w14:textId="77777777" w:rsidR="00883C1A" w:rsidRPr="009E6B2F" w:rsidRDefault="00883C1A" w:rsidP="00883C1A">
      <w:pPr>
        <w:pStyle w:val="Level2"/>
        <w:numPr>
          <w:ilvl w:val="1"/>
          <w:numId w:val="11"/>
        </w:numPr>
        <w:spacing w:before="140" w:after="0"/>
      </w:pPr>
      <w:bookmarkStart w:id="464" w:name="_DV_M445"/>
      <w:bookmarkEnd w:id="464"/>
      <w:r w:rsidRPr="009E6B2F">
        <w:t xml:space="preserve">A presente Escritura de Emissão e as Debêntures constituem título executivo extrajudicial, nos termos do artigo </w:t>
      </w:r>
      <w:r>
        <w:t>784</w:t>
      </w:r>
      <w:r w:rsidRPr="009E6B2F">
        <w:t xml:space="preserve">, incisos I e </w:t>
      </w:r>
      <w:r>
        <w:t>I</w:t>
      </w:r>
      <w:r w:rsidRPr="009E6B2F">
        <w:t xml:space="preserve">II, do Código de Processo Civil, e as obrigações nelas encerradas estão sujeitas a execução específica, de acordo com os artigos </w:t>
      </w:r>
      <w:r>
        <w:t>815</w:t>
      </w:r>
      <w:r w:rsidRPr="009E6B2F">
        <w:t xml:space="preserve"> e seguintes, do Código de Processo Civil.</w:t>
      </w:r>
    </w:p>
    <w:p w14:paraId="1F4AC678" w14:textId="77777777" w:rsidR="00883C1A" w:rsidRPr="009E6B2F" w:rsidRDefault="00883C1A" w:rsidP="00883C1A">
      <w:pPr>
        <w:pStyle w:val="Level2"/>
        <w:numPr>
          <w:ilvl w:val="1"/>
          <w:numId w:val="11"/>
        </w:numPr>
        <w:spacing w:before="140" w:after="0"/>
        <w:rPr>
          <w:u w:val="single"/>
        </w:rPr>
      </w:pPr>
      <w:bookmarkStart w:id="465" w:name="_DV_M447"/>
      <w:bookmarkEnd w:id="465"/>
      <w:r w:rsidRPr="009E6B2F">
        <w:t>Os prazos estabelecidos na presente Escritura de Emissão serão computados de acordo com a regra prescrita no artigo 132 do Código Civil, sendo excluído o dia do começo e incluído o do vencimento.</w:t>
      </w:r>
      <w:r w:rsidRPr="009E6B2F">
        <w:rPr>
          <w:u w:val="single"/>
        </w:rPr>
        <w:t xml:space="preserve"> </w:t>
      </w:r>
    </w:p>
    <w:p w14:paraId="12ACA2FE" w14:textId="77777777" w:rsidR="00883C1A" w:rsidRPr="00843CAE" w:rsidRDefault="00883C1A" w:rsidP="00883C1A">
      <w:pPr>
        <w:pStyle w:val="Level2"/>
        <w:numPr>
          <w:ilvl w:val="1"/>
          <w:numId w:val="11"/>
        </w:numPr>
        <w:spacing w:before="140" w:after="0"/>
      </w:pPr>
      <w:bookmarkStart w:id="466" w:name="_DV_M448"/>
      <w:bookmarkEnd w:id="466"/>
      <w:r w:rsidRPr="00843CAE">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03F5A300" w14:textId="77777777" w:rsidR="00883C1A" w:rsidRPr="009E6B2F" w:rsidRDefault="00883C1A" w:rsidP="00883C1A">
      <w:pPr>
        <w:pStyle w:val="Level1"/>
        <w:keepLines w:val="0"/>
        <w:numPr>
          <w:ilvl w:val="0"/>
          <w:numId w:val="11"/>
        </w:numPr>
        <w:autoSpaceDE w:val="0"/>
        <w:autoSpaceDN w:val="0"/>
        <w:adjustRightInd w:val="0"/>
      </w:pPr>
      <w:bookmarkStart w:id="467" w:name="_DV_M449"/>
      <w:bookmarkEnd w:id="467"/>
      <w:r w:rsidRPr="009E6B2F">
        <w:t>DA LEI E DO FORO</w:t>
      </w:r>
    </w:p>
    <w:p w14:paraId="017AD760" w14:textId="77777777" w:rsidR="00883C1A" w:rsidRPr="009E6B2F" w:rsidRDefault="00883C1A" w:rsidP="00883C1A">
      <w:pPr>
        <w:pStyle w:val="Level2"/>
        <w:numPr>
          <w:ilvl w:val="1"/>
          <w:numId w:val="11"/>
        </w:numPr>
        <w:spacing w:before="140" w:after="0"/>
      </w:pPr>
      <w:bookmarkStart w:id="468" w:name="_DV_M450"/>
      <w:bookmarkEnd w:id="468"/>
      <w:r w:rsidRPr="009E6B2F">
        <w:t>Esta Escritura será regida pelas leis da República Federativa do Brasil. Fica eleito o foro da comarca d</w:t>
      </w:r>
      <w:r>
        <w:t>e São Paulo, Estado de São Paulo</w:t>
      </w:r>
      <w:r w:rsidRPr="009E6B2F">
        <w:t>, com exclusão de qualquer outro, por mais privilegiado que seja, para dirimir as questões porventura oriundas desta Escritura de Emissão.</w:t>
      </w:r>
      <w:r>
        <w:rPr>
          <w:rFonts w:cs="Arial"/>
        </w:rPr>
        <w:t xml:space="preserve"> </w:t>
      </w:r>
    </w:p>
    <w:p w14:paraId="60A51CF8" w14:textId="77777777" w:rsidR="00883C1A" w:rsidRPr="009E6B2F" w:rsidRDefault="00883C1A" w:rsidP="00883C1A">
      <w:pPr>
        <w:suppressAutoHyphens/>
        <w:spacing w:before="140" w:line="290" w:lineRule="auto"/>
        <w:rPr>
          <w:rFonts w:ascii="Arial" w:hAnsi="Arial" w:cs="Arial"/>
          <w:sz w:val="20"/>
          <w:szCs w:val="20"/>
        </w:rPr>
      </w:pPr>
      <w:bookmarkStart w:id="469" w:name="_DV_M451"/>
      <w:bookmarkEnd w:id="469"/>
      <w:r w:rsidRPr="009E6B2F">
        <w:rPr>
          <w:rFonts w:ascii="Arial" w:hAnsi="Arial" w:cs="Arial"/>
          <w:sz w:val="20"/>
          <w:szCs w:val="20"/>
        </w:rPr>
        <w:t>E por estarem assim justas e contratadas, celebram a presente Escritura de Emissão a Emissora e o Agente Fiduciário em 3 (três) vias de igual forma e teor e para o mesmo fim, em conjunto com as 2 (duas) testemunhas abaixo assinadas.</w:t>
      </w:r>
      <w:r>
        <w:rPr>
          <w:rFonts w:ascii="Arial" w:hAnsi="Arial" w:cs="Arial"/>
          <w:sz w:val="20"/>
          <w:szCs w:val="20"/>
        </w:rPr>
        <w:t xml:space="preserve"> </w:t>
      </w:r>
    </w:p>
    <w:p w14:paraId="39553E8C" w14:textId="77777777" w:rsidR="00883C1A" w:rsidRPr="009E6B2F" w:rsidRDefault="00883C1A" w:rsidP="00883C1A">
      <w:pPr>
        <w:suppressAutoHyphens/>
        <w:spacing w:before="140" w:line="290" w:lineRule="auto"/>
        <w:jc w:val="center"/>
        <w:rPr>
          <w:rFonts w:ascii="Arial" w:hAnsi="Arial" w:cs="Arial"/>
          <w:sz w:val="20"/>
          <w:szCs w:val="20"/>
        </w:rPr>
      </w:pPr>
    </w:p>
    <w:p w14:paraId="164D47BF" w14:textId="77777777" w:rsidR="00883C1A" w:rsidRPr="009E6B2F" w:rsidRDefault="00883C1A" w:rsidP="00883C1A">
      <w:pPr>
        <w:suppressAutoHyphens/>
        <w:spacing w:before="140" w:line="290" w:lineRule="auto"/>
        <w:jc w:val="center"/>
        <w:rPr>
          <w:rFonts w:ascii="Arial" w:hAnsi="Arial" w:cs="Arial"/>
          <w:sz w:val="20"/>
          <w:szCs w:val="20"/>
        </w:rPr>
      </w:pPr>
      <w:bookmarkStart w:id="470" w:name="_DV_M452"/>
      <w:bookmarkEnd w:id="470"/>
      <w:r>
        <w:rPr>
          <w:rFonts w:ascii="Arial" w:hAnsi="Arial" w:cs="Arial"/>
          <w:sz w:val="20"/>
          <w:szCs w:val="20"/>
        </w:rPr>
        <w:t>Rio de Janeiro</w:t>
      </w:r>
      <w:r w:rsidRPr="009E6B2F">
        <w:rPr>
          <w:rFonts w:ascii="Arial" w:hAnsi="Arial" w:cs="Arial"/>
          <w:sz w:val="20"/>
          <w:szCs w:val="20"/>
        </w:rPr>
        <w:t xml:space="preserve">, </w:t>
      </w:r>
      <w:bookmarkStart w:id="471" w:name="_DV_M453"/>
      <w:bookmarkStart w:id="472" w:name="_DV_M454"/>
      <w:bookmarkEnd w:id="471"/>
      <w:bookmarkEnd w:id="472"/>
      <w:r>
        <w:rPr>
          <w:rFonts w:ascii="Arial" w:hAnsi="Arial" w:cs="Arial"/>
          <w:sz w:val="20"/>
          <w:szCs w:val="20"/>
        </w:rPr>
        <w:t>18</w:t>
      </w:r>
      <w:r w:rsidRPr="009E6B2F">
        <w:rPr>
          <w:rFonts w:ascii="Arial" w:hAnsi="Arial" w:cs="Arial"/>
          <w:sz w:val="20"/>
          <w:szCs w:val="20"/>
        </w:rPr>
        <w:t xml:space="preserve"> de </w:t>
      </w:r>
      <w:r>
        <w:rPr>
          <w:rFonts w:ascii="Arial" w:hAnsi="Arial" w:cs="Arial"/>
          <w:sz w:val="20"/>
          <w:szCs w:val="20"/>
        </w:rPr>
        <w:t>dezembro</w:t>
      </w:r>
      <w:r w:rsidRPr="009E6B2F">
        <w:rPr>
          <w:rFonts w:ascii="Arial" w:hAnsi="Arial" w:cs="Arial"/>
          <w:sz w:val="20"/>
          <w:szCs w:val="20"/>
        </w:rPr>
        <w:t xml:space="preserve"> </w:t>
      </w:r>
      <w:r w:rsidRPr="008B53CF">
        <w:rPr>
          <w:rFonts w:ascii="Arial" w:hAnsi="Arial" w:cs="Arial"/>
          <w:sz w:val="20"/>
          <w:szCs w:val="20"/>
        </w:rPr>
        <w:t xml:space="preserve">de </w:t>
      </w:r>
      <w:r w:rsidRPr="00D342CA">
        <w:rPr>
          <w:rFonts w:ascii="Arial" w:hAnsi="Arial" w:cs="Arial"/>
          <w:sz w:val="20"/>
          <w:szCs w:val="20"/>
        </w:rPr>
        <w:t>2019</w:t>
      </w:r>
    </w:p>
    <w:p w14:paraId="2DC6176C" w14:textId="77777777" w:rsidR="00883C1A" w:rsidRPr="009E6B2F" w:rsidRDefault="00883C1A" w:rsidP="00883C1A">
      <w:pPr>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237D4415" w14:textId="77777777" w:rsidR="00883C1A" w:rsidRPr="009E6B2F" w:rsidRDefault="00883C1A" w:rsidP="00883C1A">
      <w:pPr>
        <w:spacing w:before="140" w:line="290" w:lineRule="auto"/>
        <w:rPr>
          <w:rFonts w:ascii="Arial" w:hAnsi="Arial" w:cs="Arial"/>
          <w:sz w:val="20"/>
          <w:szCs w:val="20"/>
        </w:rPr>
      </w:pPr>
      <w:bookmarkStart w:id="473" w:name="_DV_M455"/>
      <w:bookmarkStart w:id="474" w:name="_DV_M456"/>
      <w:bookmarkEnd w:id="473"/>
      <w:bookmarkEnd w:id="474"/>
      <w:r w:rsidRPr="009E6B2F">
        <w:rPr>
          <w:rFonts w:ascii="Arial" w:hAnsi="Arial" w:cs="Arial"/>
          <w:sz w:val="20"/>
          <w:szCs w:val="20"/>
        </w:rPr>
        <w:br w:type="page"/>
      </w:r>
    </w:p>
    <w:p w14:paraId="1A185D8F" w14:textId="77777777" w:rsidR="00883C1A" w:rsidRDefault="00883C1A" w:rsidP="00883C1A">
      <w:pPr>
        <w:spacing w:before="140" w:line="290" w:lineRule="auto"/>
        <w:rPr>
          <w:rFonts w:ascii="Arial" w:hAnsi="Arial" w:cs="Arial"/>
          <w:b/>
          <w:bCs/>
          <w:color w:val="000000"/>
          <w:sz w:val="20"/>
          <w:szCs w:val="20"/>
        </w:rPr>
      </w:pPr>
      <w:r>
        <w:rPr>
          <w:rFonts w:ascii="Arial" w:hAnsi="Arial" w:cs="Arial"/>
          <w:b/>
          <w:sz w:val="20"/>
          <w:szCs w:val="20"/>
        </w:rPr>
        <w:t xml:space="preserve">ANEXO I </w:t>
      </w:r>
      <w:r w:rsidRPr="00056862">
        <w:rPr>
          <w:rFonts w:ascii="Arial" w:hAnsi="Arial" w:cs="Arial"/>
          <w:b/>
          <w:sz w:val="20"/>
          <w:szCs w:val="20"/>
        </w:rPr>
        <w:t xml:space="preserve">AO </w:t>
      </w:r>
      <w:r w:rsidRPr="008B68FF">
        <w:rPr>
          <w:rFonts w:ascii="Arial" w:hAnsi="Arial"/>
          <w:b/>
          <w:sz w:val="20"/>
        </w:rPr>
        <w:t xml:space="preserve">INSTRUMENTO PARTICULAR DE ESCRITURA DA </w:t>
      </w:r>
      <w:r w:rsidRPr="00056862">
        <w:rPr>
          <w:rFonts w:ascii="Arial" w:hAnsi="Arial" w:cs="Arial"/>
          <w:b/>
          <w:sz w:val="20"/>
          <w:szCs w:val="20"/>
        </w:rPr>
        <w:t>8ª (OITAVA</w:t>
      </w:r>
      <w:r w:rsidRPr="008B68FF">
        <w:rPr>
          <w:rFonts w:ascii="Arial" w:hAnsi="Arial"/>
          <w:b/>
          <w:sz w:val="20"/>
        </w:rPr>
        <w:t xml:space="preserve">) EMISSÃO DE DEBÊNTURES SIMPLES, NÃO CONVERSÍVEIS EM AÇÕES, EM SÉRIE </w:t>
      </w:r>
      <w:r w:rsidRPr="00056862">
        <w:rPr>
          <w:rFonts w:ascii="Arial" w:hAnsi="Arial" w:cs="Arial"/>
          <w:b/>
          <w:sz w:val="20"/>
          <w:szCs w:val="20"/>
        </w:rPr>
        <w:t>ÚNICA,</w:t>
      </w:r>
      <w:r w:rsidRPr="008B68FF">
        <w:rPr>
          <w:rFonts w:ascii="Arial" w:hAnsi="Arial"/>
          <w:b/>
          <w:sz w:val="20"/>
        </w:rPr>
        <w:t xml:space="preserve"> DA ESPÉCIE COM GARANTIA REAL, PARA DISTRIBUIÇÃO PÚBLICA, </w:t>
      </w:r>
      <w:r>
        <w:rPr>
          <w:rFonts w:ascii="Arial" w:hAnsi="Arial" w:cs="Arial"/>
          <w:b/>
          <w:bCs/>
          <w:color w:val="000000"/>
          <w:sz w:val="20"/>
          <w:szCs w:val="20"/>
        </w:rPr>
        <w:t xml:space="preserve">COM ESFORÇOS RESTRITOS DE COLOCAÇÃO, </w:t>
      </w:r>
      <w:r w:rsidRPr="008B68FF">
        <w:rPr>
          <w:rFonts w:ascii="Arial" w:hAnsi="Arial"/>
          <w:b/>
          <w:sz w:val="20"/>
        </w:rPr>
        <w:t>DA TRANSMISSORA ALIANÇA DE ENERGIA ELÉTRICA S.A</w:t>
      </w:r>
      <w:r w:rsidRPr="00056862">
        <w:rPr>
          <w:rFonts w:ascii="Arial" w:hAnsi="Arial" w:cs="Arial"/>
          <w:b/>
          <w:sz w:val="20"/>
          <w:szCs w:val="20"/>
        </w:rPr>
        <w:t>.</w:t>
      </w:r>
    </w:p>
    <w:p w14:paraId="33CA00C1" w14:textId="77777777" w:rsidR="00883C1A" w:rsidRDefault="00883C1A" w:rsidP="00883C1A">
      <w:pPr>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2737"/>
        <w:gridCol w:w="2142"/>
        <w:gridCol w:w="3241"/>
      </w:tblGrid>
      <w:tr w:rsidR="00883C1A" w:rsidRPr="00273561" w14:paraId="77BA58DF" w14:textId="77777777" w:rsidTr="00A4059A">
        <w:tc>
          <w:tcPr>
            <w:tcW w:w="5000" w:type="pct"/>
            <w:gridSpan w:val="4"/>
            <w:shd w:val="clear" w:color="auto" w:fill="F2F2F2" w:themeFill="background1" w:themeFillShade="F2"/>
          </w:tcPr>
          <w:p w14:paraId="678BC2BA" w14:textId="77777777" w:rsidR="00883C1A" w:rsidRPr="00A176D8" w:rsidRDefault="00883C1A" w:rsidP="00A4059A">
            <w:pPr>
              <w:pStyle w:val="TabHeading"/>
              <w:jc w:val="center"/>
              <w:rPr>
                <w:color w:val="000000" w:themeColor="text1"/>
                <w:vertAlign w:val="superscript"/>
              </w:rPr>
            </w:pPr>
            <w:r w:rsidRPr="008B53CF">
              <w:rPr>
                <w:rFonts w:cs="Arial"/>
                <w:bCs/>
                <w:color w:val="000000"/>
                <w:sz w:val="20"/>
              </w:rPr>
              <w:t xml:space="preserve">Cronograma de </w:t>
            </w:r>
            <w:r w:rsidRPr="00D342CA">
              <w:rPr>
                <w:rFonts w:cs="Arial"/>
                <w:bCs/>
                <w:color w:val="000000"/>
                <w:sz w:val="20"/>
              </w:rPr>
              <w:t>Amortização Programada</w:t>
            </w:r>
            <w:r w:rsidRPr="00E94E29">
              <w:rPr>
                <w:rFonts w:cs="Arial"/>
                <w:bCs/>
                <w:color w:val="000000"/>
                <w:sz w:val="20"/>
              </w:rPr>
              <w:t xml:space="preserve"> das Debêntures </w:t>
            </w:r>
          </w:p>
        </w:tc>
      </w:tr>
      <w:tr w:rsidR="00883C1A" w:rsidRPr="00273561" w14:paraId="7B2FF6D6" w14:textId="77777777" w:rsidTr="00A4059A">
        <w:tc>
          <w:tcPr>
            <w:tcW w:w="656" w:type="pct"/>
            <w:shd w:val="clear" w:color="auto" w:fill="F2F2F2" w:themeFill="background1" w:themeFillShade="F2"/>
          </w:tcPr>
          <w:p w14:paraId="42F05427" w14:textId="77777777" w:rsidR="00883C1A" w:rsidRPr="00273561" w:rsidRDefault="00883C1A" w:rsidP="00A4059A">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18D940CD" w14:textId="77777777" w:rsidR="00883C1A" w:rsidRPr="00273561" w:rsidRDefault="00883C1A" w:rsidP="00A4059A">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197A9C6" w14:textId="77777777" w:rsidR="00883C1A" w:rsidRPr="00273561" w:rsidRDefault="00883C1A" w:rsidP="00A4059A">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1258FEB4" w14:textId="77777777" w:rsidR="00883C1A" w:rsidRPr="00273561" w:rsidRDefault="00883C1A" w:rsidP="00A4059A">
            <w:pPr>
              <w:pStyle w:val="TabHeading"/>
              <w:jc w:val="center"/>
              <w:rPr>
                <w:color w:val="000000" w:themeColor="text1"/>
                <w:vertAlign w:val="superscript"/>
              </w:rPr>
            </w:pPr>
            <w:r w:rsidRPr="00273561">
              <w:rPr>
                <w:color w:val="000000" w:themeColor="text1"/>
              </w:rPr>
              <w:t xml:space="preserve">Percentual do Valor Nominal </w:t>
            </w:r>
            <w:r>
              <w:t xml:space="preserve">Unitário </w:t>
            </w:r>
            <w:r w:rsidRPr="00273561">
              <w:rPr>
                <w:color w:val="000000" w:themeColor="text1"/>
              </w:rPr>
              <w:t>Atualizado a ser amortizado</w:t>
            </w:r>
            <w:r w:rsidRPr="00273561">
              <w:rPr>
                <w:color w:val="000000" w:themeColor="text1"/>
                <w:vertAlign w:val="superscript"/>
              </w:rPr>
              <w:t>**</w:t>
            </w:r>
          </w:p>
        </w:tc>
      </w:tr>
      <w:tr w:rsidR="00883C1A" w:rsidRPr="00273561" w14:paraId="7EBD68CF" w14:textId="77777777" w:rsidTr="00A4059A">
        <w:tc>
          <w:tcPr>
            <w:tcW w:w="656" w:type="pct"/>
          </w:tcPr>
          <w:p w14:paraId="7A1D5976" w14:textId="77777777" w:rsidR="00883C1A" w:rsidRPr="00273561" w:rsidRDefault="00883C1A" w:rsidP="00A4059A">
            <w:pPr>
              <w:pStyle w:val="TabBody"/>
              <w:rPr>
                <w:b/>
                <w:color w:val="000000" w:themeColor="text1"/>
              </w:rPr>
            </w:pPr>
            <w:r>
              <w:rPr>
                <w:b/>
                <w:color w:val="000000" w:themeColor="text1"/>
              </w:rPr>
              <w:t>1</w:t>
            </w:r>
          </w:p>
        </w:tc>
        <w:tc>
          <w:tcPr>
            <w:tcW w:w="1464" w:type="pct"/>
            <w:vAlign w:val="center"/>
          </w:tcPr>
          <w:p w14:paraId="52FE0F75" w14:textId="77777777" w:rsidR="00883C1A" w:rsidRPr="00757FB6" w:rsidRDefault="00883C1A" w:rsidP="00A4059A">
            <w:pPr>
              <w:pStyle w:val="TabBody"/>
              <w:jc w:val="center"/>
              <w:rPr>
                <w:color w:val="000000" w:themeColor="text1"/>
              </w:rPr>
            </w:pPr>
            <w:r w:rsidRPr="00757FB6">
              <w:rPr>
                <w:color w:val="000000" w:themeColor="text1"/>
                <w:szCs w:val="18"/>
              </w:rPr>
              <w:t>15 de dezembro de 2022</w:t>
            </w:r>
          </w:p>
        </w:tc>
        <w:tc>
          <w:tcPr>
            <w:tcW w:w="1146" w:type="pct"/>
          </w:tcPr>
          <w:p w14:paraId="77A3E4A0" w14:textId="77777777" w:rsidR="00883C1A" w:rsidRPr="009F107A" w:rsidRDefault="00883C1A" w:rsidP="00A4059A">
            <w:pPr>
              <w:pStyle w:val="TabBody"/>
              <w:jc w:val="center"/>
              <w:rPr>
                <w:color w:val="000000" w:themeColor="text1"/>
                <w:szCs w:val="18"/>
              </w:rPr>
            </w:pPr>
            <w:r w:rsidRPr="00757FB6">
              <w:rPr>
                <w:color w:val="000000" w:themeColor="text1"/>
                <w:szCs w:val="18"/>
              </w:rPr>
              <w:t>0,125%</w:t>
            </w:r>
          </w:p>
        </w:tc>
        <w:tc>
          <w:tcPr>
            <w:tcW w:w="1734" w:type="pct"/>
          </w:tcPr>
          <w:p w14:paraId="6586C842" w14:textId="77777777" w:rsidR="00883C1A" w:rsidRPr="00ED4800" w:rsidRDefault="00883C1A" w:rsidP="00A4059A">
            <w:pPr>
              <w:pStyle w:val="TabBody"/>
              <w:jc w:val="center"/>
              <w:rPr>
                <w:color w:val="000000" w:themeColor="text1"/>
                <w:szCs w:val="18"/>
                <w:highlight w:val="yellow"/>
              </w:rPr>
            </w:pPr>
            <w:r w:rsidRPr="00431A9F">
              <w:t>0,1250%</w:t>
            </w:r>
          </w:p>
        </w:tc>
      </w:tr>
      <w:tr w:rsidR="00883C1A" w:rsidRPr="00273561" w14:paraId="651F87E6" w14:textId="77777777" w:rsidTr="00A4059A">
        <w:tc>
          <w:tcPr>
            <w:tcW w:w="656" w:type="pct"/>
          </w:tcPr>
          <w:p w14:paraId="436ACF6D" w14:textId="77777777" w:rsidR="00883C1A" w:rsidRPr="00273561" w:rsidRDefault="00883C1A" w:rsidP="00A4059A">
            <w:pPr>
              <w:pStyle w:val="TabBody"/>
              <w:rPr>
                <w:b/>
                <w:color w:val="000000" w:themeColor="text1"/>
              </w:rPr>
            </w:pPr>
            <w:r>
              <w:rPr>
                <w:b/>
                <w:color w:val="000000" w:themeColor="text1"/>
              </w:rPr>
              <w:t>2</w:t>
            </w:r>
          </w:p>
        </w:tc>
        <w:tc>
          <w:tcPr>
            <w:tcW w:w="1464" w:type="pct"/>
            <w:vAlign w:val="center"/>
          </w:tcPr>
          <w:p w14:paraId="73A456BF" w14:textId="77777777" w:rsidR="00883C1A" w:rsidRPr="00757FB6" w:rsidRDefault="00883C1A" w:rsidP="00A4059A">
            <w:pPr>
              <w:pStyle w:val="TabBody"/>
              <w:jc w:val="center"/>
              <w:rPr>
                <w:color w:val="000000" w:themeColor="text1"/>
                <w:kern w:val="24"/>
              </w:rPr>
            </w:pPr>
            <w:r w:rsidRPr="00757FB6">
              <w:rPr>
                <w:color w:val="000000" w:themeColor="text1"/>
                <w:szCs w:val="18"/>
              </w:rPr>
              <w:t>15 de junho de 2023</w:t>
            </w:r>
          </w:p>
        </w:tc>
        <w:tc>
          <w:tcPr>
            <w:tcW w:w="1146" w:type="pct"/>
          </w:tcPr>
          <w:p w14:paraId="02A0C88A" w14:textId="77777777" w:rsidR="00883C1A" w:rsidRPr="009F107A" w:rsidRDefault="00883C1A" w:rsidP="00A4059A">
            <w:pPr>
              <w:pStyle w:val="TabBody"/>
              <w:jc w:val="center"/>
              <w:rPr>
                <w:color w:val="000000" w:themeColor="text1"/>
                <w:szCs w:val="18"/>
              </w:rPr>
            </w:pPr>
            <w:r w:rsidRPr="004A39F0">
              <w:rPr>
                <w:color w:val="000000" w:themeColor="text1"/>
                <w:szCs w:val="18"/>
              </w:rPr>
              <w:t>0,125%</w:t>
            </w:r>
          </w:p>
        </w:tc>
        <w:tc>
          <w:tcPr>
            <w:tcW w:w="1734" w:type="pct"/>
          </w:tcPr>
          <w:p w14:paraId="6D3A0004" w14:textId="77777777" w:rsidR="00883C1A" w:rsidRPr="009F107A" w:rsidRDefault="00883C1A" w:rsidP="00A4059A">
            <w:pPr>
              <w:pStyle w:val="TabBody"/>
              <w:jc w:val="center"/>
              <w:rPr>
                <w:color w:val="000000" w:themeColor="text1"/>
                <w:szCs w:val="18"/>
              </w:rPr>
            </w:pPr>
            <w:r w:rsidRPr="00431A9F">
              <w:t>0,1252%</w:t>
            </w:r>
          </w:p>
        </w:tc>
      </w:tr>
      <w:tr w:rsidR="00883C1A" w:rsidRPr="00273561" w14:paraId="3B7BC25C" w14:textId="77777777" w:rsidTr="00A4059A">
        <w:tc>
          <w:tcPr>
            <w:tcW w:w="656" w:type="pct"/>
          </w:tcPr>
          <w:p w14:paraId="05AD696F" w14:textId="77777777" w:rsidR="00883C1A" w:rsidRDefault="00883C1A" w:rsidP="00A4059A">
            <w:pPr>
              <w:pStyle w:val="TabBody"/>
              <w:rPr>
                <w:b/>
                <w:color w:val="000000" w:themeColor="text1"/>
              </w:rPr>
            </w:pPr>
            <w:r>
              <w:rPr>
                <w:b/>
                <w:color w:val="000000" w:themeColor="text1"/>
              </w:rPr>
              <w:t>3</w:t>
            </w:r>
          </w:p>
        </w:tc>
        <w:tc>
          <w:tcPr>
            <w:tcW w:w="1464" w:type="pct"/>
            <w:vAlign w:val="center"/>
          </w:tcPr>
          <w:p w14:paraId="68B289DC" w14:textId="77777777" w:rsidR="00883C1A" w:rsidRPr="00757FB6" w:rsidRDefault="00883C1A" w:rsidP="00A4059A">
            <w:pPr>
              <w:pStyle w:val="TabBody"/>
              <w:jc w:val="center"/>
              <w:rPr>
                <w:color w:val="000000" w:themeColor="text1"/>
                <w:szCs w:val="18"/>
              </w:rPr>
            </w:pPr>
            <w:r w:rsidRPr="00757FB6">
              <w:rPr>
                <w:color w:val="000000" w:themeColor="text1"/>
                <w:szCs w:val="18"/>
              </w:rPr>
              <w:t>15 de dezembro de 2023</w:t>
            </w:r>
          </w:p>
        </w:tc>
        <w:tc>
          <w:tcPr>
            <w:tcW w:w="1146" w:type="pct"/>
          </w:tcPr>
          <w:p w14:paraId="245FA227" w14:textId="77777777" w:rsidR="00883C1A" w:rsidRPr="002A1D84" w:rsidRDefault="00883C1A" w:rsidP="00A4059A">
            <w:pPr>
              <w:pStyle w:val="TabBody"/>
              <w:jc w:val="center"/>
              <w:rPr>
                <w:color w:val="000000" w:themeColor="text1"/>
                <w:szCs w:val="18"/>
                <w:highlight w:val="yellow"/>
              </w:rPr>
            </w:pPr>
            <w:r w:rsidRPr="004A39F0">
              <w:rPr>
                <w:color w:val="000000" w:themeColor="text1"/>
                <w:szCs w:val="18"/>
              </w:rPr>
              <w:t>0,125%</w:t>
            </w:r>
          </w:p>
        </w:tc>
        <w:tc>
          <w:tcPr>
            <w:tcW w:w="1734" w:type="pct"/>
          </w:tcPr>
          <w:p w14:paraId="03DC74DC" w14:textId="77777777" w:rsidR="00883C1A" w:rsidRPr="002A1D84" w:rsidRDefault="00883C1A" w:rsidP="00A4059A">
            <w:pPr>
              <w:pStyle w:val="TabBody"/>
              <w:jc w:val="center"/>
              <w:rPr>
                <w:color w:val="000000" w:themeColor="text1"/>
                <w:szCs w:val="18"/>
                <w:highlight w:val="yellow"/>
              </w:rPr>
            </w:pPr>
            <w:r w:rsidRPr="00431A9F">
              <w:t>0,1253%</w:t>
            </w:r>
          </w:p>
        </w:tc>
      </w:tr>
      <w:tr w:rsidR="00883C1A" w:rsidRPr="00273561" w14:paraId="031C64B8" w14:textId="77777777" w:rsidTr="00A4059A">
        <w:tc>
          <w:tcPr>
            <w:tcW w:w="656" w:type="pct"/>
          </w:tcPr>
          <w:p w14:paraId="15DC243B" w14:textId="77777777" w:rsidR="00883C1A" w:rsidRDefault="00883C1A" w:rsidP="00A4059A">
            <w:pPr>
              <w:pStyle w:val="TabBody"/>
              <w:rPr>
                <w:b/>
                <w:color w:val="000000" w:themeColor="text1"/>
              </w:rPr>
            </w:pPr>
            <w:r>
              <w:rPr>
                <w:b/>
                <w:color w:val="000000" w:themeColor="text1"/>
              </w:rPr>
              <w:t>4</w:t>
            </w:r>
          </w:p>
        </w:tc>
        <w:tc>
          <w:tcPr>
            <w:tcW w:w="1464" w:type="pct"/>
            <w:vAlign w:val="center"/>
          </w:tcPr>
          <w:p w14:paraId="3966B8FC"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24</w:t>
            </w:r>
          </w:p>
        </w:tc>
        <w:tc>
          <w:tcPr>
            <w:tcW w:w="1146" w:type="pct"/>
          </w:tcPr>
          <w:p w14:paraId="34D37550" w14:textId="77777777" w:rsidR="00883C1A" w:rsidRPr="002A1D84" w:rsidRDefault="00883C1A" w:rsidP="00A4059A">
            <w:pPr>
              <w:pStyle w:val="TabBody"/>
              <w:jc w:val="center"/>
              <w:rPr>
                <w:color w:val="000000" w:themeColor="text1"/>
                <w:szCs w:val="18"/>
                <w:highlight w:val="yellow"/>
              </w:rPr>
            </w:pPr>
            <w:r w:rsidRPr="004A39F0">
              <w:rPr>
                <w:color w:val="000000" w:themeColor="text1"/>
                <w:szCs w:val="18"/>
              </w:rPr>
              <w:t>0,125%</w:t>
            </w:r>
          </w:p>
        </w:tc>
        <w:tc>
          <w:tcPr>
            <w:tcW w:w="1734" w:type="pct"/>
          </w:tcPr>
          <w:p w14:paraId="2F4848C4" w14:textId="77777777" w:rsidR="00883C1A" w:rsidRPr="002A1D84" w:rsidRDefault="00883C1A" w:rsidP="00A4059A">
            <w:pPr>
              <w:pStyle w:val="TabBody"/>
              <w:jc w:val="center"/>
              <w:rPr>
                <w:color w:val="000000" w:themeColor="text1"/>
                <w:szCs w:val="18"/>
                <w:highlight w:val="yellow"/>
              </w:rPr>
            </w:pPr>
            <w:r w:rsidRPr="00431A9F">
              <w:t>0,1255%</w:t>
            </w:r>
          </w:p>
        </w:tc>
      </w:tr>
      <w:tr w:rsidR="00883C1A" w:rsidRPr="00273561" w14:paraId="5EACF4CC" w14:textId="77777777" w:rsidTr="00A4059A">
        <w:tc>
          <w:tcPr>
            <w:tcW w:w="656" w:type="pct"/>
          </w:tcPr>
          <w:p w14:paraId="73508E54" w14:textId="77777777" w:rsidR="00883C1A" w:rsidRDefault="00883C1A" w:rsidP="00A4059A">
            <w:pPr>
              <w:pStyle w:val="TabBody"/>
              <w:rPr>
                <w:b/>
                <w:color w:val="000000" w:themeColor="text1"/>
              </w:rPr>
            </w:pPr>
            <w:r>
              <w:rPr>
                <w:b/>
                <w:color w:val="000000" w:themeColor="text1"/>
              </w:rPr>
              <w:t>5</w:t>
            </w:r>
          </w:p>
        </w:tc>
        <w:tc>
          <w:tcPr>
            <w:tcW w:w="1464" w:type="pct"/>
            <w:vAlign w:val="center"/>
          </w:tcPr>
          <w:p w14:paraId="74712227"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24</w:t>
            </w:r>
          </w:p>
        </w:tc>
        <w:tc>
          <w:tcPr>
            <w:tcW w:w="1146" w:type="pct"/>
          </w:tcPr>
          <w:p w14:paraId="333829D4" w14:textId="77777777" w:rsidR="00883C1A" w:rsidRPr="002A1D84" w:rsidRDefault="00883C1A" w:rsidP="00A4059A">
            <w:pPr>
              <w:pStyle w:val="TabBody"/>
              <w:jc w:val="center"/>
              <w:rPr>
                <w:color w:val="000000" w:themeColor="text1"/>
                <w:szCs w:val="18"/>
                <w:highlight w:val="yellow"/>
              </w:rPr>
            </w:pPr>
            <w:r w:rsidRPr="004A39F0">
              <w:rPr>
                <w:color w:val="000000" w:themeColor="text1"/>
                <w:szCs w:val="18"/>
              </w:rPr>
              <w:t>0,125%</w:t>
            </w:r>
          </w:p>
        </w:tc>
        <w:tc>
          <w:tcPr>
            <w:tcW w:w="1734" w:type="pct"/>
          </w:tcPr>
          <w:p w14:paraId="0CA98701" w14:textId="77777777" w:rsidR="00883C1A" w:rsidRPr="002A1D84" w:rsidRDefault="00883C1A" w:rsidP="00A4059A">
            <w:pPr>
              <w:pStyle w:val="TabBody"/>
              <w:jc w:val="center"/>
              <w:rPr>
                <w:color w:val="000000" w:themeColor="text1"/>
                <w:szCs w:val="18"/>
                <w:highlight w:val="yellow"/>
              </w:rPr>
            </w:pPr>
            <w:r w:rsidRPr="00431A9F">
              <w:t>0,1256%</w:t>
            </w:r>
          </w:p>
        </w:tc>
      </w:tr>
      <w:tr w:rsidR="00883C1A" w:rsidRPr="00273561" w14:paraId="59B16A9F" w14:textId="77777777" w:rsidTr="00A4059A">
        <w:tc>
          <w:tcPr>
            <w:tcW w:w="656" w:type="pct"/>
          </w:tcPr>
          <w:p w14:paraId="2C38223C" w14:textId="77777777" w:rsidR="00883C1A" w:rsidRDefault="00883C1A" w:rsidP="00A4059A">
            <w:pPr>
              <w:pStyle w:val="TabBody"/>
              <w:rPr>
                <w:b/>
                <w:color w:val="000000" w:themeColor="text1"/>
              </w:rPr>
            </w:pPr>
            <w:r>
              <w:rPr>
                <w:b/>
                <w:color w:val="000000" w:themeColor="text1"/>
              </w:rPr>
              <w:t>6</w:t>
            </w:r>
          </w:p>
        </w:tc>
        <w:tc>
          <w:tcPr>
            <w:tcW w:w="1464" w:type="pct"/>
            <w:vAlign w:val="center"/>
          </w:tcPr>
          <w:p w14:paraId="00860F66"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25</w:t>
            </w:r>
          </w:p>
        </w:tc>
        <w:tc>
          <w:tcPr>
            <w:tcW w:w="1146" w:type="pct"/>
          </w:tcPr>
          <w:p w14:paraId="320966FD" w14:textId="77777777" w:rsidR="00883C1A" w:rsidRPr="002A1D84" w:rsidRDefault="00883C1A" w:rsidP="00A4059A">
            <w:pPr>
              <w:pStyle w:val="TabBody"/>
              <w:jc w:val="center"/>
              <w:rPr>
                <w:color w:val="000000" w:themeColor="text1"/>
                <w:szCs w:val="18"/>
                <w:highlight w:val="yellow"/>
              </w:rPr>
            </w:pPr>
            <w:r w:rsidRPr="004A39F0">
              <w:rPr>
                <w:color w:val="000000" w:themeColor="text1"/>
                <w:szCs w:val="18"/>
              </w:rPr>
              <w:t>0,125%</w:t>
            </w:r>
          </w:p>
        </w:tc>
        <w:tc>
          <w:tcPr>
            <w:tcW w:w="1734" w:type="pct"/>
          </w:tcPr>
          <w:p w14:paraId="2DC0D4D3" w14:textId="77777777" w:rsidR="00883C1A" w:rsidRPr="002A1D84" w:rsidRDefault="00883C1A" w:rsidP="00A4059A">
            <w:pPr>
              <w:pStyle w:val="TabBody"/>
              <w:jc w:val="center"/>
              <w:rPr>
                <w:color w:val="000000" w:themeColor="text1"/>
                <w:szCs w:val="18"/>
                <w:highlight w:val="yellow"/>
              </w:rPr>
            </w:pPr>
            <w:r w:rsidRPr="00431A9F">
              <w:t>0,1258%</w:t>
            </w:r>
          </w:p>
        </w:tc>
      </w:tr>
      <w:tr w:rsidR="00883C1A" w:rsidRPr="00273561" w14:paraId="24D1405E" w14:textId="77777777" w:rsidTr="00A4059A">
        <w:tc>
          <w:tcPr>
            <w:tcW w:w="656" w:type="pct"/>
          </w:tcPr>
          <w:p w14:paraId="06542E4B" w14:textId="77777777" w:rsidR="00883C1A" w:rsidRDefault="00883C1A" w:rsidP="00A4059A">
            <w:pPr>
              <w:pStyle w:val="TabBody"/>
              <w:rPr>
                <w:b/>
                <w:color w:val="000000" w:themeColor="text1"/>
              </w:rPr>
            </w:pPr>
            <w:r>
              <w:rPr>
                <w:b/>
                <w:color w:val="000000" w:themeColor="text1"/>
              </w:rPr>
              <w:t>7</w:t>
            </w:r>
          </w:p>
        </w:tc>
        <w:tc>
          <w:tcPr>
            <w:tcW w:w="1464" w:type="pct"/>
            <w:vAlign w:val="center"/>
          </w:tcPr>
          <w:p w14:paraId="6680AAD7"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5</w:t>
            </w:r>
          </w:p>
        </w:tc>
        <w:tc>
          <w:tcPr>
            <w:tcW w:w="1146" w:type="pct"/>
          </w:tcPr>
          <w:p w14:paraId="7126F1C3" w14:textId="77777777" w:rsidR="00883C1A" w:rsidRPr="002A1D84" w:rsidRDefault="00883C1A" w:rsidP="00A4059A">
            <w:pPr>
              <w:pStyle w:val="TabBody"/>
              <w:jc w:val="center"/>
              <w:rPr>
                <w:color w:val="000000" w:themeColor="text1"/>
                <w:szCs w:val="18"/>
                <w:highlight w:val="yellow"/>
              </w:rPr>
            </w:pPr>
            <w:r w:rsidRPr="004A39F0">
              <w:rPr>
                <w:color w:val="000000" w:themeColor="text1"/>
                <w:szCs w:val="18"/>
              </w:rPr>
              <w:t>0,125%</w:t>
            </w:r>
          </w:p>
        </w:tc>
        <w:tc>
          <w:tcPr>
            <w:tcW w:w="1734" w:type="pct"/>
          </w:tcPr>
          <w:p w14:paraId="7E15C91C" w14:textId="77777777" w:rsidR="00883C1A" w:rsidRPr="002A1D84" w:rsidRDefault="00883C1A" w:rsidP="00A4059A">
            <w:pPr>
              <w:pStyle w:val="TabBody"/>
              <w:jc w:val="center"/>
              <w:rPr>
                <w:color w:val="000000" w:themeColor="text1"/>
                <w:szCs w:val="18"/>
                <w:highlight w:val="yellow"/>
              </w:rPr>
            </w:pPr>
            <w:r w:rsidRPr="00431A9F">
              <w:t>0,1259%</w:t>
            </w:r>
          </w:p>
        </w:tc>
      </w:tr>
      <w:tr w:rsidR="00883C1A" w:rsidRPr="00273561" w14:paraId="1186ED06" w14:textId="77777777" w:rsidTr="00A4059A">
        <w:tc>
          <w:tcPr>
            <w:tcW w:w="656" w:type="pct"/>
          </w:tcPr>
          <w:p w14:paraId="0A9F201B" w14:textId="77777777" w:rsidR="00883C1A" w:rsidRDefault="00883C1A" w:rsidP="00A4059A">
            <w:pPr>
              <w:pStyle w:val="TabBody"/>
              <w:rPr>
                <w:b/>
                <w:color w:val="000000" w:themeColor="text1"/>
              </w:rPr>
            </w:pPr>
            <w:r>
              <w:rPr>
                <w:b/>
                <w:color w:val="000000" w:themeColor="text1"/>
              </w:rPr>
              <w:t>8</w:t>
            </w:r>
          </w:p>
        </w:tc>
        <w:tc>
          <w:tcPr>
            <w:tcW w:w="1464" w:type="pct"/>
            <w:vAlign w:val="center"/>
          </w:tcPr>
          <w:p w14:paraId="159F6A01"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6</w:t>
            </w:r>
          </w:p>
        </w:tc>
        <w:tc>
          <w:tcPr>
            <w:tcW w:w="1146" w:type="pct"/>
          </w:tcPr>
          <w:p w14:paraId="1FB252B3" w14:textId="77777777" w:rsidR="00883C1A" w:rsidRPr="002A1D84" w:rsidRDefault="00883C1A" w:rsidP="00A4059A">
            <w:pPr>
              <w:pStyle w:val="TabBody"/>
              <w:jc w:val="center"/>
              <w:rPr>
                <w:color w:val="000000" w:themeColor="text1"/>
                <w:szCs w:val="18"/>
                <w:highlight w:val="yellow"/>
              </w:rPr>
            </w:pPr>
            <w:r w:rsidRPr="00757FB6">
              <w:rPr>
                <w:color w:val="000000" w:themeColor="text1"/>
                <w:szCs w:val="18"/>
              </w:rPr>
              <w:t>0,250%</w:t>
            </w:r>
          </w:p>
        </w:tc>
        <w:tc>
          <w:tcPr>
            <w:tcW w:w="1734" w:type="pct"/>
          </w:tcPr>
          <w:p w14:paraId="171B688F" w14:textId="77777777" w:rsidR="00883C1A" w:rsidRPr="002A1D84" w:rsidRDefault="00883C1A" w:rsidP="00A4059A">
            <w:pPr>
              <w:pStyle w:val="TabBody"/>
              <w:jc w:val="center"/>
              <w:rPr>
                <w:color w:val="000000" w:themeColor="text1"/>
                <w:szCs w:val="18"/>
                <w:highlight w:val="yellow"/>
              </w:rPr>
            </w:pPr>
            <w:r w:rsidRPr="00431A9F">
              <w:t>0,2522%</w:t>
            </w:r>
          </w:p>
        </w:tc>
      </w:tr>
      <w:tr w:rsidR="00883C1A" w:rsidRPr="00273561" w14:paraId="15188D99" w14:textId="77777777" w:rsidTr="00A4059A">
        <w:tc>
          <w:tcPr>
            <w:tcW w:w="656" w:type="pct"/>
          </w:tcPr>
          <w:p w14:paraId="003FC611" w14:textId="77777777" w:rsidR="00883C1A" w:rsidRDefault="00883C1A" w:rsidP="00A4059A">
            <w:pPr>
              <w:pStyle w:val="TabBody"/>
              <w:rPr>
                <w:b/>
                <w:color w:val="000000" w:themeColor="text1"/>
              </w:rPr>
            </w:pPr>
            <w:r>
              <w:rPr>
                <w:b/>
                <w:color w:val="000000" w:themeColor="text1"/>
              </w:rPr>
              <w:t>9</w:t>
            </w:r>
          </w:p>
        </w:tc>
        <w:tc>
          <w:tcPr>
            <w:tcW w:w="1464" w:type="pct"/>
            <w:vAlign w:val="center"/>
          </w:tcPr>
          <w:p w14:paraId="299E2736"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6</w:t>
            </w:r>
          </w:p>
        </w:tc>
        <w:tc>
          <w:tcPr>
            <w:tcW w:w="1146" w:type="pct"/>
          </w:tcPr>
          <w:p w14:paraId="3352FC77" w14:textId="77777777" w:rsidR="00883C1A" w:rsidRPr="002A1D84" w:rsidRDefault="00883C1A" w:rsidP="00A4059A">
            <w:pPr>
              <w:pStyle w:val="TabBody"/>
              <w:jc w:val="center"/>
              <w:rPr>
                <w:color w:val="000000" w:themeColor="text1"/>
                <w:szCs w:val="18"/>
                <w:highlight w:val="yellow"/>
              </w:rPr>
            </w:pPr>
            <w:r w:rsidRPr="008A1EFD">
              <w:rPr>
                <w:color w:val="000000" w:themeColor="text1"/>
                <w:szCs w:val="18"/>
              </w:rPr>
              <w:t>0,250%</w:t>
            </w:r>
          </w:p>
        </w:tc>
        <w:tc>
          <w:tcPr>
            <w:tcW w:w="1734" w:type="pct"/>
          </w:tcPr>
          <w:p w14:paraId="11AC2BCA" w14:textId="77777777" w:rsidR="00883C1A" w:rsidRPr="002A1D84" w:rsidRDefault="00883C1A" w:rsidP="00A4059A">
            <w:pPr>
              <w:pStyle w:val="TabBody"/>
              <w:jc w:val="center"/>
              <w:rPr>
                <w:color w:val="000000" w:themeColor="text1"/>
                <w:szCs w:val="18"/>
                <w:highlight w:val="yellow"/>
              </w:rPr>
            </w:pPr>
            <w:r w:rsidRPr="00431A9F">
              <w:t>0,2528%</w:t>
            </w:r>
          </w:p>
        </w:tc>
      </w:tr>
      <w:tr w:rsidR="00883C1A" w:rsidRPr="00273561" w14:paraId="49744D7E" w14:textId="77777777" w:rsidTr="00A4059A">
        <w:tc>
          <w:tcPr>
            <w:tcW w:w="656" w:type="pct"/>
          </w:tcPr>
          <w:p w14:paraId="69FCD64F" w14:textId="77777777" w:rsidR="00883C1A" w:rsidRDefault="00883C1A" w:rsidP="00A4059A">
            <w:pPr>
              <w:pStyle w:val="TabBody"/>
              <w:rPr>
                <w:b/>
                <w:color w:val="000000" w:themeColor="text1"/>
              </w:rPr>
            </w:pPr>
            <w:r>
              <w:rPr>
                <w:b/>
                <w:color w:val="000000" w:themeColor="text1"/>
              </w:rPr>
              <w:t>10</w:t>
            </w:r>
          </w:p>
        </w:tc>
        <w:tc>
          <w:tcPr>
            <w:tcW w:w="1464" w:type="pct"/>
            <w:vAlign w:val="center"/>
          </w:tcPr>
          <w:p w14:paraId="23B68997"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7</w:t>
            </w:r>
          </w:p>
        </w:tc>
        <w:tc>
          <w:tcPr>
            <w:tcW w:w="1146" w:type="pct"/>
          </w:tcPr>
          <w:p w14:paraId="2CC9271F" w14:textId="77777777" w:rsidR="00883C1A" w:rsidRPr="002A1D84" w:rsidRDefault="00883C1A" w:rsidP="00A4059A">
            <w:pPr>
              <w:pStyle w:val="TabBody"/>
              <w:jc w:val="center"/>
              <w:rPr>
                <w:color w:val="000000" w:themeColor="text1"/>
                <w:szCs w:val="18"/>
                <w:highlight w:val="yellow"/>
              </w:rPr>
            </w:pPr>
            <w:r w:rsidRPr="008A1EFD">
              <w:rPr>
                <w:color w:val="000000" w:themeColor="text1"/>
                <w:szCs w:val="18"/>
              </w:rPr>
              <w:t>0,250%</w:t>
            </w:r>
          </w:p>
        </w:tc>
        <w:tc>
          <w:tcPr>
            <w:tcW w:w="1734" w:type="pct"/>
          </w:tcPr>
          <w:p w14:paraId="3BEE8BC1" w14:textId="77777777" w:rsidR="00883C1A" w:rsidRPr="002A1D84" w:rsidRDefault="00883C1A" w:rsidP="00A4059A">
            <w:pPr>
              <w:pStyle w:val="TabBody"/>
              <w:jc w:val="center"/>
              <w:rPr>
                <w:color w:val="000000" w:themeColor="text1"/>
                <w:szCs w:val="18"/>
                <w:highlight w:val="yellow"/>
              </w:rPr>
            </w:pPr>
            <w:r w:rsidRPr="00431A9F">
              <w:t>0,2535%</w:t>
            </w:r>
          </w:p>
        </w:tc>
      </w:tr>
      <w:tr w:rsidR="00883C1A" w:rsidRPr="00273561" w14:paraId="5004C63B" w14:textId="77777777" w:rsidTr="00A4059A">
        <w:tc>
          <w:tcPr>
            <w:tcW w:w="656" w:type="pct"/>
          </w:tcPr>
          <w:p w14:paraId="0DCDC793" w14:textId="77777777" w:rsidR="00883C1A" w:rsidRDefault="00883C1A" w:rsidP="00A4059A">
            <w:pPr>
              <w:pStyle w:val="TabBody"/>
              <w:rPr>
                <w:b/>
                <w:color w:val="000000" w:themeColor="text1"/>
              </w:rPr>
            </w:pPr>
            <w:r>
              <w:rPr>
                <w:b/>
                <w:color w:val="000000" w:themeColor="text1"/>
              </w:rPr>
              <w:t>11</w:t>
            </w:r>
          </w:p>
        </w:tc>
        <w:tc>
          <w:tcPr>
            <w:tcW w:w="1464" w:type="pct"/>
            <w:vAlign w:val="center"/>
          </w:tcPr>
          <w:p w14:paraId="2A6DFBF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7</w:t>
            </w:r>
          </w:p>
        </w:tc>
        <w:tc>
          <w:tcPr>
            <w:tcW w:w="1146" w:type="pct"/>
          </w:tcPr>
          <w:p w14:paraId="5868EB7B" w14:textId="77777777" w:rsidR="00883C1A" w:rsidRPr="002A1D84" w:rsidRDefault="00883C1A" w:rsidP="00A4059A">
            <w:pPr>
              <w:pStyle w:val="TabBody"/>
              <w:jc w:val="center"/>
              <w:rPr>
                <w:color w:val="000000" w:themeColor="text1"/>
                <w:szCs w:val="18"/>
                <w:highlight w:val="yellow"/>
              </w:rPr>
            </w:pPr>
            <w:r w:rsidRPr="008A1EFD">
              <w:rPr>
                <w:color w:val="000000" w:themeColor="text1"/>
                <w:szCs w:val="18"/>
              </w:rPr>
              <w:t>0,250%</w:t>
            </w:r>
          </w:p>
        </w:tc>
        <w:tc>
          <w:tcPr>
            <w:tcW w:w="1734" w:type="pct"/>
          </w:tcPr>
          <w:p w14:paraId="4C1EADF7" w14:textId="77777777" w:rsidR="00883C1A" w:rsidRPr="002A1D84" w:rsidRDefault="00883C1A" w:rsidP="00A4059A">
            <w:pPr>
              <w:pStyle w:val="TabBody"/>
              <w:jc w:val="center"/>
              <w:rPr>
                <w:color w:val="000000" w:themeColor="text1"/>
                <w:szCs w:val="18"/>
                <w:highlight w:val="yellow"/>
              </w:rPr>
            </w:pPr>
            <w:r w:rsidRPr="00431A9F">
              <w:t>0,2541%</w:t>
            </w:r>
          </w:p>
        </w:tc>
      </w:tr>
      <w:tr w:rsidR="00883C1A" w:rsidRPr="00273561" w14:paraId="2C84D19E" w14:textId="77777777" w:rsidTr="00A4059A">
        <w:tc>
          <w:tcPr>
            <w:tcW w:w="656" w:type="pct"/>
          </w:tcPr>
          <w:p w14:paraId="623595AE" w14:textId="77777777" w:rsidR="00883C1A" w:rsidRDefault="00883C1A" w:rsidP="00A4059A">
            <w:pPr>
              <w:pStyle w:val="TabBody"/>
              <w:rPr>
                <w:b/>
                <w:color w:val="000000" w:themeColor="text1"/>
              </w:rPr>
            </w:pPr>
            <w:r>
              <w:rPr>
                <w:b/>
                <w:color w:val="000000" w:themeColor="text1"/>
              </w:rPr>
              <w:t>12</w:t>
            </w:r>
          </w:p>
        </w:tc>
        <w:tc>
          <w:tcPr>
            <w:tcW w:w="1464" w:type="pct"/>
            <w:vAlign w:val="center"/>
          </w:tcPr>
          <w:p w14:paraId="3CBC22A8"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8</w:t>
            </w:r>
          </w:p>
        </w:tc>
        <w:tc>
          <w:tcPr>
            <w:tcW w:w="1146" w:type="pct"/>
          </w:tcPr>
          <w:p w14:paraId="188A56D5" w14:textId="77777777" w:rsidR="00883C1A" w:rsidRPr="002A1D84" w:rsidRDefault="00883C1A" w:rsidP="00A4059A">
            <w:pPr>
              <w:pStyle w:val="TabBody"/>
              <w:jc w:val="center"/>
              <w:rPr>
                <w:color w:val="000000" w:themeColor="text1"/>
                <w:szCs w:val="18"/>
                <w:highlight w:val="yellow"/>
              </w:rPr>
            </w:pPr>
            <w:r w:rsidRPr="008A1EFD">
              <w:rPr>
                <w:color w:val="000000" w:themeColor="text1"/>
                <w:szCs w:val="18"/>
              </w:rPr>
              <w:t>0,250%</w:t>
            </w:r>
          </w:p>
        </w:tc>
        <w:tc>
          <w:tcPr>
            <w:tcW w:w="1734" w:type="pct"/>
          </w:tcPr>
          <w:p w14:paraId="0E31EE04" w14:textId="77777777" w:rsidR="00883C1A" w:rsidRPr="002A1D84" w:rsidRDefault="00883C1A" w:rsidP="00A4059A">
            <w:pPr>
              <w:pStyle w:val="TabBody"/>
              <w:jc w:val="center"/>
              <w:rPr>
                <w:color w:val="000000" w:themeColor="text1"/>
                <w:szCs w:val="18"/>
                <w:highlight w:val="yellow"/>
              </w:rPr>
            </w:pPr>
            <w:r w:rsidRPr="00431A9F">
              <w:t>0,2548%</w:t>
            </w:r>
          </w:p>
        </w:tc>
      </w:tr>
      <w:tr w:rsidR="00883C1A" w:rsidRPr="00273561" w14:paraId="5BC0D6E4" w14:textId="77777777" w:rsidTr="00A4059A">
        <w:tc>
          <w:tcPr>
            <w:tcW w:w="656" w:type="pct"/>
          </w:tcPr>
          <w:p w14:paraId="7E6A5CC8" w14:textId="77777777" w:rsidR="00883C1A" w:rsidRDefault="00883C1A" w:rsidP="00A4059A">
            <w:pPr>
              <w:pStyle w:val="TabBody"/>
              <w:rPr>
                <w:b/>
                <w:color w:val="000000" w:themeColor="text1"/>
              </w:rPr>
            </w:pPr>
            <w:r>
              <w:rPr>
                <w:b/>
                <w:color w:val="000000" w:themeColor="text1"/>
              </w:rPr>
              <w:t>13</w:t>
            </w:r>
          </w:p>
        </w:tc>
        <w:tc>
          <w:tcPr>
            <w:tcW w:w="1464" w:type="pct"/>
            <w:vAlign w:val="center"/>
          </w:tcPr>
          <w:p w14:paraId="5176624F"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8</w:t>
            </w:r>
          </w:p>
        </w:tc>
        <w:tc>
          <w:tcPr>
            <w:tcW w:w="1146" w:type="pct"/>
          </w:tcPr>
          <w:p w14:paraId="45A66211" w14:textId="77777777" w:rsidR="00883C1A" w:rsidRPr="002A1D84" w:rsidRDefault="00883C1A" w:rsidP="00A4059A">
            <w:pPr>
              <w:pStyle w:val="TabBody"/>
              <w:jc w:val="center"/>
              <w:rPr>
                <w:color w:val="000000" w:themeColor="text1"/>
                <w:szCs w:val="18"/>
                <w:highlight w:val="yellow"/>
              </w:rPr>
            </w:pPr>
            <w:r w:rsidRPr="008A1EFD">
              <w:rPr>
                <w:color w:val="000000" w:themeColor="text1"/>
                <w:szCs w:val="18"/>
              </w:rPr>
              <w:t>0,250%</w:t>
            </w:r>
          </w:p>
        </w:tc>
        <w:tc>
          <w:tcPr>
            <w:tcW w:w="1734" w:type="pct"/>
          </w:tcPr>
          <w:p w14:paraId="1B0CF933" w14:textId="77777777" w:rsidR="00883C1A" w:rsidRPr="002A1D84" w:rsidRDefault="00883C1A" w:rsidP="00A4059A">
            <w:pPr>
              <w:pStyle w:val="TabBody"/>
              <w:jc w:val="center"/>
              <w:rPr>
                <w:color w:val="000000" w:themeColor="text1"/>
                <w:szCs w:val="18"/>
                <w:highlight w:val="yellow"/>
              </w:rPr>
            </w:pPr>
            <w:r w:rsidRPr="00431A9F">
              <w:t>0,2554%</w:t>
            </w:r>
          </w:p>
        </w:tc>
      </w:tr>
      <w:tr w:rsidR="00883C1A" w:rsidRPr="00273561" w14:paraId="51CEFAA8" w14:textId="77777777" w:rsidTr="00A4059A">
        <w:tc>
          <w:tcPr>
            <w:tcW w:w="656" w:type="pct"/>
          </w:tcPr>
          <w:p w14:paraId="1000DFF8" w14:textId="77777777" w:rsidR="00883C1A" w:rsidRDefault="00883C1A" w:rsidP="00A4059A">
            <w:pPr>
              <w:pStyle w:val="TabBody"/>
              <w:rPr>
                <w:b/>
                <w:color w:val="000000" w:themeColor="text1"/>
              </w:rPr>
            </w:pPr>
            <w:r>
              <w:rPr>
                <w:b/>
                <w:color w:val="000000" w:themeColor="text1"/>
              </w:rPr>
              <w:t>14</w:t>
            </w:r>
          </w:p>
        </w:tc>
        <w:tc>
          <w:tcPr>
            <w:tcW w:w="1464" w:type="pct"/>
            <w:vAlign w:val="center"/>
          </w:tcPr>
          <w:p w14:paraId="0C9CD93B"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202</w:t>
            </w:r>
            <w:r>
              <w:rPr>
                <w:color w:val="000000" w:themeColor="text1"/>
                <w:szCs w:val="18"/>
              </w:rPr>
              <w:t>9</w:t>
            </w:r>
          </w:p>
        </w:tc>
        <w:tc>
          <w:tcPr>
            <w:tcW w:w="1146" w:type="pct"/>
          </w:tcPr>
          <w:p w14:paraId="78465F62" w14:textId="77777777" w:rsidR="00883C1A" w:rsidRPr="00757FB6" w:rsidRDefault="00883C1A" w:rsidP="00A4059A">
            <w:pPr>
              <w:pStyle w:val="TabBody"/>
              <w:jc w:val="center"/>
              <w:rPr>
                <w:color w:val="000000" w:themeColor="text1"/>
                <w:szCs w:val="18"/>
              </w:rPr>
            </w:pPr>
            <w:r w:rsidRPr="008A1EFD">
              <w:rPr>
                <w:color w:val="000000" w:themeColor="text1"/>
                <w:szCs w:val="18"/>
              </w:rPr>
              <w:t>0,250%</w:t>
            </w:r>
          </w:p>
        </w:tc>
        <w:tc>
          <w:tcPr>
            <w:tcW w:w="1734" w:type="pct"/>
          </w:tcPr>
          <w:p w14:paraId="3EC62039" w14:textId="77777777" w:rsidR="00883C1A" w:rsidRPr="002A1D84" w:rsidRDefault="00883C1A" w:rsidP="00A4059A">
            <w:pPr>
              <w:pStyle w:val="TabBody"/>
              <w:jc w:val="center"/>
              <w:rPr>
                <w:color w:val="000000" w:themeColor="text1"/>
                <w:szCs w:val="18"/>
                <w:highlight w:val="yellow"/>
              </w:rPr>
            </w:pPr>
            <w:r w:rsidRPr="00431A9F">
              <w:t>0,2561%</w:t>
            </w:r>
          </w:p>
        </w:tc>
      </w:tr>
      <w:tr w:rsidR="00883C1A" w:rsidRPr="00273561" w14:paraId="6FC77AF6" w14:textId="77777777" w:rsidTr="00A4059A">
        <w:tc>
          <w:tcPr>
            <w:tcW w:w="656" w:type="pct"/>
          </w:tcPr>
          <w:p w14:paraId="0C72D19B" w14:textId="77777777" w:rsidR="00883C1A" w:rsidRDefault="00883C1A" w:rsidP="00A4059A">
            <w:pPr>
              <w:pStyle w:val="TabBody"/>
              <w:rPr>
                <w:b/>
                <w:color w:val="000000" w:themeColor="text1"/>
              </w:rPr>
            </w:pPr>
            <w:r>
              <w:rPr>
                <w:b/>
                <w:color w:val="000000" w:themeColor="text1"/>
              </w:rPr>
              <w:t>15</w:t>
            </w:r>
          </w:p>
        </w:tc>
        <w:tc>
          <w:tcPr>
            <w:tcW w:w="1464" w:type="pct"/>
            <w:vAlign w:val="center"/>
          </w:tcPr>
          <w:p w14:paraId="2BDFE13B"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202</w:t>
            </w:r>
            <w:r>
              <w:rPr>
                <w:color w:val="000000" w:themeColor="text1"/>
                <w:szCs w:val="18"/>
              </w:rPr>
              <w:t>9</w:t>
            </w:r>
          </w:p>
        </w:tc>
        <w:tc>
          <w:tcPr>
            <w:tcW w:w="1146" w:type="pct"/>
          </w:tcPr>
          <w:p w14:paraId="46D05792" w14:textId="77777777" w:rsidR="00883C1A" w:rsidRPr="00757FB6" w:rsidRDefault="00883C1A" w:rsidP="00A4059A">
            <w:pPr>
              <w:pStyle w:val="TabBody"/>
              <w:jc w:val="center"/>
              <w:rPr>
                <w:color w:val="000000" w:themeColor="text1"/>
                <w:szCs w:val="18"/>
              </w:rPr>
            </w:pPr>
            <w:r w:rsidRPr="00757FB6">
              <w:rPr>
                <w:color w:val="000000" w:themeColor="text1"/>
                <w:szCs w:val="18"/>
              </w:rPr>
              <w:t>2,250%</w:t>
            </w:r>
          </w:p>
        </w:tc>
        <w:tc>
          <w:tcPr>
            <w:tcW w:w="1734" w:type="pct"/>
          </w:tcPr>
          <w:p w14:paraId="41BC4C4A" w14:textId="77777777" w:rsidR="00883C1A" w:rsidRPr="002A1D84" w:rsidRDefault="00883C1A" w:rsidP="00A4059A">
            <w:pPr>
              <w:pStyle w:val="TabBody"/>
              <w:jc w:val="center"/>
              <w:rPr>
                <w:color w:val="000000" w:themeColor="text1"/>
                <w:szCs w:val="18"/>
                <w:highlight w:val="yellow"/>
              </w:rPr>
            </w:pPr>
            <w:r w:rsidRPr="00431A9F">
              <w:t>2,3107%</w:t>
            </w:r>
          </w:p>
        </w:tc>
      </w:tr>
      <w:tr w:rsidR="00883C1A" w:rsidRPr="00273561" w14:paraId="7FCF77A6" w14:textId="77777777" w:rsidTr="00A4059A">
        <w:tc>
          <w:tcPr>
            <w:tcW w:w="656" w:type="pct"/>
          </w:tcPr>
          <w:p w14:paraId="52C52587" w14:textId="77777777" w:rsidR="00883C1A" w:rsidRDefault="00883C1A" w:rsidP="00A4059A">
            <w:pPr>
              <w:pStyle w:val="TabBody"/>
              <w:rPr>
                <w:b/>
                <w:color w:val="000000" w:themeColor="text1"/>
              </w:rPr>
            </w:pPr>
            <w:r>
              <w:rPr>
                <w:b/>
                <w:color w:val="000000" w:themeColor="text1"/>
              </w:rPr>
              <w:t>16</w:t>
            </w:r>
          </w:p>
        </w:tc>
        <w:tc>
          <w:tcPr>
            <w:tcW w:w="1464" w:type="pct"/>
            <w:vAlign w:val="center"/>
          </w:tcPr>
          <w:p w14:paraId="703D971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30</w:t>
            </w:r>
          </w:p>
        </w:tc>
        <w:tc>
          <w:tcPr>
            <w:tcW w:w="1146" w:type="pct"/>
          </w:tcPr>
          <w:p w14:paraId="05DB2308" w14:textId="77777777" w:rsidR="00883C1A" w:rsidRPr="00757FB6" w:rsidRDefault="00883C1A" w:rsidP="00A4059A">
            <w:pPr>
              <w:pStyle w:val="TabBody"/>
              <w:jc w:val="center"/>
              <w:rPr>
                <w:color w:val="000000" w:themeColor="text1"/>
                <w:szCs w:val="18"/>
              </w:rPr>
            </w:pPr>
            <w:r w:rsidRPr="00757FB6">
              <w:rPr>
                <w:color w:val="000000" w:themeColor="text1"/>
                <w:szCs w:val="18"/>
              </w:rPr>
              <w:t>2,250%</w:t>
            </w:r>
          </w:p>
        </w:tc>
        <w:tc>
          <w:tcPr>
            <w:tcW w:w="1734" w:type="pct"/>
          </w:tcPr>
          <w:p w14:paraId="42DBA82C" w14:textId="77777777" w:rsidR="00883C1A" w:rsidRPr="002A1D84" w:rsidRDefault="00883C1A" w:rsidP="00A4059A">
            <w:pPr>
              <w:pStyle w:val="TabBody"/>
              <w:jc w:val="center"/>
              <w:rPr>
                <w:color w:val="000000" w:themeColor="text1"/>
                <w:szCs w:val="18"/>
                <w:highlight w:val="yellow"/>
              </w:rPr>
            </w:pPr>
            <w:r w:rsidRPr="00431A9F">
              <w:t>2,3653%</w:t>
            </w:r>
          </w:p>
        </w:tc>
      </w:tr>
      <w:tr w:rsidR="00883C1A" w:rsidRPr="00273561" w14:paraId="3E076D43" w14:textId="77777777" w:rsidTr="00A4059A">
        <w:tc>
          <w:tcPr>
            <w:tcW w:w="656" w:type="pct"/>
          </w:tcPr>
          <w:p w14:paraId="552E0913" w14:textId="77777777" w:rsidR="00883C1A" w:rsidRDefault="00883C1A" w:rsidP="00A4059A">
            <w:pPr>
              <w:pStyle w:val="TabBody"/>
              <w:rPr>
                <w:b/>
                <w:color w:val="000000" w:themeColor="text1"/>
              </w:rPr>
            </w:pPr>
            <w:r>
              <w:rPr>
                <w:b/>
                <w:color w:val="000000" w:themeColor="text1"/>
              </w:rPr>
              <w:t>17</w:t>
            </w:r>
          </w:p>
        </w:tc>
        <w:tc>
          <w:tcPr>
            <w:tcW w:w="1464" w:type="pct"/>
            <w:vAlign w:val="center"/>
          </w:tcPr>
          <w:p w14:paraId="621EFBC9"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30</w:t>
            </w:r>
          </w:p>
        </w:tc>
        <w:tc>
          <w:tcPr>
            <w:tcW w:w="1146" w:type="pct"/>
          </w:tcPr>
          <w:p w14:paraId="59AE3EB6" w14:textId="77777777" w:rsidR="00883C1A" w:rsidRPr="00757FB6" w:rsidRDefault="00883C1A" w:rsidP="00A4059A">
            <w:pPr>
              <w:pStyle w:val="TabBody"/>
              <w:jc w:val="center"/>
              <w:rPr>
                <w:color w:val="000000" w:themeColor="text1"/>
                <w:szCs w:val="18"/>
              </w:rPr>
            </w:pPr>
            <w:r w:rsidRPr="00757FB6">
              <w:rPr>
                <w:color w:val="000000" w:themeColor="text1"/>
                <w:szCs w:val="18"/>
              </w:rPr>
              <w:t>2,375%</w:t>
            </w:r>
          </w:p>
        </w:tc>
        <w:tc>
          <w:tcPr>
            <w:tcW w:w="1734" w:type="pct"/>
          </w:tcPr>
          <w:p w14:paraId="0CA8AD27" w14:textId="77777777" w:rsidR="00883C1A" w:rsidRPr="002A1D84" w:rsidRDefault="00883C1A" w:rsidP="00A4059A">
            <w:pPr>
              <w:pStyle w:val="TabBody"/>
              <w:jc w:val="center"/>
              <w:rPr>
                <w:color w:val="000000" w:themeColor="text1"/>
                <w:szCs w:val="18"/>
                <w:highlight w:val="yellow"/>
              </w:rPr>
            </w:pPr>
            <w:r w:rsidRPr="00431A9F">
              <w:t>2,5572%</w:t>
            </w:r>
          </w:p>
        </w:tc>
      </w:tr>
      <w:tr w:rsidR="00883C1A" w:rsidRPr="00273561" w14:paraId="0B335C27" w14:textId="77777777" w:rsidTr="00A4059A">
        <w:tc>
          <w:tcPr>
            <w:tcW w:w="656" w:type="pct"/>
          </w:tcPr>
          <w:p w14:paraId="3DF770BE" w14:textId="77777777" w:rsidR="00883C1A" w:rsidRDefault="00883C1A" w:rsidP="00A4059A">
            <w:pPr>
              <w:pStyle w:val="TabBody"/>
              <w:rPr>
                <w:b/>
                <w:color w:val="000000" w:themeColor="text1"/>
              </w:rPr>
            </w:pPr>
            <w:r>
              <w:rPr>
                <w:b/>
                <w:color w:val="000000" w:themeColor="text1"/>
              </w:rPr>
              <w:t>18</w:t>
            </w:r>
          </w:p>
        </w:tc>
        <w:tc>
          <w:tcPr>
            <w:tcW w:w="1464" w:type="pct"/>
            <w:vAlign w:val="center"/>
          </w:tcPr>
          <w:p w14:paraId="58ACF4DA"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31</w:t>
            </w:r>
          </w:p>
        </w:tc>
        <w:tc>
          <w:tcPr>
            <w:tcW w:w="1146" w:type="pct"/>
          </w:tcPr>
          <w:p w14:paraId="7E3A2223" w14:textId="77777777" w:rsidR="00883C1A" w:rsidRPr="00757FB6" w:rsidRDefault="00883C1A" w:rsidP="00A4059A">
            <w:pPr>
              <w:pStyle w:val="TabBody"/>
              <w:jc w:val="center"/>
              <w:rPr>
                <w:color w:val="000000" w:themeColor="text1"/>
                <w:szCs w:val="18"/>
              </w:rPr>
            </w:pPr>
            <w:r w:rsidRPr="00757FB6">
              <w:rPr>
                <w:color w:val="000000" w:themeColor="text1"/>
                <w:szCs w:val="18"/>
              </w:rPr>
              <w:t>2,375%</w:t>
            </w:r>
          </w:p>
        </w:tc>
        <w:tc>
          <w:tcPr>
            <w:tcW w:w="1734" w:type="pct"/>
          </w:tcPr>
          <w:p w14:paraId="173C9BD8" w14:textId="77777777" w:rsidR="00883C1A" w:rsidRPr="002A1D84" w:rsidRDefault="00883C1A" w:rsidP="00A4059A">
            <w:pPr>
              <w:pStyle w:val="TabBody"/>
              <w:jc w:val="center"/>
              <w:rPr>
                <w:color w:val="000000" w:themeColor="text1"/>
                <w:szCs w:val="18"/>
                <w:highlight w:val="yellow"/>
              </w:rPr>
            </w:pPr>
            <w:r w:rsidRPr="00431A9F">
              <w:t>2,6243%</w:t>
            </w:r>
          </w:p>
        </w:tc>
      </w:tr>
      <w:tr w:rsidR="00883C1A" w:rsidRPr="00273561" w14:paraId="3409B308" w14:textId="77777777" w:rsidTr="00A4059A">
        <w:tc>
          <w:tcPr>
            <w:tcW w:w="656" w:type="pct"/>
          </w:tcPr>
          <w:p w14:paraId="4C62FDDD" w14:textId="77777777" w:rsidR="00883C1A" w:rsidRDefault="00883C1A" w:rsidP="00A4059A">
            <w:pPr>
              <w:pStyle w:val="TabBody"/>
              <w:rPr>
                <w:b/>
                <w:color w:val="000000" w:themeColor="text1"/>
              </w:rPr>
            </w:pPr>
            <w:r>
              <w:rPr>
                <w:b/>
                <w:color w:val="000000" w:themeColor="text1"/>
              </w:rPr>
              <w:t>19</w:t>
            </w:r>
          </w:p>
        </w:tc>
        <w:tc>
          <w:tcPr>
            <w:tcW w:w="1464" w:type="pct"/>
            <w:vAlign w:val="center"/>
          </w:tcPr>
          <w:p w14:paraId="0CB1DBE2"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31</w:t>
            </w:r>
          </w:p>
        </w:tc>
        <w:tc>
          <w:tcPr>
            <w:tcW w:w="1146" w:type="pct"/>
          </w:tcPr>
          <w:p w14:paraId="1E4D235A" w14:textId="77777777" w:rsidR="00883C1A" w:rsidRPr="00757FB6" w:rsidRDefault="00883C1A" w:rsidP="00A4059A">
            <w:pPr>
              <w:pStyle w:val="TabBody"/>
              <w:jc w:val="center"/>
              <w:rPr>
                <w:color w:val="000000" w:themeColor="text1"/>
                <w:szCs w:val="18"/>
              </w:rPr>
            </w:pPr>
            <w:r w:rsidRPr="00757FB6">
              <w:rPr>
                <w:color w:val="000000" w:themeColor="text1"/>
                <w:szCs w:val="18"/>
              </w:rPr>
              <w:t>2,500%</w:t>
            </w:r>
          </w:p>
        </w:tc>
        <w:tc>
          <w:tcPr>
            <w:tcW w:w="1734" w:type="pct"/>
          </w:tcPr>
          <w:p w14:paraId="1051FAA8" w14:textId="77777777" w:rsidR="00883C1A" w:rsidRPr="002A1D84" w:rsidRDefault="00883C1A" w:rsidP="00A4059A">
            <w:pPr>
              <w:pStyle w:val="TabBody"/>
              <w:jc w:val="center"/>
              <w:rPr>
                <w:color w:val="000000" w:themeColor="text1"/>
                <w:szCs w:val="18"/>
                <w:highlight w:val="yellow"/>
              </w:rPr>
            </w:pPr>
            <w:r w:rsidRPr="00431A9F">
              <w:t>2,8369%</w:t>
            </w:r>
          </w:p>
        </w:tc>
      </w:tr>
      <w:tr w:rsidR="00883C1A" w:rsidRPr="00273561" w14:paraId="7A9583B3" w14:textId="77777777" w:rsidTr="00A4059A">
        <w:tc>
          <w:tcPr>
            <w:tcW w:w="656" w:type="pct"/>
          </w:tcPr>
          <w:p w14:paraId="732615FE" w14:textId="77777777" w:rsidR="00883C1A" w:rsidRDefault="00883C1A" w:rsidP="00A4059A">
            <w:pPr>
              <w:pStyle w:val="TabBody"/>
              <w:rPr>
                <w:b/>
                <w:color w:val="000000" w:themeColor="text1"/>
              </w:rPr>
            </w:pPr>
            <w:r>
              <w:rPr>
                <w:b/>
                <w:color w:val="000000" w:themeColor="text1"/>
              </w:rPr>
              <w:t>20</w:t>
            </w:r>
          </w:p>
        </w:tc>
        <w:tc>
          <w:tcPr>
            <w:tcW w:w="1464" w:type="pct"/>
            <w:vAlign w:val="center"/>
          </w:tcPr>
          <w:p w14:paraId="1726942E"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32</w:t>
            </w:r>
          </w:p>
        </w:tc>
        <w:tc>
          <w:tcPr>
            <w:tcW w:w="1146" w:type="pct"/>
          </w:tcPr>
          <w:p w14:paraId="3E0F798F" w14:textId="77777777" w:rsidR="00883C1A" w:rsidRPr="00757FB6" w:rsidRDefault="00883C1A" w:rsidP="00A4059A">
            <w:pPr>
              <w:pStyle w:val="TabBody"/>
              <w:jc w:val="center"/>
              <w:rPr>
                <w:color w:val="000000" w:themeColor="text1"/>
                <w:szCs w:val="18"/>
              </w:rPr>
            </w:pPr>
            <w:r w:rsidRPr="00757FB6">
              <w:rPr>
                <w:color w:val="000000" w:themeColor="text1"/>
                <w:szCs w:val="18"/>
              </w:rPr>
              <w:t>2,500%</w:t>
            </w:r>
          </w:p>
        </w:tc>
        <w:tc>
          <w:tcPr>
            <w:tcW w:w="1734" w:type="pct"/>
          </w:tcPr>
          <w:p w14:paraId="72B73C69" w14:textId="77777777" w:rsidR="00883C1A" w:rsidRPr="002A1D84" w:rsidRDefault="00883C1A" w:rsidP="00A4059A">
            <w:pPr>
              <w:pStyle w:val="TabBody"/>
              <w:jc w:val="center"/>
              <w:rPr>
                <w:color w:val="000000" w:themeColor="text1"/>
                <w:szCs w:val="18"/>
                <w:highlight w:val="yellow"/>
              </w:rPr>
            </w:pPr>
            <w:r w:rsidRPr="00431A9F">
              <w:t>2,9197%</w:t>
            </w:r>
          </w:p>
        </w:tc>
      </w:tr>
      <w:tr w:rsidR="00883C1A" w:rsidRPr="00273561" w14:paraId="70937EC5" w14:textId="77777777" w:rsidTr="00A4059A">
        <w:tc>
          <w:tcPr>
            <w:tcW w:w="656" w:type="pct"/>
          </w:tcPr>
          <w:p w14:paraId="54EA5819" w14:textId="77777777" w:rsidR="00883C1A" w:rsidRDefault="00883C1A" w:rsidP="00A4059A">
            <w:pPr>
              <w:pStyle w:val="TabBody"/>
              <w:rPr>
                <w:b/>
                <w:color w:val="000000" w:themeColor="text1"/>
              </w:rPr>
            </w:pPr>
            <w:r>
              <w:rPr>
                <w:b/>
                <w:color w:val="000000" w:themeColor="text1"/>
              </w:rPr>
              <w:t>21</w:t>
            </w:r>
          </w:p>
        </w:tc>
        <w:tc>
          <w:tcPr>
            <w:tcW w:w="1464" w:type="pct"/>
            <w:vAlign w:val="center"/>
          </w:tcPr>
          <w:p w14:paraId="3D428A7A"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32</w:t>
            </w:r>
          </w:p>
        </w:tc>
        <w:tc>
          <w:tcPr>
            <w:tcW w:w="1146" w:type="pct"/>
          </w:tcPr>
          <w:p w14:paraId="3CC74A87" w14:textId="77777777" w:rsidR="00883C1A" w:rsidRPr="00757FB6" w:rsidRDefault="00883C1A" w:rsidP="00A4059A">
            <w:pPr>
              <w:pStyle w:val="TabBody"/>
              <w:jc w:val="center"/>
              <w:rPr>
                <w:color w:val="000000" w:themeColor="text1"/>
                <w:szCs w:val="18"/>
              </w:rPr>
            </w:pPr>
            <w:r w:rsidRPr="00757FB6">
              <w:rPr>
                <w:color w:val="000000" w:themeColor="text1"/>
                <w:szCs w:val="18"/>
              </w:rPr>
              <w:t>2,625%</w:t>
            </w:r>
          </w:p>
        </w:tc>
        <w:tc>
          <w:tcPr>
            <w:tcW w:w="1734" w:type="pct"/>
          </w:tcPr>
          <w:p w14:paraId="4482FF93" w14:textId="77777777" w:rsidR="00883C1A" w:rsidRPr="002A1D84" w:rsidRDefault="00883C1A" w:rsidP="00A4059A">
            <w:pPr>
              <w:pStyle w:val="TabBody"/>
              <w:jc w:val="center"/>
              <w:rPr>
                <w:color w:val="000000" w:themeColor="text1"/>
                <w:szCs w:val="18"/>
                <w:highlight w:val="yellow"/>
              </w:rPr>
            </w:pPr>
            <w:r w:rsidRPr="00431A9F">
              <w:t>3,1579%</w:t>
            </w:r>
          </w:p>
        </w:tc>
      </w:tr>
      <w:tr w:rsidR="00883C1A" w:rsidRPr="00273561" w14:paraId="6952266F" w14:textId="77777777" w:rsidTr="00A4059A">
        <w:tc>
          <w:tcPr>
            <w:tcW w:w="656" w:type="pct"/>
          </w:tcPr>
          <w:p w14:paraId="657339A2" w14:textId="77777777" w:rsidR="00883C1A" w:rsidRDefault="00883C1A" w:rsidP="00A4059A">
            <w:pPr>
              <w:pStyle w:val="TabBody"/>
              <w:rPr>
                <w:b/>
                <w:color w:val="000000" w:themeColor="text1"/>
              </w:rPr>
            </w:pPr>
            <w:r>
              <w:rPr>
                <w:b/>
                <w:color w:val="000000" w:themeColor="text1"/>
              </w:rPr>
              <w:t>22</w:t>
            </w:r>
          </w:p>
        </w:tc>
        <w:tc>
          <w:tcPr>
            <w:tcW w:w="1464" w:type="pct"/>
            <w:vAlign w:val="center"/>
          </w:tcPr>
          <w:p w14:paraId="1076F59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33</w:t>
            </w:r>
          </w:p>
        </w:tc>
        <w:tc>
          <w:tcPr>
            <w:tcW w:w="1146" w:type="pct"/>
          </w:tcPr>
          <w:p w14:paraId="3EB941E1" w14:textId="77777777" w:rsidR="00883C1A" w:rsidRPr="00757FB6" w:rsidRDefault="00883C1A" w:rsidP="00A4059A">
            <w:pPr>
              <w:pStyle w:val="TabBody"/>
              <w:jc w:val="center"/>
              <w:rPr>
                <w:color w:val="000000" w:themeColor="text1"/>
                <w:szCs w:val="18"/>
              </w:rPr>
            </w:pPr>
            <w:r w:rsidRPr="00757FB6">
              <w:rPr>
                <w:color w:val="000000" w:themeColor="text1"/>
                <w:szCs w:val="18"/>
              </w:rPr>
              <w:t>2,625%</w:t>
            </w:r>
          </w:p>
        </w:tc>
        <w:tc>
          <w:tcPr>
            <w:tcW w:w="1734" w:type="pct"/>
          </w:tcPr>
          <w:p w14:paraId="64213744" w14:textId="77777777" w:rsidR="00883C1A" w:rsidRPr="002A1D84" w:rsidRDefault="00883C1A" w:rsidP="00A4059A">
            <w:pPr>
              <w:pStyle w:val="TabBody"/>
              <w:jc w:val="center"/>
              <w:rPr>
                <w:color w:val="000000" w:themeColor="text1"/>
                <w:szCs w:val="18"/>
                <w:highlight w:val="yellow"/>
              </w:rPr>
            </w:pPr>
            <w:r w:rsidRPr="00431A9F">
              <w:t>3,2609%</w:t>
            </w:r>
          </w:p>
        </w:tc>
      </w:tr>
      <w:tr w:rsidR="00883C1A" w:rsidRPr="00273561" w14:paraId="5133E69D" w14:textId="77777777" w:rsidTr="00A4059A">
        <w:tc>
          <w:tcPr>
            <w:tcW w:w="656" w:type="pct"/>
          </w:tcPr>
          <w:p w14:paraId="0F995E66" w14:textId="77777777" w:rsidR="00883C1A" w:rsidRDefault="00883C1A" w:rsidP="00A4059A">
            <w:pPr>
              <w:pStyle w:val="TabBody"/>
              <w:rPr>
                <w:b/>
                <w:color w:val="000000" w:themeColor="text1"/>
              </w:rPr>
            </w:pPr>
            <w:r>
              <w:rPr>
                <w:b/>
                <w:color w:val="000000" w:themeColor="text1"/>
              </w:rPr>
              <w:t>23</w:t>
            </w:r>
          </w:p>
        </w:tc>
        <w:tc>
          <w:tcPr>
            <w:tcW w:w="1464" w:type="pct"/>
            <w:vAlign w:val="center"/>
          </w:tcPr>
          <w:p w14:paraId="09C71C04"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33</w:t>
            </w:r>
          </w:p>
        </w:tc>
        <w:tc>
          <w:tcPr>
            <w:tcW w:w="1146" w:type="pct"/>
          </w:tcPr>
          <w:p w14:paraId="368A7855" w14:textId="77777777" w:rsidR="00883C1A" w:rsidRPr="00757FB6" w:rsidRDefault="00883C1A" w:rsidP="00A4059A">
            <w:pPr>
              <w:pStyle w:val="TabBody"/>
              <w:jc w:val="center"/>
              <w:rPr>
                <w:color w:val="000000" w:themeColor="text1"/>
                <w:szCs w:val="18"/>
              </w:rPr>
            </w:pPr>
            <w:r w:rsidRPr="00757FB6">
              <w:rPr>
                <w:color w:val="000000" w:themeColor="text1"/>
                <w:szCs w:val="18"/>
              </w:rPr>
              <w:t>2,750%</w:t>
            </w:r>
          </w:p>
        </w:tc>
        <w:tc>
          <w:tcPr>
            <w:tcW w:w="1734" w:type="pct"/>
          </w:tcPr>
          <w:p w14:paraId="7937152A" w14:textId="77777777" w:rsidR="00883C1A" w:rsidRPr="002A1D84" w:rsidRDefault="00883C1A" w:rsidP="00A4059A">
            <w:pPr>
              <w:pStyle w:val="TabBody"/>
              <w:jc w:val="center"/>
              <w:rPr>
                <w:color w:val="000000" w:themeColor="text1"/>
                <w:szCs w:val="18"/>
                <w:highlight w:val="yellow"/>
              </w:rPr>
            </w:pPr>
            <w:r w:rsidRPr="00431A9F">
              <w:t>3,5313%</w:t>
            </w:r>
          </w:p>
        </w:tc>
      </w:tr>
      <w:tr w:rsidR="00883C1A" w:rsidRPr="00273561" w14:paraId="51C0FAEA" w14:textId="77777777" w:rsidTr="00A4059A">
        <w:tc>
          <w:tcPr>
            <w:tcW w:w="656" w:type="pct"/>
          </w:tcPr>
          <w:p w14:paraId="4F2306B3" w14:textId="77777777" w:rsidR="00883C1A" w:rsidRDefault="00883C1A" w:rsidP="00A4059A">
            <w:pPr>
              <w:pStyle w:val="TabBody"/>
              <w:rPr>
                <w:b/>
                <w:color w:val="000000" w:themeColor="text1"/>
              </w:rPr>
            </w:pPr>
            <w:r>
              <w:rPr>
                <w:b/>
                <w:color w:val="000000" w:themeColor="text1"/>
              </w:rPr>
              <w:t>24</w:t>
            </w:r>
          </w:p>
        </w:tc>
        <w:tc>
          <w:tcPr>
            <w:tcW w:w="1464" w:type="pct"/>
            <w:vAlign w:val="center"/>
          </w:tcPr>
          <w:p w14:paraId="0DC4EFE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34</w:t>
            </w:r>
          </w:p>
        </w:tc>
        <w:tc>
          <w:tcPr>
            <w:tcW w:w="1146" w:type="pct"/>
          </w:tcPr>
          <w:p w14:paraId="573503FB" w14:textId="77777777" w:rsidR="00883C1A" w:rsidRPr="00757FB6" w:rsidRDefault="00883C1A" w:rsidP="00A4059A">
            <w:pPr>
              <w:pStyle w:val="TabBody"/>
              <w:jc w:val="center"/>
              <w:rPr>
                <w:color w:val="000000" w:themeColor="text1"/>
                <w:szCs w:val="18"/>
              </w:rPr>
            </w:pPr>
            <w:r w:rsidRPr="00757FB6">
              <w:rPr>
                <w:color w:val="000000" w:themeColor="text1"/>
                <w:szCs w:val="18"/>
              </w:rPr>
              <w:t>2,750%</w:t>
            </w:r>
          </w:p>
        </w:tc>
        <w:tc>
          <w:tcPr>
            <w:tcW w:w="1734" w:type="pct"/>
          </w:tcPr>
          <w:p w14:paraId="27E68675" w14:textId="77777777" w:rsidR="00883C1A" w:rsidRPr="002A1D84" w:rsidRDefault="00883C1A" w:rsidP="00A4059A">
            <w:pPr>
              <w:pStyle w:val="TabBody"/>
              <w:jc w:val="center"/>
              <w:rPr>
                <w:color w:val="000000" w:themeColor="text1"/>
                <w:szCs w:val="18"/>
                <w:highlight w:val="yellow"/>
              </w:rPr>
            </w:pPr>
            <w:r w:rsidRPr="00431A9F">
              <w:t>3,6606%</w:t>
            </w:r>
          </w:p>
        </w:tc>
      </w:tr>
      <w:tr w:rsidR="00883C1A" w:rsidRPr="00273561" w14:paraId="54F0611F" w14:textId="77777777" w:rsidTr="00A4059A">
        <w:tc>
          <w:tcPr>
            <w:tcW w:w="656" w:type="pct"/>
          </w:tcPr>
          <w:p w14:paraId="7366B6A0" w14:textId="77777777" w:rsidR="00883C1A" w:rsidRDefault="00883C1A" w:rsidP="00A4059A">
            <w:pPr>
              <w:pStyle w:val="TabBody"/>
              <w:rPr>
                <w:b/>
                <w:color w:val="000000" w:themeColor="text1"/>
              </w:rPr>
            </w:pPr>
            <w:r>
              <w:rPr>
                <w:b/>
                <w:color w:val="000000" w:themeColor="text1"/>
              </w:rPr>
              <w:t>25</w:t>
            </w:r>
          </w:p>
        </w:tc>
        <w:tc>
          <w:tcPr>
            <w:tcW w:w="1464" w:type="pct"/>
            <w:vAlign w:val="center"/>
          </w:tcPr>
          <w:p w14:paraId="46790D3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34</w:t>
            </w:r>
          </w:p>
        </w:tc>
        <w:tc>
          <w:tcPr>
            <w:tcW w:w="1146" w:type="pct"/>
          </w:tcPr>
          <w:p w14:paraId="2CFDB367" w14:textId="77777777" w:rsidR="00883C1A" w:rsidRPr="00757FB6" w:rsidRDefault="00883C1A" w:rsidP="00A4059A">
            <w:pPr>
              <w:pStyle w:val="TabBody"/>
              <w:jc w:val="center"/>
              <w:rPr>
                <w:color w:val="000000" w:themeColor="text1"/>
                <w:szCs w:val="18"/>
              </w:rPr>
            </w:pPr>
            <w:r w:rsidRPr="00757FB6">
              <w:rPr>
                <w:color w:val="000000" w:themeColor="text1"/>
                <w:szCs w:val="18"/>
              </w:rPr>
              <w:t>2,875%</w:t>
            </w:r>
          </w:p>
        </w:tc>
        <w:tc>
          <w:tcPr>
            <w:tcW w:w="1734" w:type="pct"/>
          </w:tcPr>
          <w:p w14:paraId="1BD852E2" w14:textId="77777777" w:rsidR="00883C1A" w:rsidRPr="002A1D84" w:rsidRDefault="00883C1A" w:rsidP="00A4059A">
            <w:pPr>
              <w:pStyle w:val="TabBody"/>
              <w:jc w:val="center"/>
              <w:rPr>
                <w:color w:val="000000" w:themeColor="text1"/>
                <w:szCs w:val="18"/>
                <w:highlight w:val="yellow"/>
              </w:rPr>
            </w:pPr>
            <w:r w:rsidRPr="00431A9F">
              <w:t>3,9724%</w:t>
            </w:r>
          </w:p>
        </w:tc>
      </w:tr>
      <w:tr w:rsidR="00883C1A" w:rsidRPr="00273561" w14:paraId="4348C419" w14:textId="77777777" w:rsidTr="00A4059A">
        <w:tc>
          <w:tcPr>
            <w:tcW w:w="656" w:type="pct"/>
          </w:tcPr>
          <w:p w14:paraId="24CAC4DF" w14:textId="77777777" w:rsidR="00883C1A" w:rsidRDefault="00883C1A" w:rsidP="00A4059A">
            <w:pPr>
              <w:pStyle w:val="TabBody"/>
              <w:rPr>
                <w:b/>
                <w:color w:val="000000" w:themeColor="text1"/>
              </w:rPr>
            </w:pPr>
            <w:r>
              <w:rPr>
                <w:b/>
                <w:color w:val="000000" w:themeColor="text1"/>
              </w:rPr>
              <w:t>26</w:t>
            </w:r>
          </w:p>
        </w:tc>
        <w:tc>
          <w:tcPr>
            <w:tcW w:w="1464" w:type="pct"/>
            <w:vAlign w:val="center"/>
          </w:tcPr>
          <w:p w14:paraId="11EF53F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35</w:t>
            </w:r>
          </w:p>
        </w:tc>
        <w:tc>
          <w:tcPr>
            <w:tcW w:w="1146" w:type="pct"/>
          </w:tcPr>
          <w:p w14:paraId="2575D47F" w14:textId="77777777" w:rsidR="00883C1A" w:rsidRPr="00757FB6" w:rsidRDefault="00883C1A" w:rsidP="00A4059A">
            <w:pPr>
              <w:pStyle w:val="TabBody"/>
              <w:jc w:val="center"/>
              <w:rPr>
                <w:color w:val="000000" w:themeColor="text1"/>
                <w:szCs w:val="18"/>
              </w:rPr>
            </w:pPr>
            <w:r w:rsidRPr="00757FB6">
              <w:rPr>
                <w:color w:val="000000" w:themeColor="text1"/>
                <w:szCs w:val="18"/>
              </w:rPr>
              <w:t>2,875%</w:t>
            </w:r>
          </w:p>
        </w:tc>
        <w:tc>
          <w:tcPr>
            <w:tcW w:w="1734" w:type="pct"/>
          </w:tcPr>
          <w:p w14:paraId="3465DFD5" w14:textId="77777777" w:rsidR="00883C1A" w:rsidRPr="002A1D84" w:rsidRDefault="00883C1A" w:rsidP="00A4059A">
            <w:pPr>
              <w:pStyle w:val="TabBody"/>
              <w:jc w:val="center"/>
              <w:rPr>
                <w:color w:val="000000" w:themeColor="text1"/>
                <w:szCs w:val="18"/>
                <w:highlight w:val="yellow"/>
              </w:rPr>
            </w:pPr>
            <w:r w:rsidRPr="00431A9F">
              <w:t>4,1367%</w:t>
            </w:r>
          </w:p>
        </w:tc>
      </w:tr>
      <w:tr w:rsidR="00883C1A" w:rsidRPr="00273561" w14:paraId="5ADE10FE" w14:textId="77777777" w:rsidTr="00A4059A">
        <w:tc>
          <w:tcPr>
            <w:tcW w:w="656" w:type="pct"/>
          </w:tcPr>
          <w:p w14:paraId="5997C521" w14:textId="77777777" w:rsidR="00883C1A" w:rsidRDefault="00883C1A" w:rsidP="00A4059A">
            <w:pPr>
              <w:pStyle w:val="TabBody"/>
              <w:rPr>
                <w:b/>
                <w:color w:val="000000" w:themeColor="text1"/>
              </w:rPr>
            </w:pPr>
            <w:r>
              <w:rPr>
                <w:b/>
                <w:color w:val="000000" w:themeColor="text1"/>
              </w:rPr>
              <w:t>27</w:t>
            </w:r>
          </w:p>
        </w:tc>
        <w:tc>
          <w:tcPr>
            <w:tcW w:w="1464" w:type="pct"/>
            <w:vAlign w:val="center"/>
          </w:tcPr>
          <w:p w14:paraId="2E7258DC"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35</w:t>
            </w:r>
          </w:p>
        </w:tc>
        <w:tc>
          <w:tcPr>
            <w:tcW w:w="1146" w:type="pct"/>
          </w:tcPr>
          <w:p w14:paraId="73C7A98A" w14:textId="77777777" w:rsidR="00883C1A" w:rsidRPr="00757FB6" w:rsidRDefault="00883C1A" w:rsidP="00A4059A">
            <w:pPr>
              <w:pStyle w:val="TabBody"/>
              <w:jc w:val="center"/>
              <w:rPr>
                <w:color w:val="000000" w:themeColor="text1"/>
                <w:szCs w:val="18"/>
              </w:rPr>
            </w:pPr>
            <w:r w:rsidRPr="00757FB6">
              <w:rPr>
                <w:color w:val="000000" w:themeColor="text1"/>
                <w:szCs w:val="18"/>
              </w:rPr>
              <w:t>3,000%</w:t>
            </w:r>
          </w:p>
        </w:tc>
        <w:tc>
          <w:tcPr>
            <w:tcW w:w="1734" w:type="pct"/>
          </w:tcPr>
          <w:p w14:paraId="4DC0071F" w14:textId="77777777" w:rsidR="00883C1A" w:rsidRPr="002A1D84" w:rsidRDefault="00883C1A" w:rsidP="00A4059A">
            <w:pPr>
              <w:pStyle w:val="TabBody"/>
              <w:jc w:val="center"/>
              <w:rPr>
                <w:color w:val="000000" w:themeColor="text1"/>
                <w:szCs w:val="18"/>
                <w:highlight w:val="yellow"/>
              </w:rPr>
            </w:pPr>
            <w:r w:rsidRPr="00431A9F">
              <w:t>4,5028%</w:t>
            </w:r>
          </w:p>
        </w:tc>
      </w:tr>
      <w:tr w:rsidR="00883C1A" w:rsidRPr="00273561" w14:paraId="08C27279" w14:textId="77777777" w:rsidTr="00A4059A">
        <w:tc>
          <w:tcPr>
            <w:tcW w:w="656" w:type="pct"/>
          </w:tcPr>
          <w:p w14:paraId="143ECD39" w14:textId="77777777" w:rsidR="00883C1A" w:rsidRDefault="00883C1A" w:rsidP="00A4059A">
            <w:pPr>
              <w:pStyle w:val="TabBody"/>
              <w:rPr>
                <w:b/>
                <w:color w:val="000000" w:themeColor="text1"/>
              </w:rPr>
            </w:pPr>
            <w:r>
              <w:rPr>
                <w:b/>
                <w:color w:val="000000" w:themeColor="text1"/>
              </w:rPr>
              <w:t>28</w:t>
            </w:r>
          </w:p>
        </w:tc>
        <w:tc>
          <w:tcPr>
            <w:tcW w:w="1464" w:type="pct"/>
            <w:vAlign w:val="center"/>
          </w:tcPr>
          <w:p w14:paraId="4853BB3B"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36</w:t>
            </w:r>
          </w:p>
        </w:tc>
        <w:tc>
          <w:tcPr>
            <w:tcW w:w="1146" w:type="pct"/>
          </w:tcPr>
          <w:p w14:paraId="4F4290C3" w14:textId="77777777" w:rsidR="00883C1A" w:rsidRPr="00757FB6" w:rsidRDefault="00883C1A" w:rsidP="00A4059A">
            <w:pPr>
              <w:pStyle w:val="TabBody"/>
              <w:jc w:val="center"/>
              <w:rPr>
                <w:color w:val="000000" w:themeColor="text1"/>
                <w:szCs w:val="18"/>
              </w:rPr>
            </w:pPr>
            <w:r w:rsidRPr="00757FB6">
              <w:rPr>
                <w:color w:val="000000" w:themeColor="text1"/>
                <w:szCs w:val="18"/>
              </w:rPr>
              <w:t>3,000%</w:t>
            </w:r>
          </w:p>
        </w:tc>
        <w:tc>
          <w:tcPr>
            <w:tcW w:w="1734" w:type="pct"/>
          </w:tcPr>
          <w:p w14:paraId="47B869DF" w14:textId="77777777" w:rsidR="00883C1A" w:rsidRPr="002A1D84" w:rsidRDefault="00883C1A" w:rsidP="00A4059A">
            <w:pPr>
              <w:pStyle w:val="TabBody"/>
              <w:jc w:val="center"/>
              <w:rPr>
                <w:color w:val="000000" w:themeColor="text1"/>
                <w:szCs w:val="18"/>
                <w:highlight w:val="yellow"/>
              </w:rPr>
            </w:pPr>
            <w:r w:rsidRPr="00431A9F">
              <w:t>4,7151%</w:t>
            </w:r>
          </w:p>
        </w:tc>
      </w:tr>
      <w:tr w:rsidR="00883C1A" w:rsidRPr="00273561" w14:paraId="11301A12" w14:textId="77777777" w:rsidTr="00A4059A">
        <w:tc>
          <w:tcPr>
            <w:tcW w:w="656" w:type="pct"/>
          </w:tcPr>
          <w:p w14:paraId="26AE32FF" w14:textId="77777777" w:rsidR="00883C1A" w:rsidRDefault="00883C1A" w:rsidP="00A4059A">
            <w:pPr>
              <w:pStyle w:val="TabBody"/>
              <w:rPr>
                <w:b/>
                <w:color w:val="000000" w:themeColor="text1"/>
              </w:rPr>
            </w:pPr>
            <w:r>
              <w:rPr>
                <w:b/>
                <w:color w:val="000000" w:themeColor="text1"/>
              </w:rPr>
              <w:t>29</w:t>
            </w:r>
          </w:p>
        </w:tc>
        <w:tc>
          <w:tcPr>
            <w:tcW w:w="1464" w:type="pct"/>
            <w:vAlign w:val="center"/>
          </w:tcPr>
          <w:p w14:paraId="03E72C78"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36</w:t>
            </w:r>
          </w:p>
        </w:tc>
        <w:tc>
          <w:tcPr>
            <w:tcW w:w="1146" w:type="pct"/>
          </w:tcPr>
          <w:p w14:paraId="56A1A42D" w14:textId="77777777" w:rsidR="00883C1A" w:rsidRPr="00757FB6" w:rsidRDefault="00883C1A" w:rsidP="00A4059A">
            <w:pPr>
              <w:pStyle w:val="TabBody"/>
              <w:jc w:val="center"/>
              <w:rPr>
                <w:color w:val="000000" w:themeColor="text1"/>
                <w:szCs w:val="18"/>
              </w:rPr>
            </w:pPr>
            <w:r w:rsidRPr="00757FB6">
              <w:rPr>
                <w:color w:val="000000" w:themeColor="text1"/>
                <w:szCs w:val="18"/>
              </w:rPr>
              <w:t>3,125%</w:t>
            </w:r>
          </w:p>
        </w:tc>
        <w:tc>
          <w:tcPr>
            <w:tcW w:w="1734" w:type="pct"/>
          </w:tcPr>
          <w:p w14:paraId="12242F1D" w14:textId="77777777" w:rsidR="00883C1A" w:rsidRPr="002A1D84" w:rsidRDefault="00883C1A" w:rsidP="00A4059A">
            <w:pPr>
              <w:pStyle w:val="TabBody"/>
              <w:jc w:val="center"/>
              <w:rPr>
                <w:color w:val="000000" w:themeColor="text1"/>
                <w:szCs w:val="18"/>
                <w:highlight w:val="yellow"/>
              </w:rPr>
            </w:pPr>
            <w:r w:rsidRPr="00431A9F">
              <w:t>5,1546%</w:t>
            </w:r>
          </w:p>
        </w:tc>
      </w:tr>
      <w:tr w:rsidR="00883C1A" w:rsidRPr="00273561" w14:paraId="38A208D9" w14:textId="77777777" w:rsidTr="00A4059A">
        <w:tc>
          <w:tcPr>
            <w:tcW w:w="656" w:type="pct"/>
          </w:tcPr>
          <w:p w14:paraId="7D64D04B" w14:textId="77777777" w:rsidR="00883C1A" w:rsidRDefault="00883C1A" w:rsidP="00A4059A">
            <w:pPr>
              <w:pStyle w:val="TabBody"/>
              <w:rPr>
                <w:b/>
                <w:color w:val="000000" w:themeColor="text1"/>
              </w:rPr>
            </w:pPr>
            <w:r>
              <w:rPr>
                <w:b/>
                <w:color w:val="000000" w:themeColor="text1"/>
              </w:rPr>
              <w:t>30</w:t>
            </w:r>
          </w:p>
        </w:tc>
        <w:tc>
          <w:tcPr>
            <w:tcW w:w="1464" w:type="pct"/>
            <w:vAlign w:val="center"/>
          </w:tcPr>
          <w:p w14:paraId="1F97D073"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37</w:t>
            </w:r>
          </w:p>
        </w:tc>
        <w:tc>
          <w:tcPr>
            <w:tcW w:w="1146" w:type="pct"/>
          </w:tcPr>
          <w:p w14:paraId="1E24815A" w14:textId="77777777" w:rsidR="00883C1A" w:rsidRPr="00757FB6" w:rsidRDefault="00883C1A" w:rsidP="00A4059A">
            <w:pPr>
              <w:pStyle w:val="TabBody"/>
              <w:jc w:val="center"/>
              <w:rPr>
                <w:color w:val="000000" w:themeColor="text1"/>
                <w:szCs w:val="18"/>
              </w:rPr>
            </w:pPr>
            <w:r w:rsidRPr="00757FB6">
              <w:rPr>
                <w:color w:val="000000" w:themeColor="text1"/>
                <w:szCs w:val="18"/>
              </w:rPr>
              <w:t>3,125%</w:t>
            </w:r>
          </w:p>
        </w:tc>
        <w:tc>
          <w:tcPr>
            <w:tcW w:w="1734" w:type="pct"/>
          </w:tcPr>
          <w:p w14:paraId="79832EA9" w14:textId="77777777" w:rsidR="00883C1A" w:rsidRPr="002A1D84" w:rsidRDefault="00883C1A" w:rsidP="00A4059A">
            <w:pPr>
              <w:pStyle w:val="TabBody"/>
              <w:jc w:val="center"/>
              <w:rPr>
                <w:color w:val="000000" w:themeColor="text1"/>
                <w:szCs w:val="18"/>
                <w:highlight w:val="yellow"/>
              </w:rPr>
            </w:pPr>
            <w:r w:rsidRPr="00431A9F">
              <w:t>5,4348%</w:t>
            </w:r>
          </w:p>
        </w:tc>
      </w:tr>
      <w:tr w:rsidR="00883C1A" w:rsidRPr="00273561" w14:paraId="5C0B6E1A" w14:textId="77777777" w:rsidTr="00A4059A">
        <w:tc>
          <w:tcPr>
            <w:tcW w:w="656" w:type="pct"/>
          </w:tcPr>
          <w:p w14:paraId="3B3A459F" w14:textId="77777777" w:rsidR="00883C1A" w:rsidRDefault="00883C1A" w:rsidP="00A4059A">
            <w:pPr>
              <w:pStyle w:val="TabBody"/>
              <w:rPr>
                <w:b/>
                <w:color w:val="000000" w:themeColor="text1"/>
              </w:rPr>
            </w:pPr>
            <w:r>
              <w:rPr>
                <w:b/>
                <w:color w:val="000000" w:themeColor="text1"/>
              </w:rPr>
              <w:t>31</w:t>
            </w:r>
          </w:p>
        </w:tc>
        <w:tc>
          <w:tcPr>
            <w:tcW w:w="1464" w:type="pct"/>
            <w:vAlign w:val="center"/>
          </w:tcPr>
          <w:p w14:paraId="458DC7F7"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37</w:t>
            </w:r>
          </w:p>
        </w:tc>
        <w:tc>
          <w:tcPr>
            <w:tcW w:w="1146" w:type="pct"/>
          </w:tcPr>
          <w:p w14:paraId="6B3D3B73" w14:textId="77777777" w:rsidR="00883C1A" w:rsidRPr="00757FB6" w:rsidRDefault="00883C1A" w:rsidP="00A4059A">
            <w:pPr>
              <w:pStyle w:val="TabBody"/>
              <w:jc w:val="center"/>
              <w:rPr>
                <w:color w:val="000000" w:themeColor="text1"/>
                <w:szCs w:val="18"/>
              </w:rPr>
            </w:pPr>
            <w:r w:rsidRPr="00757FB6">
              <w:rPr>
                <w:color w:val="000000" w:themeColor="text1"/>
                <w:szCs w:val="18"/>
              </w:rPr>
              <w:t>3,250%</w:t>
            </w:r>
          </w:p>
        </w:tc>
        <w:tc>
          <w:tcPr>
            <w:tcW w:w="1734" w:type="pct"/>
          </w:tcPr>
          <w:p w14:paraId="271E9A1F" w14:textId="77777777" w:rsidR="00883C1A" w:rsidRPr="002A1D84" w:rsidRDefault="00883C1A" w:rsidP="00A4059A">
            <w:pPr>
              <w:pStyle w:val="TabBody"/>
              <w:jc w:val="center"/>
              <w:rPr>
                <w:color w:val="000000" w:themeColor="text1"/>
                <w:szCs w:val="18"/>
                <w:highlight w:val="yellow"/>
              </w:rPr>
            </w:pPr>
            <w:r w:rsidRPr="00431A9F">
              <w:t>5,9770%</w:t>
            </w:r>
          </w:p>
        </w:tc>
      </w:tr>
      <w:tr w:rsidR="00883C1A" w:rsidRPr="00273561" w14:paraId="24B44DE5" w14:textId="77777777" w:rsidTr="00A4059A">
        <w:tc>
          <w:tcPr>
            <w:tcW w:w="656" w:type="pct"/>
          </w:tcPr>
          <w:p w14:paraId="3D8BC94A" w14:textId="77777777" w:rsidR="00883C1A" w:rsidRDefault="00883C1A" w:rsidP="00A4059A">
            <w:pPr>
              <w:pStyle w:val="TabBody"/>
              <w:rPr>
                <w:b/>
                <w:color w:val="000000" w:themeColor="text1"/>
              </w:rPr>
            </w:pPr>
            <w:r>
              <w:rPr>
                <w:b/>
                <w:color w:val="000000" w:themeColor="text1"/>
              </w:rPr>
              <w:t>32</w:t>
            </w:r>
          </w:p>
        </w:tc>
        <w:tc>
          <w:tcPr>
            <w:tcW w:w="1464" w:type="pct"/>
            <w:vAlign w:val="center"/>
          </w:tcPr>
          <w:p w14:paraId="36B600AA"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38</w:t>
            </w:r>
          </w:p>
        </w:tc>
        <w:tc>
          <w:tcPr>
            <w:tcW w:w="1146" w:type="pct"/>
          </w:tcPr>
          <w:p w14:paraId="7F4438FE" w14:textId="77777777" w:rsidR="00883C1A" w:rsidRPr="00757FB6" w:rsidRDefault="00883C1A" w:rsidP="00A4059A">
            <w:pPr>
              <w:pStyle w:val="TabBody"/>
              <w:jc w:val="center"/>
              <w:rPr>
                <w:color w:val="000000" w:themeColor="text1"/>
                <w:szCs w:val="18"/>
              </w:rPr>
            </w:pPr>
            <w:r w:rsidRPr="00757FB6">
              <w:rPr>
                <w:color w:val="000000" w:themeColor="text1"/>
                <w:szCs w:val="18"/>
              </w:rPr>
              <w:t>3,250%</w:t>
            </w:r>
          </w:p>
        </w:tc>
        <w:tc>
          <w:tcPr>
            <w:tcW w:w="1734" w:type="pct"/>
          </w:tcPr>
          <w:p w14:paraId="774B7429" w14:textId="77777777" w:rsidR="00883C1A" w:rsidRPr="002A1D84" w:rsidRDefault="00883C1A" w:rsidP="00A4059A">
            <w:pPr>
              <w:pStyle w:val="TabBody"/>
              <w:jc w:val="center"/>
              <w:rPr>
                <w:color w:val="000000" w:themeColor="text1"/>
                <w:szCs w:val="18"/>
                <w:highlight w:val="yellow"/>
              </w:rPr>
            </w:pPr>
            <w:r w:rsidRPr="00431A9F">
              <w:t>6,3570%</w:t>
            </w:r>
          </w:p>
        </w:tc>
      </w:tr>
      <w:tr w:rsidR="00883C1A" w:rsidRPr="00273561" w14:paraId="66218E87" w14:textId="77777777" w:rsidTr="00A4059A">
        <w:tc>
          <w:tcPr>
            <w:tcW w:w="656" w:type="pct"/>
          </w:tcPr>
          <w:p w14:paraId="341D0D8E" w14:textId="77777777" w:rsidR="00883C1A" w:rsidRDefault="00883C1A" w:rsidP="00A4059A">
            <w:pPr>
              <w:pStyle w:val="TabBody"/>
              <w:rPr>
                <w:b/>
                <w:color w:val="000000" w:themeColor="text1"/>
              </w:rPr>
            </w:pPr>
            <w:r>
              <w:rPr>
                <w:b/>
                <w:color w:val="000000" w:themeColor="text1"/>
              </w:rPr>
              <w:t>33</w:t>
            </w:r>
          </w:p>
        </w:tc>
        <w:tc>
          <w:tcPr>
            <w:tcW w:w="1464" w:type="pct"/>
            <w:vAlign w:val="center"/>
          </w:tcPr>
          <w:p w14:paraId="599DBF60"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38</w:t>
            </w:r>
          </w:p>
        </w:tc>
        <w:tc>
          <w:tcPr>
            <w:tcW w:w="1146" w:type="pct"/>
          </w:tcPr>
          <w:p w14:paraId="13C3A7F6" w14:textId="77777777" w:rsidR="00883C1A" w:rsidRPr="00757FB6" w:rsidRDefault="00883C1A" w:rsidP="00A4059A">
            <w:pPr>
              <w:pStyle w:val="TabBody"/>
              <w:jc w:val="center"/>
              <w:rPr>
                <w:color w:val="000000" w:themeColor="text1"/>
                <w:szCs w:val="18"/>
              </w:rPr>
            </w:pPr>
            <w:r w:rsidRPr="00757FB6">
              <w:rPr>
                <w:color w:val="000000" w:themeColor="text1"/>
                <w:szCs w:val="18"/>
              </w:rPr>
              <w:t>3,375%</w:t>
            </w:r>
          </w:p>
        </w:tc>
        <w:tc>
          <w:tcPr>
            <w:tcW w:w="1734" w:type="pct"/>
          </w:tcPr>
          <w:p w14:paraId="540F32ED" w14:textId="77777777" w:rsidR="00883C1A" w:rsidRPr="002A1D84" w:rsidRDefault="00883C1A" w:rsidP="00A4059A">
            <w:pPr>
              <w:pStyle w:val="TabBody"/>
              <w:jc w:val="center"/>
              <w:rPr>
                <w:color w:val="000000" w:themeColor="text1"/>
                <w:szCs w:val="18"/>
                <w:highlight w:val="yellow"/>
              </w:rPr>
            </w:pPr>
            <w:r w:rsidRPr="00431A9F">
              <w:t>7,0496%</w:t>
            </w:r>
          </w:p>
        </w:tc>
      </w:tr>
      <w:tr w:rsidR="00883C1A" w:rsidRPr="00273561" w14:paraId="42820E09" w14:textId="77777777" w:rsidTr="00A4059A">
        <w:tc>
          <w:tcPr>
            <w:tcW w:w="656" w:type="pct"/>
          </w:tcPr>
          <w:p w14:paraId="3065C87B" w14:textId="77777777" w:rsidR="00883C1A" w:rsidRDefault="00883C1A" w:rsidP="00A4059A">
            <w:pPr>
              <w:pStyle w:val="TabBody"/>
              <w:rPr>
                <w:b/>
                <w:color w:val="000000" w:themeColor="text1"/>
              </w:rPr>
            </w:pPr>
            <w:r>
              <w:rPr>
                <w:b/>
                <w:color w:val="000000" w:themeColor="text1"/>
              </w:rPr>
              <w:t>34</w:t>
            </w:r>
          </w:p>
        </w:tc>
        <w:tc>
          <w:tcPr>
            <w:tcW w:w="1464" w:type="pct"/>
            <w:vAlign w:val="center"/>
          </w:tcPr>
          <w:p w14:paraId="4BC8DEB0"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39</w:t>
            </w:r>
          </w:p>
        </w:tc>
        <w:tc>
          <w:tcPr>
            <w:tcW w:w="1146" w:type="pct"/>
          </w:tcPr>
          <w:p w14:paraId="7413F521" w14:textId="77777777" w:rsidR="00883C1A" w:rsidRPr="00757FB6" w:rsidRDefault="00883C1A" w:rsidP="00A4059A">
            <w:pPr>
              <w:pStyle w:val="TabBody"/>
              <w:jc w:val="center"/>
              <w:rPr>
                <w:color w:val="000000" w:themeColor="text1"/>
                <w:szCs w:val="18"/>
              </w:rPr>
            </w:pPr>
            <w:r w:rsidRPr="00757FB6">
              <w:rPr>
                <w:color w:val="000000" w:themeColor="text1"/>
                <w:szCs w:val="18"/>
              </w:rPr>
              <w:t>3,375%</w:t>
            </w:r>
          </w:p>
        </w:tc>
        <w:tc>
          <w:tcPr>
            <w:tcW w:w="1734" w:type="pct"/>
          </w:tcPr>
          <w:p w14:paraId="3CAFE21C" w14:textId="77777777" w:rsidR="00883C1A" w:rsidRPr="002A1D84" w:rsidRDefault="00883C1A" w:rsidP="00A4059A">
            <w:pPr>
              <w:pStyle w:val="TabBody"/>
              <w:jc w:val="center"/>
              <w:rPr>
                <w:color w:val="000000" w:themeColor="text1"/>
                <w:szCs w:val="18"/>
                <w:highlight w:val="yellow"/>
              </w:rPr>
            </w:pPr>
            <w:r w:rsidRPr="00431A9F">
              <w:t>7,5843%</w:t>
            </w:r>
          </w:p>
        </w:tc>
      </w:tr>
      <w:tr w:rsidR="00883C1A" w:rsidRPr="00273561" w14:paraId="1CF9B7B9" w14:textId="77777777" w:rsidTr="00A4059A">
        <w:tc>
          <w:tcPr>
            <w:tcW w:w="656" w:type="pct"/>
          </w:tcPr>
          <w:p w14:paraId="12613C26" w14:textId="77777777" w:rsidR="00883C1A" w:rsidRDefault="00883C1A" w:rsidP="00A4059A">
            <w:pPr>
              <w:pStyle w:val="TabBody"/>
              <w:rPr>
                <w:b/>
                <w:color w:val="000000" w:themeColor="text1"/>
              </w:rPr>
            </w:pPr>
            <w:r>
              <w:rPr>
                <w:b/>
                <w:color w:val="000000" w:themeColor="text1"/>
              </w:rPr>
              <w:t>35</w:t>
            </w:r>
          </w:p>
        </w:tc>
        <w:tc>
          <w:tcPr>
            <w:tcW w:w="1464" w:type="pct"/>
            <w:vAlign w:val="center"/>
          </w:tcPr>
          <w:p w14:paraId="374D3F38"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39</w:t>
            </w:r>
          </w:p>
        </w:tc>
        <w:tc>
          <w:tcPr>
            <w:tcW w:w="1146" w:type="pct"/>
          </w:tcPr>
          <w:p w14:paraId="297F10C6" w14:textId="77777777" w:rsidR="00883C1A" w:rsidRPr="00757FB6" w:rsidRDefault="00883C1A" w:rsidP="00A4059A">
            <w:pPr>
              <w:pStyle w:val="TabBody"/>
              <w:jc w:val="center"/>
              <w:rPr>
                <w:color w:val="000000" w:themeColor="text1"/>
                <w:szCs w:val="18"/>
              </w:rPr>
            </w:pPr>
            <w:r w:rsidRPr="00757FB6">
              <w:rPr>
                <w:color w:val="000000" w:themeColor="text1"/>
                <w:szCs w:val="18"/>
              </w:rPr>
              <w:t>3,500%</w:t>
            </w:r>
          </w:p>
        </w:tc>
        <w:tc>
          <w:tcPr>
            <w:tcW w:w="1734" w:type="pct"/>
          </w:tcPr>
          <w:p w14:paraId="0AB35612" w14:textId="77777777" w:rsidR="00883C1A" w:rsidRPr="002A1D84" w:rsidRDefault="00883C1A" w:rsidP="00A4059A">
            <w:pPr>
              <w:pStyle w:val="TabBody"/>
              <w:jc w:val="center"/>
              <w:rPr>
                <w:color w:val="000000" w:themeColor="text1"/>
                <w:szCs w:val="18"/>
                <w:highlight w:val="yellow"/>
              </w:rPr>
            </w:pPr>
            <w:r w:rsidRPr="00431A9F">
              <w:t>8,5106%</w:t>
            </w:r>
          </w:p>
        </w:tc>
      </w:tr>
      <w:tr w:rsidR="00883C1A" w:rsidRPr="00273561" w14:paraId="64B2791A" w14:textId="77777777" w:rsidTr="00A4059A">
        <w:tc>
          <w:tcPr>
            <w:tcW w:w="656" w:type="pct"/>
          </w:tcPr>
          <w:p w14:paraId="3309FD1D" w14:textId="77777777" w:rsidR="00883C1A" w:rsidRDefault="00883C1A" w:rsidP="00A4059A">
            <w:pPr>
              <w:pStyle w:val="TabBody"/>
              <w:rPr>
                <w:b/>
                <w:color w:val="000000" w:themeColor="text1"/>
              </w:rPr>
            </w:pPr>
            <w:r>
              <w:rPr>
                <w:b/>
                <w:color w:val="000000" w:themeColor="text1"/>
              </w:rPr>
              <w:t>36</w:t>
            </w:r>
          </w:p>
        </w:tc>
        <w:tc>
          <w:tcPr>
            <w:tcW w:w="1464" w:type="pct"/>
            <w:vAlign w:val="center"/>
          </w:tcPr>
          <w:p w14:paraId="21401143"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40</w:t>
            </w:r>
          </w:p>
        </w:tc>
        <w:tc>
          <w:tcPr>
            <w:tcW w:w="1146" w:type="pct"/>
          </w:tcPr>
          <w:p w14:paraId="31E2F502" w14:textId="77777777" w:rsidR="00883C1A" w:rsidRPr="00757FB6" w:rsidRDefault="00883C1A" w:rsidP="00A4059A">
            <w:pPr>
              <w:pStyle w:val="TabBody"/>
              <w:jc w:val="center"/>
              <w:rPr>
                <w:color w:val="000000" w:themeColor="text1"/>
                <w:szCs w:val="18"/>
              </w:rPr>
            </w:pPr>
            <w:r w:rsidRPr="00757FB6">
              <w:rPr>
                <w:color w:val="000000" w:themeColor="text1"/>
                <w:szCs w:val="18"/>
              </w:rPr>
              <w:t>3,500%</w:t>
            </w:r>
          </w:p>
        </w:tc>
        <w:tc>
          <w:tcPr>
            <w:tcW w:w="1734" w:type="pct"/>
          </w:tcPr>
          <w:p w14:paraId="6ADE1402" w14:textId="77777777" w:rsidR="00883C1A" w:rsidRPr="002A1D84" w:rsidRDefault="00883C1A" w:rsidP="00A4059A">
            <w:pPr>
              <w:pStyle w:val="TabBody"/>
              <w:jc w:val="center"/>
              <w:rPr>
                <w:color w:val="000000" w:themeColor="text1"/>
                <w:szCs w:val="18"/>
                <w:highlight w:val="yellow"/>
              </w:rPr>
            </w:pPr>
            <w:r w:rsidRPr="00431A9F">
              <w:t>9,3023%</w:t>
            </w:r>
          </w:p>
        </w:tc>
      </w:tr>
      <w:tr w:rsidR="00883C1A" w:rsidRPr="00273561" w14:paraId="4078A476" w14:textId="77777777" w:rsidTr="00A4059A">
        <w:tc>
          <w:tcPr>
            <w:tcW w:w="656" w:type="pct"/>
          </w:tcPr>
          <w:p w14:paraId="2DDCB556" w14:textId="77777777" w:rsidR="00883C1A" w:rsidRDefault="00883C1A" w:rsidP="00A4059A">
            <w:pPr>
              <w:pStyle w:val="TabBody"/>
              <w:rPr>
                <w:b/>
                <w:color w:val="000000" w:themeColor="text1"/>
              </w:rPr>
            </w:pPr>
            <w:r>
              <w:rPr>
                <w:b/>
                <w:color w:val="000000" w:themeColor="text1"/>
              </w:rPr>
              <w:t>37</w:t>
            </w:r>
          </w:p>
        </w:tc>
        <w:tc>
          <w:tcPr>
            <w:tcW w:w="1464" w:type="pct"/>
            <w:vAlign w:val="center"/>
          </w:tcPr>
          <w:p w14:paraId="07256462"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40</w:t>
            </w:r>
          </w:p>
        </w:tc>
        <w:tc>
          <w:tcPr>
            <w:tcW w:w="1146" w:type="pct"/>
          </w:tcPr>
          <w:p w14:paraId="4088C9A9" w14:textId="77777777" w:rsidR="00883C1A" w:rsidRPr="00757FB6" w:rsidRDefault="00883C1A" w:rsidP="00A4059A">
            <w:pPr>
              <w:pStyle w:val="TabBody"/>
              <w:jc w:val="center"/>
              <w:rPr>
                <w:color w:val="000000" w:themeColor="text1"/>
                <w:szCs w:val="18"/>
              </w:rPr>
            </w:pPr>
            <w:r w:rsidRPr="00757FB6">
              <w:rPr>
                <w:color w:val="000000" w:themeColor="text1"/>
                <w:szCs w:val="18"/>
              </w:rPr>
              <w:t>3,625%</w:t>
            </w:r>
          </w:p>
        </w:tc>
        <w:tc>
          <w:tcPr>
            <w:tcW w:w="1734" w:type="pct"/>
          </w:tcPr>
          <w:p w14:paraId="5AAD2BDD" w14:textId="77777777" w:rsidR="00883C1A" w:rsidRPr="002A1D84" w:rsidRDefault="00883C1A" w:rsidP="00A4059A">
            <w:pPr>
              <w:pStyle w:val="TabBody"/>
              <w:jc w:val="center"/>
              <w:rPr>
                <w:color w:val="000000" w:themeColor="text1"/>
                <w:szCs w:val="18"/>
                <w:highlight w:val="yellow"/>
              </w:rPr>
            </w:pPr>
            <w:r w:rsidRPr="00431A9F">
              <w:t>10,6227%</w:t>
            </w:r>
          </w:p>
        </w:tc>
      </w:tr>
      <w:tr w:rsidR="00883C1A" w:rsidRPr="00273561" w14:paraId="391C4CDE" w14:textId="77777777" w:rsidTr="00A4059A">
        <w:tc>
          <w:tcPr>
            <w:tcW w:w="656" w:type="pct"/>
          </w:tcPr>
          <w:p w14:paraId="6F4A2146" w14:textId="77777777" w:rsidR="00883C1A" w:rsidRDefault="00883C1A" w:rsidP="00A4059A">
            <w:pPr>
              <w:pStyle w:val="TabBody"/>
              <w:rPr>
                <w:b/>
                <w:color w:val="000000" w:themeColor="text1"/>
              </w:rPr>
            </w:pPr>
            <w:r>
              <w:rPr>
                <w:b/>
                <w:color w:val="000000" w:themeColor="text1"/>
              </w:rPr>
              <w:t>38</w:t>
            </w:r>
          </w:p>
        </w:tc>
        <w:tc>
          <w:tcPr>
            <w:tcW w:w="1464" w:type="pct"/>
            <w:vAlign w:val="center"/>
          </w:tcPr>
          <w:p w14:paraId="09EB758A"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41</w:t>
            </w:r>
          </w:p>
        </w:tc>
        <w:tc>
          <w:tcPr>
            <w:tcW w:w="1146" w:type="pct"/>
          </w:tcPr>
          <w:p w14:paraId="2908F365" w14:textId="77777777" w:rsidR="00883C1A" w:rsidRPr="00757FB6" w:rsidRDefault="00883C1A" w:rsidP="00A4059A">
            <w:pPr>
              <w:pStyle w:val="TabBody"/>
              <w:jc w:val="center"/>
              <w:rPr>
                <w:color w:val="000000" w:themeColor="text1"/>
                <w:szCs w:val="18"/>
              </w:rPr>
            </w:pPr>
            <w:r w:rsidRPr="00757FB6">
              <w:rPr>
                <w:color w:val="000000" w:themeColor="text1"/>
                <w:szCs w:val="18"/>
              </w:rPr>
              <w:t>3,625%</w:t>
            </w:r>
          </w:p>
        </w:tc>
        <w:tc>
          <w:tcPr>
            <w:tcW w:w="1734" w:type="pct"/>
          </w:tcPr>
          <w:p w14:paraId="576E2F60" w14:textId="77777777" w:rsidR="00883C1A" w:rsidRPr="002A1D84" w:rsidRDefault="00883C1A" w:rsidP="00A4059A">
            <w:pPr>
              <w:pStyle w:val="TabBody"/>
              <w:jc w:val="center"/>
              <w:rPr>
                <w:color w:val="000000" w:themeColor="text1"/>
                <w:szCs w:val="18"/>
                <w:highlight w:val="yellow"/>
              </w:rPr>
            </w:pPr>
            <w:r w:rsidRPr="00431A9F">
              <w:t>11,8852%</w:t>
            </w:r>
          </w:p>
        </w:tc>
      </w:tr>
      <w:tr w:rsidR="00883C1A" w:rsidRPr="00273561" w14:paraId="6D5036FA" w14:textId="77777777" w:rsidTr="00A4059A">
        <w:tc>
          <w:tcPr>
            <w:tcW w:w="656" w:type="pct"/>
          </w:tcPr>
          <w:p w14:paraId="0DBDB612" w14:textId="77777777" w:rsidR="00883C1A" w:rsidRDefault="00883C1A" w:rsidP="00A4059A">
            <w:pPr>
              <w:pStyle w:val="TabBody"/>
              <w:rPr>
                <w:b/>
                <w:color w:val="000000" w:themeColor="text1"/>
              </w:rPr>
            </w:pPr>
            <w:r>
              <w:rPr>
                <w:b/>
                <w:color w:val="000000" w:themeColor="text1"/>
              </w:rPr>
              <w:t>39</w:t>
            </w:r>
          </w:p>
        </w:tc>
        <w:tc>
          <w:tcPr>
            <w:tcW w:w="1464" w:type="pct"/>
            <w:vAlign w:val="center"/>
          </w:tcPr>
          <w:p w14:paraId="41FE86B6"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41</w:t>
            </w:r>
          </w:p>
        </w:tc>
        <w:tc>
          <w:tcPr>
            <w:tcW w:w="1146" w:type="pct"/>
          </w:tcPr>
          <w:p w14:paraId="5C82DA78" w14:textId="77777777" w:rsidR="00883C1A" w:rsidRPr="00757FB6" w:rsidRDefault="00883C1A" w:rsidP="00A4059A">
            <w:pPr>
              <w:pStyle w:val="TabBody"/>
              <w:jc w:val="center"/>
              <w:rPr>
                <w:color w:val="000000" w:themeColor="text1"/>
                <w:szCs w:val="18"/>
              </w:rPr>
            </w:pPr>
            <w:r w:rsidRPr="00757FB6">
              <w:rPr>
                <w:color w:val="000000" w:themeColor="text1"/>
                <w:szCs w:val="18"/>
              </w:rPr>
              <w:t>3,750%</w:t>
            </w:r>
          </w:p>
        </w:tc>
        <w:tc>
          <w:tcPr>
            <w:tcW w:w="1734" w:type="pct"/>
          </w:tcPr>
          <w:p w14:paraId="23040C15" w14:textId="77777777" w:rsidR="00883C1A" w:rsidRPr="002A1D84" w:rsidRDefault="00883C1A" w:rsidP="00A4059A">
            <w:pPr>
              <w:pStyle w:val="TabBody"/>
              <w:jc w:val="center"/>
              <w:rPr>
                <w:color w:val="000000" w:themeColor="text1"/>
                <w:szCs w:val="18"/>
                <w:highlight w:val="yellow"/>
              </w:rPr>
            </w:pPr>
            <w:r w:rsidRPr="00431A9F">
              <w:t>13,9535%</w:t>
            </w:r>
          </w:p>
        </w:tc>
      </w:tr>
      <w:tr w:rsidR="00883C1A" w:rsidRPr="00273561" w14:paraId="003FCBF2" w14:textId="77777777" w:rsidTr="00A4059A">
        <w:tc>
          <w:tcPr>
            <w:tcW w:w="656" w:type="pct"/>
          </w:tcPr>
          <w:p w14:paraId="3959FB3F" w14:textId="77777777" w:rsidR="00883C1A" w:rsidRDefault="00883C1A" w:rsidP="00A4059A">
            <w:pPr>
              <w:pStyle w:val="TabBody"/>
              <w:rPr>
                <w:b/>
                <w:color w:val="000000" w:themeColor="text1"/>
              </w:rPr>
            </w:pPr>
            <w:r>
              <w:rPr>
                <w:b/>
                <w:color w:val="000000" w:themeColor="text1"/>
              </w:rPr>
              <w:t>40</w:t>
            </w:r>
          </w:p>
        </w:tc>
        <w:tc>
          <w:tcPr>
            <w:tcW w:w="1464" w:type="pct"/>
            <w:vAlign w:val="center"/>
          </w:tcPr>
          <w:p w14:paraId="4C08856A"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42</w:t>
            </w:r>
          </w:p>
        </w:tc>
        <w:tc>
          <w:tcPr>
            <w:tcW w:w="1146" w:type="pct"/>
          </w:tcPr>
          <w:p w14:paraId="7DF31210" w14:textId="77777777" w:rsidR="00883C1A" w:rsidRPr="00757FB6" w:rsidRDefault="00883C1A" w:rsidP="00A4059A">
            <w:pPr>
              <w:pStyle w:val="TabBody"/>
              <w:jc w:val="center"/>
              <w:rPr>
                <w:color w:val="000000" w:themeColor="text1"/>
                <w:szCs w:val="18"/>
              </w:rPr>
            </w:pPr>
            <w:r w:rsidRPr="00757FB6">
              <w:rPr>
                <w:color w:val="000000" w:themeColor="text1"/>
                <w:szCs w:val="18"/>
              </w:rPr>
              <w:t>3,750%</w:t>
            </w:r>
          </w:p>
        </w:tc>
        <w:tc>
          <w:tcPr>
            <w:tcW w:w="1734" w:type="pct"/>
          </w:tcPr>
          <w:p w14:paraId="7108F8DB" w14:textId="77777777" w:rsidR="00883C1A" w:rsidRPr="002A1D84" w:rsidRDefault="00883C1A" w:rsidP="00A4059A">
            <w:pPr>
              <w:pStyle w:val="TabBody"/>
              <w:jc w:val="center"/>
              <w:rPr>
                <w:color w:val="000000" w:themeColor="text1"/>
                <w:szCs w:val="18"/>
                <w:highlight w:val="yellow"/>
              </w:rPr>
            </w:pPr>
            <w:r w:rsidRPr="00431A9F">
              <w:t>16,2162%</w:t>
            </w:r>
          </w:p>
        </w:tc>
      </w:tr>
      <w:tr w:rsidR="00883C1A" w:rsidRPr="00273561" w14:paraId="1A33B005" w14:textId="77777777" w:rsidTr="00A4059A">
        <w:tc>
          <w:tcPr>
            <w:tcW w:w="656" w:type="pct"/>
          </w:tcPr>
          <w:p w14:paraId="2A7FA30F" w14:textId="77777777" w:rsidR="00883C1A" w:rsidRDefault="00883C1A" w:rsidP="00A4059A">
            <w:pPr>
              <w:pStyle w:val="TabBody"/>
              <w:rPr>
                <w:b/>
                <w:color w:val="000000" w:themeColor="text1"/>
              </w:rPr>
            </w:pPr>
            <w:r>
              <w:rPr>
                <w:b/>
                <w:color w:val="000000" w:themeColor="text1"/>
              </w:rPr>
              <w:t>41</w:t>
            </w:r>
          </w:p>
        </w:tc>
        <w:tc>
          <w:tcPr>
            <w:tcW w:w="1464" w:type="pct"/>
            <w:vAlign w:val="center"/>
          </w:tcPr>
          <w:p w14:paraId="7D9F4D5D"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42</w:t>
            </w:r>
          </w:p>
        </w:tc>
        <w:tc>
          <w:tcPr>
            <w:tcW w:w="1146" w:type="pct"/>
          </w:tcPr>
          <w:p w14:paraId="6367EBFC" w14:textId="77777777" w:rsidR="00883C1A" w:rsidRPr="00757FB6" w:rsidRDefault="00883C1A" w:rsidP="00A4059A">
            <w:pPr>
              <w:pStyle w:val="TabBody"/>
              <w:jc w:val="center"/>
              <w:rPr>
                <w:color w:val="000000" w:themeColor="text1"/>
                <w:szCs w:val="18"/>
              </w:rPr>
            </w:pPr>
            <w:r w:rsidRPr="00757FB6">
              <w:rPr>
                <w:color w:val="000000" w:themeColor="text1"/>
                <w:szCs w:val="18"/>
              </w:rPr>
              <w:t>3,875%</w:t>
            </w:r>
          </w:p>
        </w:tc>
        <w:tc>
          <w:tcPr>
            <w:tcW w:w="1734" w:type="pct"/>
          </w:tcPr>
          <w:p w14:paraId="24D4FE7C" w14:textId="77777777" w:rsidR="00883C1A" w:rsidRPr="002A1D84" w:rsidRDefault="00883C1A" w:rsidP="00A4059A">
            <w:pPr>
              <w:pStyle w:val="TabBody"/>
              <w:jc w:val="center"/>
              <w:rPr>
                <w:color w:val="000000" w:themeColor="text1"/>
                <w:szCs w:val="18"/>
                <w:highlight w:val="yellow"/>
              </w:rPr>
            </w:pPr>
            <w:r w:rsidRPr="00431A9F">
              <w:t>20,0000%</w:t>
            </w:r>
          </w:p>
        </w:tc>
      </w:tr>
      <w:tr w:rsidR="00883C1A" w:rsidRPr="00273561" w14:paraId="4B67021C" w14:textId="77777777" w:rsidTr="00A4059A">
        <w:tc>
          <w:tcPr>
            <w:tcW w:w="656" w:type="pct"/>
          </w:tcPr>
          <w:p w14:paraId="4BF4628B" w14:textId="77777777" w:rsidR="00883C1A" w:rsidRDefault="00883C1A" w:rsidP="00A4059A">
            <w:pPr>
              <w:pStyle w:val="TabBody"/>
              <w:rPr>
                <w:b/>
                <w:color w:val="000000" w:themeColor="text1"/>
              </w:rPr>
            </w:pPr>
            <w:r>
              <w:rPr>
                <w:b/>
                <w:color w:val="000000" w:themeColor="text1"/>
              </w:rPr>
              <w:t>42</w:t>
            </w:r>
          </w:p>
        </w:tc>
        <w:tc>
          <w:tcPr>
            <w:tcW w:w="1464" w:type="pct"/>
            <w:vAlign w:val="center"/>
          </w:tcPr>
          <w:p w14:paraId="79754735"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43</w:t>
            </w:r>
          </w:p>
        </w:tc>
        <w:tc>
          <w:tcPr>
            <w:tcW w:w="1146" w:type="pct"/>
          </w:tcPr>
          <w:p w14:paraId="2339BEDB" w14:textId="77777777" w:rsidR="00883C1A" w:rsidRPr="00757FB6" w:rsidRDefault="00883C1A" w:rsidP="00A4059A">
            <w:pPr>
              <w:pStyle w:val="TabBody"/>
              <w:jc w:val="center"/>
              <w:rPr>
                <w:color w:val="000000" w:themeColor="text1"/>
                <w:szCs w:val="18"/>
              </w:rPr>
            </w:pPr>
            <w:r w:rsidRPr="00757FB6">
              <w:rPr>
                <w:color w:val="000000" w:themeColor="text1"/>
                <w:szCs w:val="18"/>
              </w:rPr>
              <w:t>3,875%</w:t>
            </w:r>
          </w:p>
        </w:tc>
        <w:tc>
          <w:tcPr>
            <w:tcW w:w="1734" w:type="pct"/>
          </w:tcPr>
          <w:p w14:paraId="795BA21C" w14:textId="77777777" w:rsidR="00883C1A" w:rsidRPr="002A1D84" w:rsidRDefault="00883C1A" w:rsidP="00A4059A">
            <w:pPr>
              <w:pStyle w:val="TabBody"/>
              <w:jc w:val="center"/>
              <w:rPr>
                <w:color w:val="000000" w:themeColor="text1"/>
                <w:szCs w:val="18"/>
                <w:highlight w:val="yellow"/>
              </w:rPr>
            </w:pPr>
            <w:r w:rsidRPr="00431A9F">
              <w:t>25,0000%</w:t>
            </w:r>
          </w:p>
        </w:tc>
      </w:tr>
      <w:tr w:rsidR="00883C1A" w:rsidRPr="00273561" w14:paraId="70A0CA6F" w14:textId="77777777" w:rsidTr="00A4059A">
        <w:tc>
          <w:tcPr>
            <w:tcW w:w="656" w:type="pct"/>
          </w:tcPr>
          <w:p w14:paraId="49C8C26A" w14:textId="77777777" w:rsidR="00883C1A" w:rsidRDefault="00883C1A" w:rsidP="00A4059A">
            <w:pPr>
              <w:pStyle w:val="TabBody"/>
              <w:rPr>
                <w:b/>
                <w:color w:val="000000" w:themeColor="text1"/>
              </w:rPr>
            </w:pPr>
            <w:r>
              <w:rPr>
                <w:b/>
                <w:color w:val="000000" w:themeColor="text1"/>
              </w:rPr>
              <w:t>43</w:t>
            </w:r>
          </w:p>
        </w:tc>
        <w:tc>
          <w:tcPr>
            <w:tcW w:w="1464" w:type="pct"/>
            <w:vAlign w:val="center"/>
          </w:tcPr>
          <w:p w14:paraId="35D738F8"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dezembro de 20</w:t>
            </w:r>
            <w:r>
              <w:rPr>
                <w:color w:val="000000" w:themeColor="text1"/>
                <w:szCs w:val="18"/>
              </w:rPr>
              <w:t>43</w:t>
            </w:r>
          </w:p>
        </w:tc>
        <w:tc>
          <w:tcPr>
            <w:tcW w:w="1146" w:type="pct"/>
          </w:tcPr>
          <w:p w14:paraId="1CB1617B" w14:textId="77777777" w:rsidR="00883C1A" w:rsidRPr="00757FB6" w:rsidRDefault="00883C1A" w:rsidP="00A4059A">
            <w:pPr>
              <w:pStyle w:val="TabBody"/>
              <w:jc w:val="center"/>
              <w:rPr>
                <w:color w:val="000000" w:themeColor="text1"/>
                <w:szCs w:val="18"/>
              </w:rPr>
            </w:pPr>
            <w:r w:rsidRPr="00757FB6">
              <w:rPr>
                <w:color w:val="000000" w:themeColor="text1"/>
                <w:szCs w:val="18"/>
              </w:rPr>
              <w:t>3,875%</w:t>
            </w:r>
          </w:p>
        </w:tc>
        <w:tc>
          <w:tcPr>
            <w:tcW w:w="1734" w:type="pct"/>
          </w:tcPr>
          <w:p w14:paraId="5BF567ED" w14:textId="77777777" w:rsidR="00883C1A" w:rsidRPr="002A1D84" w:rsidRDefault="00883C1A" w:rsidP="00A4059A">
            <w:pPr>
              <w:pStyle w:val="TabBody"/>
              <w:jc w:val="center"/>
              <w:rPr>
                <w:color w:val="000000" w:themeColor="text1"/>
                <w:szCs w:val="18"/>
                <w:highlight w:val="yellow"/>
              </w:rPr>
            </w:pPr>
            <w:r w:rsidRPr="00431A9F">
              <w:t>33,3333%</w:t>
            </w:r>
          </w:p>
        </w:tc>
      </w:tr>
      <w:tr w:rsidR="00883C1A" w:rsidRPr="00273561" w14:paraId="677C15B9" w14:textId="77777777" w:rsidTr="00A4059A">
        <w:tc>
          <w:tcPr>
            <w:tcW w:w="656" w:type="pct"/>
          </w:tcPr>
          <w:p w14:paraId="6382EE45" w14:textId="77777777" w:rsidR="00883C1A" w:rsidRDefault="00883C1A" w:rsidP="00A4059A">
            <w:pPr>
              <w:pStyle w:val="TabBody"/>
              <w:rPr>
                <w:b/>
                <w:color w:val="000000" w:themeColor="text1"/>
              </w:rPr>
            </w:pPr>
            <w:r>
              <w:rPr>
                <w:b/>
                <w:color w:val="000000" w:themeColor="text1"/>
              </w:rPr>
              <w:t>44</w:t>
            </w:r>
          </w:p>
        </w:tc>
        <w:tc>
          <w:tcPr>
            <w:tcW w:w="1464" w:type="pct"/>
            <w:vAlign w:val="center"/>
          </w:tcPr>
          <w:p w14:paraId="30FBC747" w14:textId="77777777" w:rsidR="00883C1A" w:rsidRPr="00056862" w:rsidRDefault="00883C1A" w:rsidP="00A4059A">
            <w:pPr>
              <w:pStyle w:val="TabBody"/>
              <w:jc w:val="center"/>
              <w:rPr>
                <w:color w:val="000000" w:themeColor="text1"/>
                <w:szCs w:val="18"/>
                <w:highlight w:val="yellow"/>
              </w:rPr>
            </w:pPr>
            <w:r w:rsidRPr="00AF6038">
              <w:rPr>
                <w:color w:val="000000" w:themeColor="text1"/>
                <w:szCs w:val="18"/>
              </w:rPr>
              <w:t>15 de junho de 20</w:t>
            </w:r>
            <w:r>
              <w:rPr>
                <w:color w:val="000000" w:themeColor="text1"/>
                <w:szCs w:val="18"/>
              </w:rPr>
              <w:t>44</w:t>
            </w:r>
          </w:p>
        </w:tc>
        <w:tc>
          <w:tcPr>
            <w:tcW w:w="1146" w:type="pct"/>
          </w:tcPr>
          <w:p w14:paraId="4618AC16" w14:textId="77777777" w:rsidR="00883C1A" w:rsidRPr="00757FB6" w:rsidRDefault="00883C1A" w:rsidP="00A4059A">
            <w:pPr>
              <w:pStyle w:val="TabBody"/>
              <w:jc w:val="center"/>
              <w:rPr>
                <w:color w:val="000000" w:themeColor="text1"/>
                <w:szCs w:val="18"/>
              </w:rPr>
            </w:pPr>
            <w:r w:rsidRPr="00757FB6">
              <w:rPr>
                <w:color w:val="000000" w:themeColor="text1"/>
                <w:szCs w:val="18"/>
              </w:rPr>
              <w:t>3,875%</w:t>
            </w:r>
          </w:p>
        </w:tc>
        <w:tc>
          <w:tcPr>
            <w:tcW w:w="1734" w:type="pct"/>
          </w:tcPr>
          <w:p w14:paraId="3B8E91CC" w14:textId="77777777" w:rsidR="00883C1A" w:rsidRPr="002A1D84" w:rsidRDefault="00883C1A" w:rsidP="00A4059A">
            <w:pPr>
              <w:pStyle w:val="TabBody"/>
              <w:jc w:val="center"/>
              <w:rPr>
                <w:color w:val="000000" w:themeColor="text1"/>
                <w:szCs w:val="18"/>
                <w:highlight w:val="yellow"/>
              </w:rPr>
            </w:pPr>
            <w:r w:rsidRPr="00431A9F">
              <w:t>50,0000%</w:t>
            </w:r>
          </w:p>
        </w:tc>
      </w:tr>
      <w:tr w:rsidR="00883C1A" w:rsidRPr="00273561" w14:paraId="4C8E44FE" w14:textId="77777777" w:rsidTr="00A4059A">
        <w:tc>
          <w:tcPr>
            <w:tcW w:w="656" w:type="pct"/>
            <w:vAlign w:val="center"/>
          </w:tcPr>
          <w:p w14:paraId="1E5A5983" w14:textId="77777777" w:rsidR="00883C1A" w:rsidRDefault="00883C1A" w:rsidP="00A4059A">
            <w:pPr>
              <w:pStyle w:val="TabBody"/>
              <w:rPr>
                <w:b/>
                <w:color w:val="000000" w:themeColor="text1"/>
              </w:rPr>
            </w:pPr>
            <w:r>
              <w:rPr>
                <w:b/>
                <w:color w:val="000000" w:themeColor="text1"/>
              </w:rPr>
              <w:t>45</w:t>
            </w:r>
          </w:p>
        </w:tc>
        <w:tc>
          <w:tcPr>
            <w:tcW w:w="1464" w:type="pct"/>
            <w:vAlign w:val="center"/>
          </w:tcPr>
          <w:p w14:paraId="0B28C15F" w14:textId="77777777" w:rsidR="00883C1A" w:rsidRDefault="00883C1A" w:rsidP="00A4059A">
            <w:pPr>
              <w:pStyle w:val="TabBody"/>
              <w:jc w:val="center"/>
              <w:rPr>
                <w:color w:val="000000" w:themeColor="text1"/>
                <w:szCs w:val="18"/>
              </w:rPr>
            </w:pPr>
            <w:r>
              <w:rPr>
                <w:color w:val="000000" w:themeColor="text1"/>
                <w:szCs w:val="18"/>
              </w:rPr>
              <w:t xml:space="preserve">Data de Vencimento </w:t>
            </w:r>
          </w:p>
        </w:tc>
        <w:tc>
          <w:tcPr>
            <w:tcW w:w="1146" w:type="pct"/>
            <w:vAlign w:val="bottom"/>
          </w:tcPr>
          <w:p w14:paraId="358F17A1" w14:textId="77777777" w:rsidR="00883C1A" w:rsidRPr="009F107A" w:rsidRDefault="00883C1A" w:rsidP="00A4059A">
            <w:pPr>
              <w:pStyle w:val="TabBody"/>
              <w:jc w:val="center"/>
              <w:rPr>
                <w:color w:val="000000" w:themeColor="text1"/>
                <w:szCs w:val="18"/>
              </w:rPr>
            </w:pPr>
            <w:r w:rsidRPr="00757FB6">
              <w:rPr>
                <w:color w:val="000000" w:themeColor="text1"/>
                <w:szCs w:val="18"/>
              </w:rPr>
              <w:t>3,875%</w:t>
            </w:r>
          </w:p>
        </w:tc>
        <w:tc>
          <w:tcPr>
            <w:tcW w:w="1734" w:type="pct"/>
            <w:vAlign w:val="bottom"/>
          </w:tcPr>
          <w:p w14:paraId="4D8A4538" w14:textId="77777777" w:rsidR="00883C1A" w:rsidRPr="003B10B7" w:rsidRDefault="00883C1A" w:rsidP="00A4059A">
            <w:pPr>
              <w:pStyle w:val="TabBody"/>
              <w:jc w:val="center"/>
              <w:rPr>
                <w:color w:val="000000" w:themeColor="text1"/>
                <w:szCs w:val="18"/>
              </w:rPr>
            </w:pPr>
            <w:r w:rsidRPr="008B68FF">
              <w:rPr>
                <w:color w:val="000000"/>
              </w:rPr>
              <w:t>100,0000%</w:t>
            </w:r>
          </w:p>
        </w:tc>
      </w:tr>
      <w:tr w:rsidR="00883C1A" w:rsidRPr="00273561" w14:paraId="6BAF2AA5" w14:textId="77777777" w:rsidTr="00A4059A">
        <w:trPr>
          <w:trHeight w:val="553"/>
        </w:trPr>
        <w:tc>
          <w:tcPr>
            <w:tcW w:w="5000" w:type="pct"/>
            <w:gridSpan w:val="4"/>
          </w:tcPr>
          <w:p w14:paraId="08F9A157" w14:textId="77777777" w:rsidR="00883C1A" w:rsidRPr="00273561" w:rsidRDefault="00883C1A" w:rsidP="00A4059A">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t xml:space="preserve">Unitário </w:t>
            </w:r>
            <w:r w:rsidRPr="00273561">
              <w:rPr>
                <w:color w:val="000000" w:themeColor="text1"/>
              </w:rPr>
              <w:t>Atualizado.</w:t>
            </w:r>
          </w:p>
        </w:tc>
      </w:tr>
    </w:tbl>
    <w:p w14:paraId="3A03E3F1" w14:textId="77777777" w:rsidR="00883C1A" w:rsidRDefault="00883C1A" w:rsidP="00883C1A">
      <w:pPr>
        <w:spacing w:before="140" w:line="290" w:lineRule="auto"/>
        <w:rPr>
          <w:rFonts w:ascii="Arial" w:hAnsi="Arial" w:cs="Arial"/>
          <w:b/>
          <w:sz w:val="20"/>
          <w:szCs w:val="20"/>
        </w:rPr>
      </w:pPr>
    </w:p>
    <w:p w14:paraId="2C321346" w14:textId="77777777" w:rsidR="0032358D" w:rsidRPr="009902BA" w:rsidRDefault="0032358D" w:rsidP="00753FDD">
      <w:pPr>
        <w:keepNext/>
        <w:jc w:val="both"/>
        <w:rPr>
          <w:rFonts w:ascii="Arial" w:hAnsi="Arial" w:cs="Arial"/>
          <w:sz w:val="20"/>
          <w:szCs w:val="20"/>
        </w:rPr>
      </w:pPr>
    </w:p>
    <w:sectPr w:rsidR="0032358D" w:rsidRPr="009902BA" w:rsidSect="00535C03">
      <w:footerReference w:type="default" r:id="rId26"/>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CE73" w14:textId="77777777" w:rsidR="00A4059A" w:rsidRDefault="00A4059A" w:rsidP="002A69C2">
      <w:r>
        <w:separator/>
      </w:r>
    </w:p>
  </w:endnote>
  <w:endnote w:type="continuationSeparator" w:id="0">
    <w:p w14:paraId="01D22AF0" w14:textId="77777777" w:rsidR="00A4059A" w:rsidRDefault="00A4059A" w:rsidP="002A69C2">
      <w:r>
        <w:continuationSeparator/>
      </w:r>
    </w:p>
  </w:endnote>
  <w:endnote w:type="continuationNotice" w:id="1">
    <w:p w14:paraId="1FF5BFE0" w14:textId="77777777" w:rsidR="00A4059A" w:rsidRDefault="00A40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651F" w14:textId="77777777" w:rsidR="00A4059A" w:rsidRDefault="00A4059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4A5976" w14:textId="77777777" w:rsidR="00A4059A" w:rsidRDefault="00A405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B6CF" w14:textId="664C8AA5" w:rsidR="00A4059A" w:rsidRPr="00564181" w:rsidRDefault="00A4059A" w:rsidP="00564181">
    <w:pPr>
      <w:pStyle w:val="Rodap"/>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Pr>
        <w:rFonts w:ascii="Arial" w:hAnsi="Arial" w:cs="Arial"/>
        <w:noProof/>
        <w:sz w:val="20"/>
        <w:szCs w:val="20"/>
        <w:lang w:val="en-US"/>
      </w:rPr>
      <w:t>2</w:t>
    </w:r>
    <w:r w:rsidRPr="00535C03">
      <w:rPr>
        <w:rFonts w:ascii="Arial" w:hAnsi="Arial" w:cs="Arial"/>
        <w:sz w:val="20"/>
        <w:szCs w:val="20"/>
      </w:rPr>
      <w:fldChar w:fldCharType="end"/>
    </w:r>
  </w:p>
  <w:p w14:paraId="1175D5EE" w14:textId="77777777" w:rsidR="00A4059A" w:rsidRDefault="00A4059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A31D" w14:textId="77777777" w:rsidR="00A4059A" w:rsidRPr="00535C03" w:rsidRDefault="00A4059A" w:rsidP="00535C03">
    <w:pPr>
      <w:pStyle w:val="Rodap"/>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E282" w14:textId="77777777" w:rsidR="00A4059A" w:rsidRDefault="00A4059A" w:rsidP="002A69C2">
      <w:r>
        <w:separator/>
      </w:r>
    </w:p>
  </w:footnote>
  <w:footnote w:type="continuationSeparator" w:id="0">
    <w:p w14:paraId="342AE9EC" w14:textId="77777777" w:rsidR="00A4059A" w:rsidRDefault="00A4059A" w:rsidP="002A69C2">
      <w:r>
        <w:continuationSeparator/>
      </w:r>
    </w:p>
  </w:footnote>
  <w:footnote w:type="continuationNotice" w:id="1">
    <w:p w14:paraId="1C89FBF8" w14:textId="77777777" w:rsidR="00A4059A" w:rsidRDefault="00A40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AC93" w14:textId="0F51C373" w:rsidR="00A4059A" w:rsidRDefault="00A4059A" w:rsidP="009D2D49">
    <w:pPr>
      <w:pStyle w:val="Cabealho"/>
      <w:jc w:val="right"/>
      <w:rPr>
        <w:rFonts w:ascii="Arial" w:hAnsi="Arial" w:cs="Arial"/>
        <w:i/>
      </w:rPr>
    </w:pPr>
    <w:r>
      <w:rPr>
        <w:rFonts w:ascii="Arial" w:hAnsi="Arial" w:cs="Arial"/>
        <w:i/>
      </w:rPr>
      <w:t xml:space="preserve">Minuta para </w:t>
    </w:r>
    <w:proofErr w:type="spellStart"/>
    <w:r>
      <w:rPr>
        <w:rFonts w:ascii="Arial" w:hAnsi="Arial" w:cs="Arial"/>
        <w:i/>
      </w:rPr>
      <w:t>sign-off</w:t>
    </w:r>
    <w:proofErr w:type="spellEnd"/>
    <w:r>
      <w:rPr>
        <w:rFonts w:ascii="Arial" w:hAnsi="Arial" w:cs="Arial"/>
        <w:i/>
      </w:rPr>
      <w:t xml:space="preserve"> – 02.03.2020</w:t>
    </w:r>
  </w:p>
  <w:p w14:paraId="766CD8C3" w14:textId="60D1D724" w:rsidR="00A4059A" w:rsidRDefault="00A4059A" w:rsidP="009D2D49">
    <w:pPr>
      <w:pStyle w:val="Cabealho"/>
      <w:jc w:val="right"/>
      <w:rPr>
        <w:rFonts w:ascii="Arial" w:hAnsi="Arial" w:cs="Arial"/>
        <w:i/>
      </w:rPr>
    </w:pPr>
  </w:p>
  <w:p w14:paraId="6D37769D" w14:textId="751945F1" w:rsidR="00A4059A" w:rsidRDefault="00A4059A" w:rsidP="009D2D49">
    <w:pPr>
      <w:pStyle w:val="Cabealho"/>
      <w:jc w:val="right"/>
      <w:rPr>
        <w:rFonts w:ascii="Arial" w:hAnsi="Arial" w:cs="Arial"/>
        <w:i/>
      </w:rPr>
    </w:pPr>
  </w:p>
  <w:p w14:paraId="70E71720" w14:textId="18390539" w:rsidR="00A4059A" w:rsidRPr="00286E68" w:rsidRDefault="00A4059A" w:rsidP="009D2D49">
    <w:pPr>
      <w:pStyle w:val="Cabealho"/>
      <w:jc w:val="right"/>
      <w:rPr>
        <w:rFonts w:ascii="Arial" w:hAnsi="Arial"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B0CD" w14:textId="77777777" w:rsidR="00A4059A" w:rsidRPr="00564181" w:rsidRDefault="00A4059A"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Forte"/>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0"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5" w15:restartNumberingAfterBreak="0">
    <w:nsid w:val="52C7590F"/>
    <w:multiLevelType w:val="multilevel"/>
    <w:tmpl w:val="41220B6E"/>
    <w:lvl w:ilvl="0">
      <w:start w:val="1"/>
      <w:numFmt w:val="decimal"/>
      <w:lvlRestart w:val="0"/>
      <w:pStyle w:val="Ttulo1AgmtArticleNumber"/>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Normal1"/>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CharCharCharCharCharCharCharCharCharCharChar"/>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MquinadeescreverHTML"/>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6"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EC477F"/>
    <w:multiLevelType w:val="multilevel"/>
    <w:tmpl w:val="802EC39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1"/>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8355D7B"/>
    <w:multiLevelType w:val="multilevel"/>
    <w:tmpl w:val="2778997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9"/>
  </w:num>
  <w:num w:numId="3">
    <w:abstractNumId w:val="30"/>
  </w:num>
  <w:num w:numId="4">
    <w:abstractNumId w:val="26"/>
  </w:num>
  <w:num w:numId="5">
    <w:abstractNumId w:val="14"/>
  </w:num>
  <w:num w:numId="6">
    <w:abstractNumId w:val="33"/>
  </w:num>
  <w:num w:numId="7">
    <w:abstractNumId w:val="6"/>
  </w:num>
  <w:num w:numId="8">
    <w:abstractNumId w:val="11"/>
  </w:num>
  <w:num w:numId="9">
    <w:abstractNumId w:val="18"/>
  </w:num>
  <w:num w:numId="10">
    <w:abstractNumId w:val="28"/>
  </w:num>
  <w:num w:numId="11">
    <w:abstractNumId w:val="29"/>
  </w:num>
  <w:num w:numId="12">
    <w:abstractNumId w:val="33"/>
  </w:num>
  <w:num w:numId="13">
    <w:abstractNumId w:val="5"/>
  </w:num>
  <w:num w:numId="14">
    <w:abstractNumId w:val="3"/>
  </w:num>
  <w:num w:numId="15">
    <w:abstractNumId w:val="1"/>
  </w:num>
  <w:num w:numId="16">
    <w:abstractNumId w:val="2"/>
  </w:num>
  <w:num w:numId="17">
    <w:abstractNumId w:val="4"/>
  </w:num>
  <w:num w:numId="18">
    <w:abstractNumId w:val="32"/>
  </w:num>
  <w:num w:numId="19">
    <w:abstractNumId w:val="27"/>
  </w:num>
  <w:num w:numId="20">
    <w:abstractNumId w:val="34"/>
  </w:num>
  <w:num w:numId="21">
    <w:abstractNumId w:val="25"/>
  </w:num>
  <w:num w:numId="22">
    <w:abstractNumId w:val="13"/>
  </w:num>
  <w:num w:numId="23">
    <w:abstractNumId w:val="22"/>
  </w:num>
  <w:num w:numId="24">
    <w:abstractNumId w:val="1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3"/>
  </w:num>
  <w:num w:numId="30">
    <w:abstractNumId w:val="8"/>
  </w:num>
  <w:num w:numId="31">
    <w:abstractNumId w:val="20"/>
  </w:num>
  <w:num w:numId="32">
    <w:abstractNumId w:val="12"/>
  </w:num>
  <w:num w:numId="33">
    <w:abstractNumId w:val="19"/>
  </w:num>
  <w:num w:numId="34">
    <w:abstractNumId w:val="31"/>
  </w:num>
  <w:num w:numId="35">
    <w:abstractNumId w:val="10"/>
  </w:num>
  <w:num w:numId="36">
    <w:abstractNumId w:val="7"/>
  </w:num>
  <w:num w:numId="37">
    <w:abstractNumId w:val="35"/>
  </w:num>
  <w:num w:numId="3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6997"/>
    <w:rsid w:val="000C7C0B"/>
    <w:rsid w:val="000C7F14"/>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25FBD"/>
    <w:rsid w:val="00130518"/>
    <w:rsid w:val="00130E18"/>
    <w:rsid w:val="00131C8C"/>
    <w:rsid w:val="00132129"/>
    <w:rsid w:val="00132A1B"/>
    <w:rsid w:val="00134858"/>
    <w:rsid w:val="001353D2"/>
    <w:rsid w:val="00136793"/>
    <w:rsid w:val="001411B2"/>
    <w:rsid w:val="00144416"/>
    <w:rsid w:val="0014475D"/>
    <w:rsid w:val="00144D14"/>
    <w:rsid w:val="00145F2C"/>
    <w:rsid w:val="001503D1"/>
    <w:rsid w:val="00155C20"/>
    <w:rsid w:val="001601B9"/>
    <w:rsid w:val="001625CD"/>
    <w:rsid w:val="00173603"/>
    <w:rsid w:val="001739E1"/>
    <w:rsid w:val="001740D5"/>
    <w:rsid w:val="00176CB0"/>
    <w:rsid w:val="00180BBE"/>
    <w:rsid w:val="00180E2A"/>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486"/>
    <w:rsid w:val="001D1ABC"/>
    <w:rsid w:val="001D41B0"/>
    <w:rsid w:val="001D5437"/>
    <w:rsid w:val="001E197D"/>
    <w:rsid w:val="001F01ED"/>
    <w:rsid w:val="001F29EA"/>
    <w:rsid w:val="001F467E"/>
    <w:rsid w:val="00200058"/>
    <w:rsid w:val="002003AB"/>
    <w:rsid w:val="00200E75"/>
    <w:rsid w:val="0020257D"/>
    <w:rsid w:val="00204828"/>
    <w:rsid w:val="002125FF"/>
    <w:rsid w:val="0021627B"/>
    <w:rsid w:val="002169D2"/>
    <w:rsid w:val="0021733F"/>
    <w:rsid w:val="00217D85"/>
    <w:rsid w:val="00220141"/>
    <w:rsid w:val="00227180"/>
    <w:rsid w:val="0022771D"/>
    <w:rsid w:val="00231C28"/>
    <w:rsid w:val="00233EA1"/>
    <w:rsid w:val="002350C6"/>
    <w:rsid w:val="002365DF"/>
    <w:rsid w:val="00241533"/>
    <w:rsid w:val="00245635"/>
    <w:rsid w:val="00246A1E"/>
    <w:rsid w:val="002530D4"/>
    <w:rsid w:val="00254F4D"/>
    <w:rsid w:val="00255C27"/>
    <w:rsid w:val="00257AEF"/>
    <w:rsid w:val="00261ED9"/>
    <w:rsid w:val="00262C8B"/>
    <w:rsid w:val="00264322"/>
    <w:rsid w:val="0027120D"/>
    <w:rsid w:val="002739A9"/>
    <w:rsid w:val="002769E2"/>
    <w:rsid w:val="00281E30"/>
    <w:rsid w:val="00282125"/>
    <w:rsid w:val="00284164"/>
    <w:rsid w:val="00285D33"/>
    <w:rsid w:val="00286E68"/>
    <w:rsid w:val="00287AA7"/>
    <w:rsid w:val="00287AAC"/>
    <w:rsid w:val="0029163D"/>
    <w:rsid w:val="00292B76"/>
    <w:rsid w:val="00294709"/>
    <w:rsid w:val="00297BD4"/>
    <w:rsid w:val="002A1569"/>
    <w:rsid w:val="002A21C1"/>
    <w:rsid w:val="002A2314"/>
    <w:rsid w:val="002A6432"/>
    <w:rsid w:val="002A6600"/>
    <w:rsid w:val="002A69C2"/>
    <w:rsid w:val="002A6CA8"/>
    <w:rsid w:val="002A73CB"/>
    <w:rsid w:val="002B011E"/>
    <w:rsid w:val="002B3B7C"/>
    <w:rsid w:val="002B5686"/>
    <w:rsid w:val="002B5D15"/>
    <w:rsid w:val="002C269C"/>
    <w:rsid w:val="002C3C4D"/>
    <w:rsid w:val="002C402F"/>
    <w:rsid w:val="002C4C2F"/>
    <w:rsid w:val="002C7FF3"/>
    <w:rsid w:val="002D12F7"/>
    <w:rsid w:val="002D4AA0"/>
    <w:rsid w:val="002D5352"/>
    <w:rsid w:val="002E05F8"/>
    <w:rsid w:val="002E2B73"/>
    <w:rsid w:val="002E4B3B"/>
    <w:rsid w:val="002E6C25"/>
    <w:rsid w:val="002E7ABD"/>
    <w:rsid w:val="002F00A8"/>
    <w:rsid w:val="002F1941"/>
    <w:rsid w:val="002F21D3"/>
    <w:rsid w:val="002F2B1C"/>
    <w:rsid w:val="002F2C43"/>
    <w:rsid w:val="002F3A91"/>
    <w:rsid w:val="002F5485"/>
    <w:rsid w:val="002F7778"/>
    <w:rsid w:val="0030251E"/>
    <w:rsid w:val="00304CF6"/>
    <w:rsid w:val="0030531F"/>
    <w:rsid w:val="00305C1C"/>
    <w:rsid w:val="0031323A"/>
    <w:rsid w:val="00314408"/>
    <w:rsid w:val="00314F73"/>
    <w:rsid w:val="00317A19"/>
    <w:rsid w:val="0032358D"/>
    <w:rsid w:val="003258E4"/>
    <w:rsid w:val="00331C5A"/>
    <w:rsid w:val="0033263C"/>
    <w:rsid w:val="003329CF"/>
    <w:rsid w:val="00333510"/>
    <w:rsid w:val="003335C7"/>
    <w:rsid w:val="00334639"/>
    <w:rsid w:val="00334B81"/>
    <w:rsid w:val="00334C56"/>
    <w:rsid w:val="003352B0"/>
    <w:rsid w:val="0033543F"/>
    <w:rsid w:val="00336A3F"/>
    <w:rsid w:val="00337E01"/>
    <w:rsid w:val="00340BF6"/>
    <w:rsid w:val="00343350"/>
    <w:rsid w:val="003435EC"/>
    <w:rsid w:val="00343F61"/>
    <w:rsid w:val="00345EAF"/>
    <w:rsid w:val="00351223"/>
    <w:rsid w:val="00354622"/>
    <w:rsid w:val="003549EE"/>
    <w:rsid w:val="003563E3"/>
    <w:rsid w:val="003578E2"/>
    <w:rsid w:val="00357997"/>
    <w:rsid w:val="003605E4"/>
    <w:rsid w:val="00363F98"/>
    <w:rsid w:val="003726AE"/>
    <w:rsid w:val="00377760"/>
    <w:rsid w:val="0038092E"/>
    <w:rsid w:val="003908C1"/>
    <w:rsid w:val="003909DB"/>
    <w:rsid w:val="00390B88"/>
    <w:rsid w:val="00391BFE"/>
    <w:rsid w:val="003A360A"/>
    <w:rsid w:val="003A7320"/>
    <w:rsid w:val="003A7DF6"/>
    <w:rsid w:val="003B09D9"/>
    <w:rsid w:val="003B10EB"/>
    <w:rsid w:val="003C08C9"/>
    <w:rsid w:val="003C491D"/>
    <w:rsid w:val="003D100E"/>
    <w:rsid w:val="003E3510"/>
    <w:rsid w:val="003E3597"/>
    <w:rsid w:val="003E4B84"/>
    <w:rsid w:val="003E5914"/>
    <w:rsid w:val="003E68FD"/>
    <w:rsid w:val="003F0838"/>
    <w:rsid w:val="003F2AA1"/>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65D5"/>
    <w:rsid w:val="0049763A"/>
    <w:rsid w:val="004A2096"/>
    <w:rsid w:val="004A36BE"/>
    <w:rsid w:val="004A5800"/>
    <w:rsid w:val="004A6E52"/>
    <w:rsid w:val="004A76F4"/>
    <w:rsid w:val="004B1899"/>
    <w:rsid w:val="004B768C"/>
    <w:rsid w:val="004C43B0"/>
    <w:rsid w:val="004D19AD"/>
    <w:rsid w:val="004D6BA3"/>
    <w:rsid w:val="004E3003"/>
    <w:rsid w:val="004F13DB"/>
    <w:rsid w:val="004F40A0"/>
    <w:rsid w:val="004F4258"/>
    <w:rsid w:val="004F4B78"/>
    <w:rsid w:val="004F65A6"/>
    <w:rsid w:val="004F6D3A"/>
    <w:rsid w:val="004F7A36"/>
    <w:rsid w:val="004F7ABB"/>
    <w:rsid w:val="0050194A"/>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247"/>
    <w:rsid w:val="005439A9"/>
    <w:rsid w:val="00544E04"/>
    <w:rsid w:val="00546AB9"/>
    <w:rsid w:val="005470F1"/>
    <w:rsid w:val="00551D9B"/>
    <w:rsid w:val="00551FBB"/>
    <w:rsid w:val="00552DEC"/>
    <w:rsid w:val="00563557"/>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A2E1A"/>
    <w:rsid w:val="005B0EA3"/>
    <w:rsid w:val="005B409E"/>
    <w:rsid w:val="005B4651"/>
    <w:rsid w:val="005C03F2"/>
    <w:rsid w:val="005C0F0D"/>
    <w:rsid w:val="005C1AF9"/>
    <w:rsid w:val="005C409E"/>
    <w:rsid w:val="005C6C71"/>
    <w:rsid w:val="005D0ACE"/>
    <w:rsid w:val="005D1525"/>
    <w:rsid w:val="005D5EBF"/>
    <w:rsid w:val="005E0276"/>
    <w:rsid w:val="005E1660"/>
    <w:rsid w:val="005E1C58"/>
    <w:rsid w:val="005E5090"/>
    <w:rsid w:val="005E6C87"/>
    <w:rsid w:val="005F20D7"/>
    <w:rsid w:val="005F2420"/>
    <w:rsid w:val="005F6974"/>
    <w:rsid w:val="005F765F"/>
    <w:rsid w:val="00601B49"/>
    <w:rsid w:val="00601E6A"/>
    <w:rsid w:val="006046E0"/>
    <w:rsid w:val="00612F29"/>
    <w:rsid w:val="00613D20"/>
    <w:rsid w:val="00613DB2"/>
    <w:rsid w:val="00614384"/>
    <w:rsid w:val="00615B88"/>
    <w:rsid w:val="006175BA"/>
    <w:rsid w:val="00620423"/>
    <w:rsid w:val="00621079"/>
    <w:rsid w:val="006222BD"/>
    <w:rsid w:val="0062272C"/>
    <w:rsid w:val="006270D5"/>
    <w:rsid w:val="0063617C"/>
    <w:rsid w:val="006369AF"/>
    <w:rsid w:val="00644605"/>
    <w:rsid w:val="00644673"/>
    <w:rsid w:val="00644CA7"/>
    <w:rsid w:val="0064754C"/>
    <w:rsid w:val="006509DA"/>
    <w:rsid w:val="00650D91"/>
    <w:rsid w:val="006523C6"/>
    <w:rsid w:val="00656774"/>
    <w:rsid w:val="006607C0"/>
    <w:rsid w:val="00664853"/>
    <w:rsid w:val="00665F8B"/>
    <w:rsid w:val="00667703"/>
    <w:rsid w:val="00675907"/>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128B"/>
    <w:rsid w:val="006D220B"/>
    <w:rsid w:val="006D6851"/>
    <w:rsid w:val="006D6AC9"/>
    <w:rsid w:val="006D739F"/>
    <w:rsid w:val="006D7706"/>
    <w:rsid w:val="006E2508"/>
    <w:rsid w:val="006E7B99"/>
    <w:rsid w:val="006E7DF2"/>
    <w:rsid w:val="006F29BB"/>
    <w:rsid w:val="00700DEC"/>
    <w:rsid w:val="00702C0D"/>
    <w:rsid w:val="007042F4"/>
    <w:rsid w:val="00704463"/>
    <w:rsid w:val="0070456A"/>
    <w:rsid w:val="00711482"/>
    <w:rsid w:val="0071294C"/>
    <w:rsid w:val="00712B81"/>
    <w:rsid w:val="00712E55"/>
    <w:rsid w:val="00714C05"/>
    <w:rsid w:val="00717371"/>
    <w:rsid w:val="00720F60"/>
    <w:rsid w:val="00723CF4"/>
    <w:rsid w:val="00724AFA"/>
    <w:rsid w:val="007258E6"/>
    <w:rsid w:val="00726F67"/>
    <w:rsid w:val="00731A8F"/>
    <w:rsid w:val="00733B7D"/>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1A78"/>
    <w:rsid w:val="00793139"/>
    <w:rsid w:val="00793F89"/>
    <w:rsid w:val="007A195F"/>
    <w:rsid w:val="007A2616"/>
    <w:rsid w:val="007A55EE"/>
    <w:rsid w:val="007B158E"/>
    <w:rsid w:val="007B3150"/>
    <w:rsid w:val="007B5352"/>
    <w:rsid w:val="007B5E75"/>
    <w:rsid w:val="007B7C0F"/>
    <w:rsid w:val="007C0A26"/>
    <w:rsid w:val="007C1A24"/>
    <w:rsid w:val="007C2FDC"/>
    <w:rsid w:val="007D1BD5"/>
    <w:rsid w:val="007D6C74"/>
    <w:rsid w:val="007E0AA2"/>
    <w:rsid w:val="007E3ADE"/>
    <w:rsid w:val="007F1909"/>
    <w:rsid w:val="007F6649"/>
    <w:rsid w:val="00802793"/>
    <w:rsid w:val="0080513B"/>
    <w:rsid w:val="00806753"/>
    <w:rsid w:val="0080700F"/>
    <w:rsid w:val="00807F4D"/>
    <w:rsid w:val="00811997"/>
    <w:rsid w:val="00815CD2"/>
    <w:rsid w:val="00823A02"/>
    <w:rsid w:val="008242D5"/>
    <w:rsid w:val="00825418"/>
    <w:rsid w:val="00825E63"/>
    <w:rsid w:val="0082654D"/>
    <w:rsid w:val="00827AE7"/>
    <w:rsid w:val="00831900"/>
    <w:rsid w:val="00833942"/>
    <w:rsid w:val="008347A6"/>
    <w:rsid w:val="00834CD1"/>
    <w:rsid w:val="00840790"/>
    <w:rsid w:val="0084246C"/>
    <w:rsid w:val="00843CAE"/>
    <w:rsid w:val="00846A69"/>
    <w:rsid w:val="00850BB1"/>
    <w:rsid w:val="00856766"/>
    <w:rsid w:val="00860164"/>
    <w:rsid w:val="00861E3D"/>
    <w:rsid w:val="008623EE"/>
    <w:rsid w:val="00867639"/>
    <w:rsid w:val="0087120B"/>
    <w:rsid w:val="008747AA"/>
    <w:rsid w:val="008752D5"/>
    <w:rsid w:val="00875949"/>
    <w:rsid w:val="00877C9A"/>
    <w:rsid w:val="00880E19"/>
    <w:rsid w:val="0088162A"/>
    <w:rsid w:val="00883C1A"/>
    <w:rsid w:val="00887756"/>
    <w:rsid w:val="00890211"/>
    <w:rsid w:val="00890246"/>
    <w:rsid w:val="00892C07"/>
    <w:rsid w:val="008950D8"/>
    <w:rsid w:val="0089718A"/>
    <w:rsid w:val="008A1AE5"/>
    <w:rsid w:val="008A2D49"/>
    <w:rsid w:val="008B09A6"/>
    <w:rsid w:val="008B234E"/>
    <w:rsid w:val="008B2DEB"/>
    <w:rsid w:val="008B5B45"/>
    <w:rsid w:val="008B6E99"/>
    <w:rsid w:val="008D311E"/>
    <w:rsid w:val="008D4B27"/>
    <w:rsid w:val="008D50B7"/>
    <w:rsid w:val="008D57EF"/>
    <w:rsid w:val="008D72FA"/>
    <w:rsid w:val="008E143D"/>
    <w:rsid w:val="008E5A7F"/>
    <w:rsid w:val="008E6DE1"/>
    <w:rsid w:val="008E7EDF"/>
    <w:rsid w:val="008F24CA"/>
    <w:rsid w:val="008F6F33"/>
    <w:rsid w:val="008F7063"/>
    <w:rsid w:val="00903574"/>
    <w:rsid w:val="009035DD"/>
    <w:rsid w:val="00904827"/>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185D"/>
    <w:rsid w:val="00972D12"/>
    <w:rsid w:val="0097309D"/>
    <w:rsid w:val="009768B3"/>
    <w:rsid w:val="00980FDF"/>
    <w:rsid w:val="00981A3E"/>
    <w:rsid w:val="00984A16"/>
    <w:rsid w:val="00984AE2"/>
    <w:rsid w:val="009902BA"/>
    <w:rsid w:val="009908A0"/>
    <w:rsid w:val="009932E1"/>
    <w:rsid w:val="0099397E"/>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F0C55"/>
    <w:rsid w:val="009F1F93"/>
    <w:rsid w:val="009F3356"/>
    <w:rsid w:val="009F3EE8"/>
    <w:rsid w:val="009F3F9D"/>
    <w:rsid w:val="009F4A45"/>
    <w:rsid w:val="00A01833"/>
    <w:rsid w:val="00A0628A"/>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059A"/>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776A2"/>
    <w:rsid w:val="00A82769"/>
    <w:rsid w:val="00A86A26"/>
    <w:rsid w:val="00A86CF0"/>
    <w:rsid w:val="00A8727B"/>
    <w:rsid w:val="00A90DD4"/>
    <w:rsid w:val="00A90F3D"/>
    <w:rsid w:val="00AA36BD"/>
    <w:rsid w:val="00AA4F1D"/>
    <w:rsid w:val="00AA59AC"/>
    <w:rsid w:val="00AB2597"/>
    <w:rsid w:val="00AB6058"/>
    <w:rsid w:val="00AB63C8"/>
    <w:rsid w:val="00AC0C36"/>
    <w:rsid w:val="00AC2370"/>
    <w:rsid w:val="00AC50E3"/>
    <w:rsid w:val="00AC74A0"/>
    <w:rsid w:val="00AD17FD"/>
    <w:rsid w:val="00AD2AD2"/>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09C8"/>
    <w:rsid w:val="00B32BDE"/>
    <w:rsid w:val="00B37270"/>
    <w:rsid w:val="00B37A32"/>
    <w:rsid w:val="00B421A8"/>
    <w:rsid w:val="00B43186"/>
    <w:rsid w:val="00B43D0F"/>
    <w:rsid w:val="00B44141"/>
    <w:rsid w:val="00B50627"/>
    <w:rsid w:val="00B524E1"/>
    <w:rsid w:val="00B551DB"/>
    <w:rsid w:val="00B60FBA"/>
    <w:rsid w:val="00B623AC"/>
    <w:rsid w:val="00B6252D"/>
    <w:rsid w:val="00B637EE"/>
    <w:rsid w:val="00B706FC"/>
    <w:rsid w:val="00B70FE8"/>
    <w:rsid w:val="00B7344B"/>
    <w:rsid w:val="00B74177"/>
    <w:rsid w:val="00B749AF"/>
    <w:rsid w:val="00B76EAE"/>
    <w:rsid w:val="00B81DEF"/>
    <w:rsid w:val="00B848C9"/>
    <w:rsid w:val="00B91F5E"/>
    <w:rsid w:val="00B964AC"/>
    <w:rsid w:val="00BA077D"/>
    <w:rsid w:val="00BA13E2"/>
    <w:rsid w:val="00BB0944"/>
    <w:rsid w:val="00BB174B"/>
    <w:rsid w:val="00BB6F41"/>
    <w:rsid w:val="00BC2DE1"/>
    <w:rsid w:val="00BC7B5D"/>
    <w:rsid w:val="00BE0502"/>
    <w:rsid w:val="00BE61DE"/>
    <w:rsid w:val="00BE67B4"/>
    <w:rsid w:val="00BF0479"/>
    <w:rsid w:val="00BF104F"/>
    <w:rsid w:val="00BF1172"/>
    <w:rsid w:val="00C00346"/>
    <w:rsid w:val="00C00574"/>
    <w:rsid w:val="00C00C54"/>
    <w:rsid w:val="00C05A2B"/>
    <w:rsid w:val="00C07359"/>
    <w:rsid w:val="00C11A1E"/>
    <w:rsid w:val="00C1416C"/>
    <w:rsid w:val="00C1484C"/>
    <w:rsid w:val="00C17795"/>
    <w:rsid w:val="00C259B7"/>
    <w:rsid w:val="00C27BD9"/>
    <w:rsid w:val="00C308F5"/>
    <w:rsid w:val="00C338E2"/>
    <w:rsid w:val="00C33E99"/>
    <w:rsid w:val="00C4598F"/>
    <w:rsid w:val="00C45BAF"/>
    <w:rsid w:val="00C4684F"/>
    <w:rsid w:val="00C46F1A"/>
    <w:rsid w:val="00C50450"/>
    <w:rsid w:val="00C57E95"/>
    <w:rsid w:val="00C60650"/>
    <w:rsid w:val="00C64927"/>
    <w:rsid w:val="00C66381"/>
    <w:rsid w:val="00C70F75"/>
    <w:rsid w:val="00C71C81"/>
    <w:rsid w:val="00C72E0B"/>
    <w:rsid w:val="00C73136"/>
    <w:rsid w:val="00C833DE"/>
    <w:rsid w:val="00C843DE"/>
    <w:rsid w:val="00C852EC"/>
    <w:rsid w:val="00C87B2B"/>
    <w:rsid w:val="00C90FDC"/>
    <w:rsid w:val="00C94D1A"/>
    <w:rsid w:val="00C95923"/>
    <w:rsid w:val="00C95E74"/>
    <w:rsid w:val="00CA1F25"/>
    <w:rsid w:val="00CA4CC5"/>
    <w:rsid w:val="00CA69F1"/>
    <w:rsid w:val="00CA6C08"/>
    <w:rsid w:val="00CB659A"/>
    <w:rsid w:val="00CC3AA2"/>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54C7"/>
    <w:rsid w:val="00D36D37"/>
    <w:rsid w:val="00D371CE"/>
    <w:rsid w:val="00D425DE"/>
    <w:rsid w:val="00D426F2"/>
    <w:rsid w:val="00D43BA6"/>
    <w:rsid w:val="00D443BF"/>
    <w:rsid w:val="00D44C9F"/>
    <w:rsid w:val="00D45A94"/>
    <w:rsid w:val="00D4658E"/>
    <w:rsid w:val="00D5116A"/>
    <w:rsid w:val="00D538E4"/>
    <w:rsid w:val="00D53F15"/>
    <w:rsid w:val="00D542D4"/>
    <w:rsid w:val="00D54C21"/>
    <w:rsid w:val="00D60D00"/>
    <w:rsid w:val="00D61BDA"/>
    <w:rsid w:val="00D644BB"/>
    <w:rsid w:val="00D7129B"/>
    <w:rsid w:val="00D74FAC"/>
    <w:rsid w:val="00D75963"/>
    <w:rsid w:val="00D76665"/>
    <w:rsid w:val="00D800D3"/>
    <w:rsid w:val="00D80A45"/>
    <w:rsid w:val="00D80E90"/>
    <w:rsid w:val="00D82D9A"/>
    <w:rsid w:val="00D83F31"/>
    <w:rsid w:val="00D841EA"/>
    <w:rsid w:val="00D86001"/>
    <w:rsid w:val="00D86859"/>
    <w:rsid w:val="00D86E70"/>
    <w:rsid w:val="00D8751D"/>
    <w:rsid w:val="00D93AB4"/>
    <w:rsid w:val="00D96F2C"/>
    <w:rsid w:val="00DA356B"/>
    <w:rsid w:val="00DA4DE6"/>
    <w:rsid w:val="00DB3179"/>
    <w:rsid w:val="00DC0501"/>
    <w:rsid w:val="00DC22EE"/>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5CBF"/>
    <w:rsid w:val="00E16C7F"/>
    <w:rsid w:val="00E20D30"/>
    <w:rsid w:val="00E20EFF"/>
    <w:rsid w:val="00E25998"/>
    <w:rsid w:val="00E27D0B"/>
    <w:rsid w:val="00E304E5"/>
    <w:rsid w:val="00E30A17"/>
    <w:rsid w:val="00E30C76"/>
    <w:rsid w:val="00E31537"/>
    <w:rsid w:val="00E319D3"/>
    <w:rsid w:val="00E402DD"/>
    <w:rsid w:val="00E4145F"/>
    <w:rsid w:val="00E46803"/>
    <w:rsid w:val="00E47C31"/>
    <w:rsid w:val="00E5042C"/>
    <w:rsid w:val="00E52843"/>
    <w:rsid w:val="00E534C3"/>
    <w:rsid w:val="00E54A65"/>
    <w:rsid w:val="00E55204"/>
    <w:rsid w:val="00E578F4"/>
    <w:rsid w:val="00E620E2"/>
    <w:rsid w:val="00E64699"/>
    <w:rsid w:val="00E6502F"/>
    <w:rsid w:val="00E6534B"/>
    <w:rsid w:val="00E6796B"/>
    <w:rsid w:val="00E7666C"/>
    <w:rsid w:val="00E8313C"/>
    <w:rsid w:val="00E83173"/>
    <w:rsid w:val="00E83642"/>
    <w:rsid w:val="00E868DF"/>
    <w:rsid w:val="00E91BAD"/>
    <w:rsid w:val="00E91E23"/>
    <w:rsid w:val="00E920F1"/>
    <w:rsid w:val="00E9503D"/>
    <w:rsid w:val="00E9524E"/>
    <w:rsid w:val="00E9569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436B"/>
    <w:rsid w:val="00EE56F4"/>
    <w:rsid w:val="00EF0363"/>
    <w:rsid w:val="00EF52F1"/>
    <w:rsid w:val="00F0042E"/>
    <w:rsid w:val="00F033D9"/>
    <w:rsid w:val="00F04140"/>
    <w:rsid w:val="00F10E53"/>
    <w:rsid w:val="00F12C10"/>
    <w:rsid w:val="00F13747"/>
    <w:rsid w:val="00F15E90"/>
    <w:rsid w:val="00F17BE8"/>
    <w:rsid w:val="00F2011B"/>
    <w:rsid w:val="00F218B4"/>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3A1F"/>
    <w:rsid w:val="00FB579B"/>
    <w:rsid w:val="00FB6D6C"/>
    <w:rsid w:val="00FC04D0"/>
    <w:rsid w:val="00FC08E3"/>
    <w:rsid w:val="00FC48E8"/>
    <w:rsid w:val="00FC542D"/>
    <w:rsid w:val="00FC5FDF"/>
    <w:rsid w:val="00FC761E"/>
    <w:rsid w:val="00FD20E2"/>
    <w:rsid w:val="00FD23E1"/>
    <w:rsid w:val="00FD3184"/>
    <w:rsid w:val="00FD4A5C"/>
    <w:rsid w:val="00FD7938"/>
    <w:rsid w:val="00FD79C8"/>
    <w:rsid w:val="00FD79DB"/>
    <w:rsid w:val="00FD7E83"/>
    <w:rsid w:val="00FE114F"/>
    <w:rsid w:val="00FE23B4"/>
    <w:rsid w:val="00FE48FB"/>
    <w:rsid w:val="00FE4EE5"/>
    <w:rsid w:val="00FF21C2"/>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79890C"/>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Ttulo1">
    <w:name w:val="heading 1"/>
    <w:aliases w:val="h1"/>
    <w:basedOn w:val="Normal"/>
    <w:next w:val="Normal"/>
    <w:link w:val="Ttulo1Char"/>
    <w:uiPriority w:val="9"/>
    <w:qFormat/>
    <w:rsid w:val="00255C27"/>
    <w:pPr>
      <w:keepNext/>
      <w:spacing w:before="240" w:after="60"/>
      <w:outlineLvl w:val="0"/>
    </w:pPr>
    <w:rPr>
      <w:rFonts w:ascii="Arial" w:hAnsi="Arial"/>
      <w:b/>
      <w:bCs/>
      <w:kern w:val="32"/>
      <w:sz w:val="32"/>
      <w:szCs w:val="32"/>
    </w:rPr>
  </w:style>
  <w:style w:type="paragraph" w:styleId="Ttulo2">
    <w:name w:val="heading 2"/>
    <w:aliases w:val="h2"/>
    <w:basedOn w:val="Normal"/>
    <w:next w:val="Normal"/>
    <w:link w:val="Ttulo2Char"/>
    <w:uiPriority w:val="9"/>
    <w:qFormat/>
    <w:rsid w:val="00255C27"/>
    <w:pPr>
      <w:keepNext/>
      <w:numPr>
        <w:ilvl w:val="1"/>
        <w:numId w:val="8"/>
      </w:numPr>
      <w:spacing w:before="240" w:after="60"/>
      <w:outlineLvl w:val="1"/>
    </w:pPr>
    <w:rPr>
      <w:rFonts w:ascii="Arial" w:hAnsi="Arial"/>
      <w:b/>
      <w:bCs/>
      <w:i/>
      <w:iCs/>
      <w:sz w:val="28"/>
      <w:szCs w:val="28"/>
    </w:rPr>
  </w:style>
  <w:style w:type="paragraph" w:styleId="Ttulo3">
    <w:name w:val="heading 3"/>
    <w:aliases w:val="h3"/>
    <w:basedOn w:val="Normal"/>
    <w:next w:val="Normal"/>
    <w:link w:val="Ttulo3Char"/>
    <w:uiPriority w:val="9"/>
    <w:qFormat/>
    <w:rsid w:val="00255C27"/>
    <w:pPr>
      <w:keepNext/>
      <w:numPr>
        <w:ilvl w:val="2"/>
        <w:numId w:val="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Ttulo4">
    <w:name w:val="heading 4"/>
    <w:aliases w:val="h4"/>
    <w:basedOn w:val="Normal"/>
    <w:next w:val="Normal"/>
    <w:link w:val="Ttulo4Char"/>
    <w:uiPriority w:val="9"/>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Ttulo5">
    <w:name w:val="heading 5"/>
    <w:aliases w:val="h5"/>
    <w:basedOn w:val="Normal"/>
    <w:next w:val="Normal"/>
    <w:link w:val="Ttulo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Ttulo6">
    <w:name w:val="heading 6"/>
    <w:aliases w:val="h6"/>
    <w:basedOn w:val="Normal"/>
    <w:next w:val="Normal"/>
    <w:link w:val="Ttulo6Char"/>
    <w:qFormat/>
    <w:rsid w:val="00333510"/>
    <w:pPr>
      <w:keepNext/>
      <w:autoSpaceDE w:val="0"/>
      <w:autoSpaceDN w:val="0"/>
      <w:adjustRightInd w:val="0"/>
      <w:spacing w:before="120" w:after="120"/>
      <w:ind w:right="57"/>
      <w:outlineLvl w:val="5"/>
    </w:pPr>
    <w:rPr>
      <w:rFonts w:eastAsia="MS Mincho"/>
      <w:i/>
      <w:iCs/>
      <w:color w:val="000000"/>
    </w:rPr>
  </w:style>
  <w:style w:type="paragraph" w:styleId="Ttulo7">
    <w:name w:val="heading 7"/>
    <w:aliases w:val="h7"/>
    <w:basedOn w:val="Normal"/>
    <w:next w:val="Normal"/>
    <w:link w:val="Ttulo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Ttulo8">
    <w:name w:val="heading 8"/>
    <w:aliases w:val="h8"/>
    <w:basedOn w:val="Normal"/>
    <w:next w:val="Normal"/>
    <w:link w:val="Ttulo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Ttulo9">
    <w:name w:val="heading 9"/>
    <w:aliases w:val="h9"/>
    <w:basedOn w:val="Normal"/>
    <w:next w:val="Normal"/>
    <w:link w:val="Ttulo9Char"/>
    <w:qFormat/>
    <w:rsid w:val="00255C27"/>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uiPriority w:val="9"/>
    <w:rsid w:val="00255C27"/>
    <w:rPr>
      <w:rFonts w:ascii="Arial" w:eastAsia="Times New Roman" w:hAnsi="Arial" w:cs="Times New Roman"/>
      <w:b/>
      <w:bCs/>
      <w:kern w:val="32"/>
      <w:sz w:val="32"/>
      <w:szCs w:val="32"/>
      <w:lang w:val="pt-BR" w:eastAsia="pt-BR"/>
    </w:rPr>
  </w:style>
  <w:style w:type="character" w:customStyle="1" w:styleId="Ttulo2Char">
    <w:name w:val="Título 2 Char"/>
    <w:aliases w:val="h2 Char"/>
    <w:basedOn w:val="Fontepargpadro"/>
    <w:link w:val="Ttulo2"/>
    <w:uiPriority w:val="9"/>
    <w:rsid w:val="00255C27"/>
    <w:rPr>
      <w:rFonts w:ascii="Arial" w:eastAsia="Times New Roman" w:hAnsi="Arial" w:cs="Times New Roman"/>
      <w:b/>
      <w:bCs/>
      <w:i/>
      <w:iCs/>
      <w:sz w:val="28"/>
      <w:szCs w:val="28"/>
      <w:lang w:val="pt-BR" w:eastAsia="pt-BR"/>
    </w:rPr>
  </w:style>
  <w:style w:type="character" w:customStyle="1" w:styleId="Ttulo3Char">
    <w:name w:val="Título 3 Char"/>
    <w:aliases w:val="h3 Char"/>
    <w:basedOn w:val="Fontepargpadro"/>
    <w:link w:val="Ttulo3"/>
    <w:uiPriority w:val="9"/>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4Char">
    <w:name w:val="Título 4 Char"/>
    <w:aliases w:val="h4 Char"/>
    <w:basedOn w:val="Fontepargpadro"/>
    <w:link w:val="Ttulo4"/>
    <w:uiPriority w:val="9"/>
    <w:rsid w:val="00255C27"/>
    <w:rPr>
      <w:rFonts w:ascii="Times New Roman" w:eastAsia="Arial Unicode MS" w:hAnsi="Times New Roman" w:cs="Times New Roman"/>
      <w:b/>
      <w:bCs/>
      <w:sz w:val="20"/>
      <w:szCs w:val="20"/>
      <w:shd w:val="clear" w:color="auto" w:fill="FFFFFF"/>
      <w:lang w:val="pt-BR" w:eastAsia="pt-BR"/>
    </w:rPr>
  </w:style>
  <w:style w:type="character" w:customStyle="1" w:styleId="Ttulo5Char">
    <w:name w:val="Título 5 Char"/>
    <w:aliases w:val="h5 Char"/>
    <w:basedOn w:val="Fontepargpadro"/>
    <w:link w:val="Ttulo5"/>
    <w:rsid w:val="00255C27"/>
    <w:rPr>
      <w:rFonts w:ascii="Times New Roman" w:eastAsia="Times New Roman" w:hAnsi="Times New Roman" w:cs="Times New Roman"/>
      <w:b/>
      <w:bCs/>
      <w:sz w:val="20"/>
      <w:szCs w:val="20"/>
      <w:lang w:val="pt-BR" w:eastAsia="pt-BR"/>
    </w:rPr>
  </w:style>
  <w:style w:type="character" w:customStyle="1" w:styleId="Ttulo9Char">
    <w:name w:val="Título 9 Char"/>
    <w:aliases w:val="h9 Char"/>
    <w:basedOn w:val="Fontepargpadro"/>
    <w:link w:val="Ttulo9"/>
    <w:rsid w:val="00255C27"/>
    <w:rPr>
      <w:rFonts w:ascii="Cambria" w:eastAsia="Times New Roman" w:hAnsi="Cambria" w:cs="Times New Roman"/>
      <w:sz w:val="20"/>
      <w:szCs w:val="20"/>
      <w:lang w:val="pt-BR" w:eastAsia="pt-BR"/>
    </w:rPr>
  </w:style>
  <w:style w:type="paragraph" w:styleId="Corpodetexto2">
    <w:name w:val="Body Text 2"/>
    <w:aliases w:val="bt2"/>
    <w:basedOn w:val="Normal"/>
    <w:link w:val="Corpodetexto2Char"/>
    <w:uiPriority w:val="99"/>
    <w:rsid w:val="00255C27"/>
    <w:pPr>
      <w:jc w:val="both"/>
    </w:pPr>
    <w:rPr>
      <w:color w:val="0000FF"/>
    </w:rPr>
  </w:style>
  <w:style w:type="character" w:customStyle="1" w:styleId="Corpodetexto2Char">
    <w:name w:val="Corpo de texto 2 Char"/>
    <w:aliases w:val="bt2 Char"/>
    <w:basedOn w:val="Fontepargpadro"/>
    <w:link w:val="Corpodetexto2"/>
    <w:uiPriority w:val="99"/>
    <w:rsid w:val="00255C27"/>
    <w:rPr>
      <w:rFonts w:ascii="Times New Roman" w:eastAsia="Times New Roman" w:hAnsi="Times New Roman" w:cs="Times New Roman"/>
      <w:color w:val="0000FF"/>
      <w:sz w:val="24"/>
      <w:szCs w:val="24"/>
      <w:lang w:val="pt-BR" w:eastAsia="pt-BR"/>
    </w:rPr>
  </w:style>
  <w:style w:type="paragraph" w:styleId="Cabealho">
    <w:name w:val="header"/>
    <w:basedOn w:val="Normal"/>
    <w:link w:val="Cabealho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CabealhoChar">
    <w:name w:val="Cabeçalho Char"/>
    <w:basedOn w:val="Fontepargpadro"/>
    <w:link w:val="Cabealho"/>
    <w:uiPriority w:val="99"/>
    <w:rsid w:val="00255C27"/>
    <w:rPr>
      <w:rFonts w:ascii="Times New Roman" w:eastAsia="Times New Roman" w:hAnsi="Times New Roman" w:cs="Times New Roman"/>
      <w:sz w:val="20"/>
      <w:szCs w:val="20"/>
      <w:shd w:val="clear" w:color="auto" w:fill="FFFFFF"/>
      <w:lang w:val="pt-BR" w:eastAsia="pt-BR"/>
    </w:rPr>
  </w:style>
  <w:style w:type="paragraph" w:styleId="Commarcadores">
    <w:name w:val="List Bullet"/>
    <w:aliases w:val="lb"/>
    <w:basedOn w:val="Normal"/>
    <w:uiPriority w:val="99"/>
    <w:rsid w:val="00255C27"/>
    <w:pPr>
      <w:numPr>
        <w:numId w:val="1"/>
      </w:numPr>
    </w:pPr>
  </w:style>
  <w:style w:type="paragraph" w:customStyle="1" w:styleId="BodyText22">
    <w:name w:val="Body Text 22"/>
    <w:basedOn w:val="Normal"/>
    <w:rsid w:val="00255C27"/>
    <w:pPr>
      <w:jc w:val="both"/>
    </w:pPr>
    <w:rPr>
      <w:szCs w:val="20"/>
      <w:lang w:val="en-AU"/>
    </w:rPr>
  </w:style>
  <w:style w:type="paragraph" w:styleId="Corpodetexto">
    <w:name w:val="Body Text"/>
    <w:aliases w:val="b,bt,BT"/>
    <w:basedOn w:val="Normal"/>
    <w:link w:val="CorpodetextoChar"/>
    <w:rsid w:val="00255C27"/>
    <w:pPr>
      <w:spacing w:after="120"/>
    </w:pPr>
  </w:style>
  <w:style w:type="character" w:customStyle="1" w:styleId="CorpodetextoChar">
    <w:name w:val="Corpo de texto Char"/>
    <w:aliases w:val="b Char,bt Char,BT Char"/>
    <w:basedOn w:val="Fontepargpadro"/>
    <w:link w:val="Corpodetexto"/>
    <w:rsid w:val="00255C2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rsid w:val="00255C27"/>
    <w:pPr>
      <w:tabs>
        <w:tab w:val="center" w:pos="4320"/>
        <w:tab w:val="right" w:pos="8640"/>
      </w:tabs>
    </w:pPr>
  </w:style>
  <w:style w:type="character" w:customStyle="1" w:styleId="RodapChar">
    <w:name w:val="Rodapé Char"/>
    <w:basedOn w:val="Fontepargpadro"/>
    <w:link w:val="Rodap"/>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link w:val="p0Char"/>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aliases w:val="bti"/>
    <w:basedOn w:val="Normal"/>
    <w:link w:val="RecuodecorpodetextoChar"/>
    <w:uiPriority w:val="99"/>
    <w:rsid w:val="00255C27"/>
    <w:pPr>
      <w:spacing w:after="120"/>
      <w:ind w:left="283"/>
    </w:pPr>
  </w:style>
  <w:style w:type="character" w:customStyle="1" w:styleId="RecuodecorpodetextoChar">
    <w:name w:val="Recuo de corpo de texto Char"/>
    <w:aliases w:val="bti Char"/>
    <w:basedOn w:val="Fontepargpadro"/>
    <w:link w:val="Recuodecorpodetexto"/>
    <w:uiPriority w:val="99"/>
    <w:rsid w:val="00255C27"/>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uiPriority w:val="99"/>
    <w:rsid w:val="00255C27"/>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uiPriority w:val="99"/>
    <w:rsid w:val="00255C27"/>
    <w:pPr>
      <w:spacing w:after="120"/>
    </w:pPr>
    <w:rPr>
      <w:sz w:val="16"/>
      <w:szCs w:val="16"/>
    </w:rPr>
  </w:style>
  <w:style w:type="character" w:customStyle="1" w:styleId="Corpodetexto3Char1">
    <w:name w:val="Corpo de texto 3 Char1"/>
    <w:basedOn w:val="Fontepargpadro"/>
    <w:uiPriority w:val="99"/>
    <w:semiHidden/>
    <w:rsid w:val="00255C27"/>
    <w:rPr>
      <w:rFonts w:ascii="Times New Roman" w:eastAsia="Times New Roman" w:hAnsi="Times New Roman" w:cs="Times New Roman"/>
      <w:sz w:val="16"/>
      <w:szCs w:val="16"/>
      <w:lang w:val="pt-BR" w:eastAsia="pt-BR"/>
    </w:rPr>
  </w:style>
  <w:style w:type="character" w:customStyle="1" w:styleId="Recuodecorpodetexto3Char">
    <w:name w:val="Recuo de corpo de texto 3 Char"/>
    <w:aliases w:val="bti3 Char"/>
    <w:link w:val="Recuodecorpodetexto3"/>
    <w:uiPriority w:val="99"/>
    <w:rsid w:val="00255C27"/>
    <w:rPr>
      <w:rFonts w:ascii="Times New Roman" w:eastAsia="Times New Roman" w:hAnsi="Times New Roman" w:cs="Times New Roman"/>
      <w:sz w:val="16"/>
      <w:szCs w:val="16"/>
      <w:lang w:val="pt-BR" w:eastAsia="pt-BR"/>
    </w:rPr>
  </w:style>
  <w:style w:type="paragraph" w:styleId="Recuodecorpodetexto3">
    <w:name w:val="Body Text Indent 3"/>
    <w:aliases w:val="bti3"/>
    <w:basedOn w:val="Normal"/>
    <w:link w:val="Recuodecorpodetexto3Char"/>
    <w:uiPriority w:val="99"/>
    <w:rsid w:val="00255C27"/>
    <w:pPr>
      <w:spacing w:after="120"/>
      <w:ind w:left="283"/>
    </w:pPr>
    <w:rPr>
      <w:sz w:val="16"/>
      <w:szCs w:val="16"/>
    </w:rPr>
  </w:style>
  <w:style w:type="character" w:customStyle="1" w:styleId="Recuodecorpodetexto3Char1">
    <w:name w:val="Recuo de corpo de texto 3 Char1"/>
    <w:basedOn w:val="Fontepargpadro"/>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Refdecomentrio">
    <w:name w:val="annotation reference"/>
    <w:uiPriority w:val="99"/>
    <w:rsid w:val="00255C27"/>
    <w:rPr>
      <w:sz w:val="16"/>
      <w:szCs w:val="16"/>
    </w:rPr>
  </w:style>
  <w:style w:type="character" w:customStyle="1" w:styleId="TextodecomentrioChar">
    <w:name w:val="Texto de comentário Char"/>
    <w:link w:val="Textodecomentrio"/>
    <w:uiPriority w:val="99"/>
    <w:rsid w:val="00255C27"/>
    <w:rPr>
      <w:rFonts w:ascii="Times New Roman" w:eastAsia="Times New Roman" w:hAnsi="Times New Roman" w:cs="Times New Roman"/>
      <w:sz w:val="20"/>
      <w:szCs w:val="20"/>
      <w:lang w:val="pt-BR" w:eastAsia="pt-BR"/>
    </w:rPr>
  </w:style>
  <w:style w:type="paragraph" w:styleId="Textodecomentrio">
    <w:name w:val="annotation text"/>
    <w:basedOn w:val="Normal"/>
    <w:link w:val="TextodecomentrioChar"/>
    <w:uiPriority w:val="99"/>
    <w:rsid w:val="00255C27"/>
    <w:rPr>
      <w:sz w:val="20"/>
      <w:szCs w:val="20"/>
    </w:rPr>
  </w:style>
  <w:style w:type="character" w:customStyle="1" w:styleId="TextodecomentrioChar1">
    <w:name w:val="Texto de comentário Char1"/>
    <w:basedOn w:val="Fontepargpadro"/>
    <w:uiPriority w:val="99"/>
    <w:rsid w:val="00255C27"/>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sid w:val="00255C27"/>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uiPriority w:val="99"/>
    <w:semiHidden/>
    <w:rsid w:val="00255C27"/>
    <w:rPr>
      <w:rFonts w:ascii="Tahoma" w:eastAsia="Times New Roman" w:hAnsi="Tahoma" w:cs="Swiss"/>
      <w:sz w:val="16"/>
      <w:szCs w:val="16"/>
      <w:lang w:val="pt-BR" w:eastAsia="pt-BR"/>
    </w:rPr>
  </w:style>
  <w:style w:type="paragraph" w:styleId="Textodebalo">
    <w:name w:val="Balloon Text"/>
    <w:basedOn w:val="Normal"/>
    <w:link w:val="TextodebaloChar"/>
    <w:uiPriority w:val="99"/>
    <w:rsid w:val="00255C27"/>
    <w:rPr>
      <w:rFonts w:ascii="Tahoma" w:hAnsi="Tahoma" w:cs="Swiss"/>
      <w:sz w:val="16"/>
      <w:szCs w:val="16"/>
    </w:rPr>
  </w:style>
  <w:style w:type="character" w:customStyle="1" w:styleId="TextodebaloChar1">
    <w:name w:val="Texto de balão Char1"/>
    <w:basedOn w:val="Fontepargpadro"/>
    <w:uiPriority w:val="99"/>
    <w:semiHidden/>
    <w:rsid w:val="00255C27"/>
    <w:rPr>
      <w:rFonts w:ascii="Segoe UI" w:eastAsia="Times New Roman" w:hAnsi="Segoe UI" w:cs="Segoe UI"/>
      <w:szCs w:val="18"/>
      <w:lang w:val="pt-BR" w:eastAsia="pt-BR"/>
    </w:rPr>
  </w:style>
  <w:style w:type="character" w:styleId="Nmerodepgina">
    <w:name w:val="page number"/>
    <w:basedOn w:val="Fontepargpadro"/>
    <w:uiPriority w:val="99"/>
    <w:rsid w:val="00255C27"/>
  </w:style>
  <w:style w:type="character" w:customStyle="1" w:styleId="Recuodecorpodetexto2Char">
    <w:name w:val="Recuo de corpo de texto 2 Char"/>
    <w:aliases w:val="bti2 Char"/>
    <w:link w:val="Recuodecorpodetexto2"/>
    <w:uiPriority w:val="99"/>
    <w:rsid w:val="00255C27"/>
    <w:rPr>
      <w:rFonts w:ascii="Times New Roman" w:eastAsia="Times New Roman" w:hAnsi="Times New Roman" w:cs="Times New Roman"/>
      <w:sz w:val="24"/>
      <w:szCs w:val="24"/>
      <w:lang w:val="pt-BR" w:eastAsia="pt-BR"/>
    </w:rPr>
  </w:style>
  <w:style w:type="paragraph" w:styleId="Recuodecorpodetexto2">
    <w:name w:val="Body Text Indent 2"/>
    <w:aliases w:val="bti2"/>
    <w:basedOn w:val="Normal"/>
    <w:link w:val="Recuodecorpodetexto2Char"/>
    <w:uiPriority w:val="99"/>
    <w:rsid w:val="00255C27"/>
    <w:pPr>
      <w:spacing w:after="120" w:line="480" w:lineRule="auto"/>
      <w:ind w:left="283"/>
    </w:pPr>
  </w:style>
  <w:style w:type="character" w:customStyle="1" w:styleId="Recuodecorpodetexto2Char1">
    <w:name w:val="Recuo de corpo de texto 2 Char1"/>
    <w:basedOn w:val="Fontepargpadro"/>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uiPriority w:val="99"/>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uiPriority w:val="99"/>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uiPriority w:val="99"/>
    <w:rsid w:val="00255C27"/>
    <w:rPr>
      <w:strike/>
      <w:color w:val="FF0000"/>
      <w:spacing w:val="0"/>
    </w:rPr>
  </w:style>
  <w:style w:type="character" w:customStyle="1" w:styleId="DeltaViewMoveSource">
    <w:name w:val="DeltaView Move Source"/>
    <w:uiPriority w:val="99"/>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uiPriority w:val="99"/>
    <w:rsid w:val="00255C27"/>
    <w:rPr>
      <w:color w:val="000000"/>
      <w:spacing w:val="0"/>
      <w:vertAlign w:val="superscript"/>
    </w:rPr>
  </w:style>
  <w:style w:type="character" w:customStyle="1" w:styleId="DeltaViewDelimiter">
    <w:name w:val="DeltaView Delimiter"/>
    <w:uiPriority w:val="99"/>
    <w:rsid w:val="00255C27"/>
    <w:rPr>
      <w:spacing w:val="0"/>
    </w:rPr>
  </w:style>
  <w:style w:type="character" w:customStyle="1" w:styleId="DeltaViewFormatChange">
    <w:name w:val="DeltaView Format Change"/>
    <w:uiPriority w:val="99"/>
    <w:rsid w:val="00255C27"/>
    <w:rPr>
      <w:color w:val="000000"/>
      <w:spacing w:val="0"/>
    </w:rPr>
  </w:style>
  <w:style w:type="character" w:customStyle="1" w:styleId="DeltaViewMovedDeletion">
    <w:name w:val="DeltaView Moved Deletion"/>
    <w:uiPriority w:val="99"/>
    <w:rsid w:val="00255C27"/>
    <w:rPr>
      <w:strike/>
      <w:color w:val="C08080"/>
      <w:spacing w:val="0"/>
    </w:rPr>
  </w:style>
  <w:style w:type="character" w:customStyle="1" w:styleId="DeltaViewStyleChangeText">
    <w:name w:val="DeltaView Style Change Text"/>
    <w:uiPriority w:val="99"/>
    <w:rsid w:val="00255C27"/>
    <w:rPr>
      <w:color w:val="000000"/>
      <w:spacing w:val="0"/>
      <w:u w:val="double"/>
    </w:rPr>
  </w:style>
  <w:style w:type="character" w:customStyle="1" w:styleId="DeltaViewStyleChangeLabel">
    <w:name w:val="DeltaView Style Change Label"/>
    <w:uiPriority w:val="99"/>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tulo">
    <w:name w:val="Title"/>
    <w:aliases w:val="t"/>
    <w:basedOn w:val="Normal"/>
    <w:link w:val="TtuloChar"/>
    <w:uiPriority w:val="10"/>
    <w:qFormat/>
    <w:rsid w:val="00255C27"/>
    <w:pPr>
      <w:jc w:val="center"/>
    </w:pPr>
    <w:rPr>
      <w:rFonts w:ascii="Bookman Old Style" w:hAnsi="Bookman Old Style"/>
      <w:b/>
      <w:sz w:val="20"/>
      <w:szCs w:val="20"/>
    </w:rPr>
  </w:style>
  <w:style w:type="character" w:customStyle="1" w:styleId="TtuloChar">
    <w:name w:val="Título Char"/>
    <w:aliases w:val="t Char"/>
    <w:basedOn w:val="Fontepargpadro"/>
    <w:link w:val="Ttulo"/>
    <w:uiPriority w:val="10"/>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uiPriority w:val="99"/>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MapadoDocumentoChar">
    <w:name w:val="Mapa do Documento Char"/>
    <w:link w:val="MapadoDocumento"/>
    <w:uiPriority w:val="99"/>
    <w:semiHidden/>
    <w:rsid w:val="00255C27"/>
    <w:rPr>
      <w:rFonts w:ascii="Tahoma" w:eastAsia="Times New Roman" w:hAnsi="Tahoma" w:cs="Tahoma"/>
      <w:sz w:val="20"/>
      <w:szCs w:val="20"/>
      <w:shd w:val="clear" w:color="auto" w:fill="000080"/>
      <w:lang w:val="pt-BR" w:eastAsia="pt-BR"/>
    </w:rPr>
  </w:style>
  <w:style w:type="paragraph" w:styleId="MapadoDocumento">
    <w:name w:val="Document Map"/>
    <w:basedOn w:val="Normal"/>
    <w:link w:val="MapadoDocumentoChar"/>
    <w:uiPriority w:val="99"/>
    <w:rsid w:val="00255C27"/>
    <w:pPr>
      <w:shd w:val="clear" w:color="auto" w:fill="000080"/>
    </w:pPr>
    <w:rPr>
      <w:rFonts w:ascii="Tahoma" w:hAnsi="Tahoma" w:cs="Tahoma"/>
      <w:sz w:val="20"/>
      <w:szCs w:val="20"/>
    </w:rPr>
  </w:style>
  <w:style w:type="character" w:customStyle="1" w:styleId="MapadoDocumentoChar1">
    <w:name w:val="Mapa do Documento Char1"/>
    <w:basedOn w:val="Fontepargpadro"/>
    <w:uiPriority w:val="99"/>
    <w:semiHidden/>
    <w:rsid w:val="00255C27"/>
    <w:rPr>
      <w:rFonts w:ascii="Segoe UI" w:eastAsia="Times New Roman" w:hAnsi="Segoe UI" w:cs="Segoe UI"/>
      <w:sz w:val="16"/>
      <w:szCs w:val="16"/>
      <w:lang w:val="pt-BR" w:eastAsia="pt-BR"/>
    </w:rPr>
  </w:style>
  <w:style w:type="character" w:styleId="Forte">
    <w:name w:val="Strong"/>
    <w:qFormat/>
    <w:rsid w:val="00255C27"/>
    <w:rPr>
      <w:b/>
      <w:bCs/>
    </w:rPr>
  </w:style>
  <w:style w:type="character" w:styleId="nfase">
    <w:name w:val="Emphasis"/>
    <w:qFormat/>
    <w:rsid w:val="00255C27"/>
    <w:rPr>
      <w:i/>
      <w:iCs/>
    </w:rPr>
  </w:style>
  <w:style w:type="character" w:customStyle="1" w:styleId="TextodenotaderodapChar">
    <w:name w:val="Texto de nota de rodapé Char"/>
    <w:link w:val="Textodenotaderodap"/>
    <w:rsid w:val="00255C27"/>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255C27"/>
    <w:rPr>
      <w:sz w:val="20"/>
      <w:szCs w:val="20"/>
    </w:rPr>
  </w:style>
  <w:style w:type="character" w:customStyle="1" w:styleId="TextodenotaderodapChar1">
    <w:name w:val="Texto de nota de rodapé Char1"/>
    <w:basedOn w:val="Fontepargpadro"/>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uiPriority w:val="99"/>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rsid w:val="00255C27"/>
    <w:pPr>
      <w:ind w:left="720"/>
    </w:pPr>
    <w:rPr>
      <w:rFonts w:ascii="Calibri" w:eastAsia="Calibri" w:hAnsi="Calibri"/>
      <w:sz w:val="22"/>
      <w:szCs w:val="22"/>
    </w:rPr>
  </w:style>
  <w:style w:type="character" w:styleId="Refdenotaderodap">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elacomgrade">
    <w:name w:val="Table Grid"/>
    <w:basedOn w:val="Tabela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TextosemFormatao">
    <w:name w:val="Plain Text"/>
    <w:basedOn w:val="Normal"/>
    <w:link w:val="TextosemFormataoChar"/>
    <w:uiPriority w:val="99"/>
    <w:semiHidden/>
    <w:unhideWhenUsed/>
    <w:rsid w:val="00255C27"/>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o">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255C27"/>
  </w:style>
  <w:style w:type="paragraph" w:customStyle="1" w:styleId="A1">
    <w:name w:val="A1"/>
    <w:rsid w:val="00255C27"/>
    <w:pPr>
      <w:numPr>
        <w:numId w:val="3"/>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a"/>
    <w:rsid w:val="00255C27"/>
    <w:pPr>
      <w:numPr>
        <w:ilvl w:val="1"/>
        <w:numId w:val="3"/>
      </w:numPr>
      <w:spacing w:before="120" w:after="120"/>
      <w:jc w:val="both"/>
    </w:pPr>
    <w:rPr>
      <w:sz w:val="22"/>
      <w:szCs w:val="20"/>
      <w:lang w:val="en-US" w:eastAsia="en-US"/>
    </w:rPr>
  </w:style>
  <w:style w:type="paragraph" w:customStyle="1" w:styleId="A3">
    <w:name w:val="A3"/>
    <w:basedOn w:val="Normal"/>
    <w:rsid w:val="00255C27"/>
    <w:pPr>
      <w:numPr>
        <w:ilvl w:val="2"/>
        <w:numId w:val="3"/>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a">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4"/>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Sumrio10">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PargrafodaListaChar">
    <w:name w:val="Parágrafo da Lista Char"/>
    <w:link w:val="PargrafodaLista"/>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5"/>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5"/>
      </w:numPr>
      <w:autoSpaceDE w:val="0"/>
      <w:autoSpaceDN w:val="0"/>
      <w:adjustRightInd w:val="0"/>
      <w:spacing w:line="300" w:lineRule="atLeast"/>
      <w:jc w:val="both"/>
    </w:pPr>
    <w:rPr>
      <w:b/>
      <w:bCs/>
      <w:color w:val="000000"/>
      <w:sz w:val="22"/>
      <w:szCs w:val="22"/>
    </w:rPr>
  </w:style>
  <w:style w:type="paragraph" w:customStyle="1" w:styleId="Nivel3">
    <w:name w:val="Nivel 3"/>
    <w:basedOn w:val="Corpodetexto"/>
    <w:qFormat/>
    <w:rsid w:val="004079B4"/>
    <w:pPr>
      <w:numPr>
        <w:ilvl w:val="2"/>
        <w:numId w:val="5"/>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5"/>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5"/>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5"/>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6"/>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6"/>
      </w:numPr>
      <w:jc w:val="both"/>
    </w:pPr>
    <w:rPr>
      <w:rFonts w:eastAsia="MS Mincho"/>
    </w:rPr>
  </w:style>
  <w:style w:type="character" w:customStyle="1" w:styleId="Level3Char">
    <w:name w:val="Level 3 Char"/>
    <w:link w:val="Level3"/>
    <w:uiPriority w:val="99"/>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uiPriority w:val="99"/>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Ttulo6Char">
    <w:name w:val="Título 6 Char"/>
    <w:aliases w:val="h6 Char"/>
    <w:basedOn w:val="Fontepargpadro"/>
    <w:link w:val="Ttulo6"/>
    <w:rsid w:val="00333510"/>
    <w:rPr>
      <w:rFonts w:ascii="Times New Roman" w:eastAsia="MS Mincho" w:hAnsi="Times New Roman" w:cs="Times New Roman"/>
      <w:i/>
      <w:iCs/>
      <w:color w:val="000000"/>
      <w:sz w:val="24"/>
      <w:szCs w:val="24"/>
      <w:lang w:val="pt-BR" w:eastAsia="pt-BR"/>
    </w:rPr>
  </w:style>
  <w:style w:type="character" w:customStyle="1" w:styleId="Ttulo7Char">
    <w:name w:val="Título 7 Char"/>
    <w:aliases w:val="h7 Char"/>
    <w:basedOn w:val="Fontepargpadro"/>
    <w:link w:val="Ttulo7"/>
    <w:rsid w:val="00333510"/>
    <w:rPr>
      <w:rFonts w:ascii="Frutiger Light" w:eastAsia="MS Mincho" w:hAnsi="Frutiger Light" w:cs="Times New Roman"/>
      <w:i/>
      <w:w w:val="0"/>
      <w:sz w:val="26"/>
      <w:szCs w:val="24"/>
      <w:lang w:val="pt-BR" w:eastAsia="pt-BR"/>
    </w:rPr>
  </w:style>
  <w:style w:type="character" w:customStyle="1" w:styleId="Ttulo8Char">
    <w:name w:val="Título 8 Char"/>
    <w:aliases w:val="h8 Char"/>
    <w:basedOn w:val="Fontepargpadro"/>
    <w:link w:val="Ttulo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9"/>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9"/>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9"/>
      </w:numPr>
      <w:autoSpaceDE w:val="0"/>
      <w:autoSpaceDN w:val="0"/>
      <w:adjustRightInd w:val="0"/>
      <w:jc w:val="both"/>
    </w:pPr>
    <w:rPr>
      <w:rFonts w:eastAsia="MS Mincho"/>
    </w:rPr>
  </w:style>
  <w:style w:type="paragraph" w:customStyle="1" w:styleId="Recitals2">
    <w:name w:val="Recitals 2"/>
    <w:basedOn w:val="Normal"/>
    <w:rsid w:val="00333510"/>
    <w:pPr>
      <w:numPr>
        <w:ilvl w:val="3"/>
        <w:numId w:val="9"/>
      </w:numPr>
      <w:autoSpaceDE w:val="0"/>
      <w:autoSpaceDN w:val="0"/>
      <w:adjustRightInd w:val="0"/>
      <w:jc w:val="both"/>
    </w:pPr>
    <w:rPr>
      <w:rFonts w:eastAsia="MS Mincho"/>
    </w:rPr>
  </w:style>
  <w:style w:type="character" w:customStyle="1" w:styleId="left">
    <w:name w:val="left"/>
    <w:basedOn w:val="Fontepargpadro"/>
    <w:rsid w:val="004A76F4"/>
  </w:style>
  <w:style w:type="table" w:customStyle="1" w:styleId="TableGrid1">
    <w:name w:val="Table Grid1"/>
    <w:basedOn w:val="Tabelanormal"/>
    <w:next w:val="Tabelacomgrade"/>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qFormat/>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 w:type="paragraph" w:customStyle="1" w:styleId="Body2">
    <w:name w:val="Body 2"/>
    <w:basedOn w:val="Normal"/>
    <w:rsid w:val="00FF21C2"/>
    <w:pPr>
      <w:widowControl w:val="0"/>
      <w:autoSpaceDE w:val="0"/>
      <w:autoSpaceDN w:val="0"/>
      <w:adjustRightInd w:val="0"/>
      <w:jc w:val="both"/>
    </w:pPr>
    <w:rPr>
      <w:sz w:val="26"/>
      <w:szCs w:val="26"/>
      <w:lang w:eastAsia="en-US"/>
    </w:rPr>
  </w:style>
  <w:style w:type="paragraph" w:customStyle="1" w:styleId="Level1coluna1">
    <w:name w:val="Level 1 coluna1"/>
    <w:basedOn w:val="Normal"/>
    <w:rsid w:val="00FF21C2"/>
    <w:pPr>
      <w:keepNext/>
      <w:numPr>
        <w:numId w:val="10"/>
      </w:numPr>
      <w:spacing w:after="140" w:line="290" w:lineRule="auto"/>
      <w:jc w:val="both"/>
    </w:pPr>
    <w:rPr>
      <w:rFonts w:ascii="Arial" w:hAnsi="Arial"/>
      <w:b/>
      <w:sz w:val="20"/>
      <w:szCs w:val="20"/>
      <w:lang w:val="en-GB" w:eastAsia="en-GB"/>
    </w:rPr>
  </w:style>
  <w:style w:type="paragraph" w:customStyle="1" w:styleId="Level2coluna1">
    <w:name w:val="Level 2 coluna1"/>
    <w:basedOn w:val="Normal"/>
    <w:rsid w:val="00FF21C2"/>
    <w:pPr>
      <w:numPr>
        <w:ilvl w:val="1"/>
        <w:numId w:val="10"/>
      </w:numPr>
      <w:spacing w:after="140" w:line="290" w:lineRule="auto"/>
      <w:jc w:val="both"/>
    </w:pPr>
    <w:rPr>
      <w:rFonts w:ascii="Arial" w:hAnsi="Arial"/>
      <w:sz w:val="20"/>
      <w:szCs w:val="20"/>
      <w:lang w:val="en-GB" w:eastAsia="en-GB"/>
    </w:rPr>
  </w:style>
  <w:style w:type="paragraph" w:customStyle="1" w:styleId="Level3coluna1">
    <w:name w:val="Level 3 coluna1"/>
    <w:basedOn w:val="Normal"/>
    <w:rsid w:val="00FF21C2"/>
    <w:pPr>
      <w:numPr>
        <w:ilvl w:val="2"/>
        <w:numId w:val="10"/>
      </w:numPr>
      <w:spacing w:after="140" w:line="290" w:lineRule="auto"/>
      <w:jc w:val="both"/>
    </w:pPr>
    <w:rPr>
      <w:rFonts w:ascii="Arial" w:hAnsi="Arial"/>
      <w:sz w:val="20"/>
      <w:szCs w:val="20"/>
      <w:lang w:val="en-GB" w:eastAsia="en-GB"/>
    </w:rPr>
  </w:style>
  <w:style w:type="paragraph" w:customStyle="1" w:styleId="Level4coluna1">
    <w:name w:val="Level 4 coluna1"/>
    <w:basedOn w:val="Normal"/>
    <w:rsid w:val="00FF21C2"/>
    <w:pPr>
      <w:numPr>
        <w:ilvl w:val="3"/>
        <w:numId w:val="10"/>
      </w:numPr>
      <w:spacing w:after="140" w:line="290" w:lineRule="auto"/>
      <w:jc w:val="both"/>
    </w:pPr>
    <w:rPr>
      <w:rFonts w:ascii="Arial" w:hAnsi="Arial"/>
      <w:sz w:val="20"/>
      <w:szCs w:val="20"/>
      <w:lang w:val="en-GB" w:eastAsia="en-GB"/>
    </w:rPr>
  </w:style>
  <w:style w:type="paragraph" w:customStyle="1" w:styleId="Level5coluna1">
    <w:name w:val="Level 5 coluna1"/>
    <w:basedOn w:val="Normal"/>
    <w:rsid w:val="00FF21C2"/>
    <w:pPr>
      <w:numPr>
        <w:ilvl w:val="4"/>
        <w:numId w:val="10"/>
      </w:numPr>
      <w:spacing w:after="140" w:line="290" w:lineRule="auto"/>
      <w:jc w:val="both"/>
    </w:pPr>
    <w:rPr>
      <w:rFonts w:ascii="Arial" w:hAnsi="Arial"/>
      <w:sz w:val="20"/>
      <w:szCs w:val="20"/>
      <w:lang w:val="en-GB" w:eastAsia="en-GB"/>
    </w:rPr>
  </w:style>
  <w:style w:type="paragraph" w:customStyle="1" w:styleId="Level6coluna1">
    <w:name w:val="Level 6 coluna1"/>
    <w:basedOn w:val="Normal"/>
    <w:rsid w:val="00FF21C2"/>
    <w:pPr>
      <w:numPr>
        <w:ilvl w:val="5"/>
        <w:numId w:val="10"/>
      </w:numPr>
      <w:spacing w:after="140" w:line="290" w:lineRule="auto"/>
      <w:jc w:val="both"/>
    </w:pPr>
    <w:rPr>
      <w:rFonts w:ascii="Arial" w:hAnsi="Arial"/>
      <w:sz w:val="20"/>
      <w:szCs w:val="20"/>
      <w:lang w:val="en-GB" w:eastAsia="en-GB"/>
    </w:rPr>
  </w:style>
  <w:style w:type="paragraph" w:customStyle="1" w:styleId="citcar">
    <w:name w:val="citcar"/>
    <w:basedOn w:val="Normal"/>
    <w:next w:val="DeltaViewTableHeading"/>
    <w:uiPriority w:val="99"/>
    <w:rsid w:val="00883C1A"/>
    <w:pPr>
      <w:widowControl w:val="0"/>
      <w:numPr>
        <w:ilvl w:val="5"/>
        <w:numId w:val="19"/>
      </w:numPr>
      <w:autoSpaceDE w:val="0"/>
      <w:autoSpaceDN w:val="0"/>
      <w:adjustRightInd w:val="0"/>
      <w:spacing w:line="240" w:lineRule="exact"/>
      <w:ind w:right="1134"/>
      <w:jc w:val="both"/>
    </w:pPr>
    <w:rPr>
      <w:sz w:val="26"/>
      <w:szCs w:val="26"/>
      <w:lang w:eastAsia="en-US"/>
    </w:rPr>
  </w:style>
  <w:style w:type="paragraph" w:customStyle="1" w:styleId="citpet">
    <w:name w:val="citpet"/>
    <w:basedOn w:val="DeltaViewTableHeading"/>
    <w:next w:val="DeltaViewTableBody"/>
    <w:uiPriority w:val="99"/>
    <w:rsid w:val="00883C1A"/>
    <w:pPr>
      <w:widowControl w:val="0"/>
      <w:spacing w:after="0" w:line="240" w:lineRule="exact"/>
      <w:ind w:left="1418" w:right="1418"/>
      <w:jc w:val="both"/>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rsid w:val="00883C1A"/>
    <w:pPr>
      <w:widowControl w:val="0"/>
      <w:autoSpaceDE w:val="0"/>
      <w:autoSpaceDN w:val="0"/>
      <w:adjustRightInd w:val="0"/>
      <w:spacing w:line="320" w:lineRule="exact"/>
      <w:jc w:val="center"/>
    </w:pPr>
    <w:rPr>
      <w:b/>
      <w:bCs/>
      <w:smallCaps/>
      <w:lang w:eastAsia="en-US"/>
    </w:rPr>
  </w:style>
  <w:style w:type="paragraph" w:customStyle="1" w:styleId="MF2">
    <w:name w:val="MF2"/>
    <w:basedOn w:val="Normal"/>
    <w:autoRedefine/>
    <w:uiPriority w:val="99"/>
    <w:rsid w:val="00883C1A"/>
    <w:pPr>
      <w:widowControl w:val="0"/>
      <w:autoSpaceDE w:val="0"/>
      <w:autoSpaceDN w:val="0"/>
      <w:adjustRightInd w:val="0"/>
      <w:spacing w:line="320" w:lineRule="exact"/>
      <w:jc w:val="both"/>
    </w:pPr>
    <w:rPr>
      <w:b/>
      <w:bCs/>
      <w:sz w:val="20"/>
      <w:szCs w:val="20"/>
      <w:lang w:eastAsia="en-US"/>
    </w:rPr>
  </w:style>
  <w:style w:type="paragraph" w:customStyle="1" w:styleId="c3">
    <w:name w:val="c3"/>
    <w:basedOn w:val="Normal"/>
    <w:next w:val="Textodecomentrio"/>
    <w:rsid w:val="00883C1A"/>
    <w:pPr>
      <w:widowControl w:val="0"/>
      <w:autoSpaceDE w:val="0"/>
      <w:autoSpaceDN w:val="0"/>
      <w:adjustRightInd w:val="0"/>
      <w:spacing w:line="240" w:lineRule="atLeast"/>
      <w:jc w:val="center"/>
    </w:pPr>
    <w:rPr>
      <w:rFonts w:ascii="Times" w:hAnsi="Times" w:cs="Times"/>
      <w:lang w:eastAsia="en-US"/>
    </w:rPr>
  </w:style>
  <w:style w:type="paragraph" w:styleId="Textoembloco">
    <w:name w:val="Block Text"/>
    <w:basedOn w:val="Normal"/>
    <w:uiPriority w:val="99"/>
    <w:rsid w:val="00883C1A"/>
    <w:pPr>
      <w:widowControl w:val="0"/>
      <w:tabs>
        <w:tab w:val="left" w:pos="9072"/>
      </w:tabs>
      <w:autoSpaceDE w:val="0"/>
      <w:autoSpaceDN w:val="0"/>
      <w:adjustRightInd w:val="0"/>
      <w:spacing w:line="240" w:lineRule="atLeast"/>
      <w:ind w:left="426" w:right="-1"/>
      <w:jc w:val="both"/>
    </w:pPr>
    <w:rPr>
      <w:lang w:eastAsia="en-US"/>
    </w:rPr>
  </w:style>
  <w:style w:type="paragraph" w:customStyle="1" w:styleId="t7">
    <w:name w:val="t7"/>
    <w:basedOn w:val="Normal"/>
    <w:uiPriority w:val="99"/>
    <w:rsid w:val="00883C1A"/>
    <w:pPr>
      <w:widowControl w:val="0"/>
      <w:tabs>
        <w:tab w:val="left" w:pos="1540"/>
        <w:tab w:val="left" w:pos="3500"/>
        <w:tab w:val="left" w:pos="5020"/>
      </w:tabs>
      <w:autoSpaceDE w:val="0"/>
      <w:autoSpaceDN w:val="0"/>
      <w:adjustRightInd w:val="0"/>
      <w:spacing w:line="240" w:lineRule="atLeast"/>
    </w:pPr>
    <w:rPr>
      <w:rFonts w:ascii="Times" w:hAnsi="Times" w:cs="Times"/>
      <w:lang w:eastAsia="en-US"/>
    </w:rPr>
  </w:style>
  <w:style w:type="paragraph" w:customStyle="1" w:styleId="Estilo2">
    <w:name w:val="Estilo2"/>
    <w:basedOn w:val="Normal"/>
    <w:uiPriority w:val="99"/>
    <w:rsid w:val="00883C1A"/>
    <w:pPr>
      <w:widowControl w:val="0"/>
      <w:tabs>
        <w:tab w:val="left" w:pos="2835"/>
      </w:tabs>
      <w:autoSpaceDE w:val="0"/>
      <w:autoSpaceDN w:val="0"/>
      <w:adjustRightInd w:val="0"/>
      <w:spacing w:after="120"/>
      <w:ind w:left="2977" w:hanging="853"/>
    </w:pPr>
    <w:rPr>
      <w:rFonts w:ascii="Arial" w:hAnsi="Arial" w:cs="Arial"/>
      <w:sz w:val="22"/>
      <w:szCs w:val="22"/>
      <w:lang w:eastAsia="en-US"/>
    </w:rPr>
  </w:style>
  <w:style w:type="paragraph" w:customStyle="1" w:styleId="BalloonText1">
    <w:name w:val="Balloon Text1"/>
    <w:basedOn w:val="Normal"/>
    <w:hidden/>
    <w:uiPriority w:val="99"/>
    <w:rsid w:val="00883C1A"/>
    <w:pPr>
      <w:widowControl w:val="0"/>
      <w:autoSpaceDE w:val="0"/>
      <w:autoSpaceDN w:val="0"/>
      <w:adjustRightInd w:val="0"/>
      <w:jc w:val="both"/>
    </w:pPr>
    <w:rPr>
      <w:rFonts w:ascii="Tahoma" w:hAnsi="Tahoma" w:cs="Tahoma"/>
      <w:sz w:val="16"/>
      <w:szCs w:val="16"/>
      <w:lang w:eastAsia="en-US"/>
    </w:rPr>
  </w:style>
  <w:style w:type="character" w:customStyle="1" w:styleId="CommentReference1">
    <w:name w:val="Comment Reference1"/>
    <w:hidden/>
    <w:uiPriority w:val="99"/>
    <w:rsid w:val="00883C1A"/>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883C1A"/>
    <w:pPr>
      <w:widowControl w:val="0"/>
      <w:autoSpaceDE w:val="0"/>
      <w:autoSpaceDN w:val="0"/>
      <w:adjustRightInd w:val="0"/>
      <w:jc w:val="both"/>
    </w:pPr>
    <w:rPr>
      <w:sz w:val="20"/>
      <w:szCs w:val="20"/>
      <w:lang w:eastAsia="en-US"/>
    </w:rPr>
  </w:style>
  <w:style w:type="paragraph" w:customStyle="1" w:styleId="CommentSubject1">
    <w:name w:val="Comment Subject1"/>
    <w:basedOn w:val="CommentText1"/>
    <w:next w:val="CommentText1"/>
    <w:hidden/>
    <w:uiPriority w:val="99"/>
    <w:rsid w:val="00883C1A"/>
    <w:rPr>
      <w:b/>
      <w:bCs/>
    </w:rPr>
  </w:style>
  <w:style w:type="paragraph" w:customStyle="1" w:styleId="para10">
    <w:name w:val="para10"/>
    <w:uiPriority w:val="99"/>
    <w:rsid w:val="00883C1A"/>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w:sz w:val="26"/>
      <w:szCs w:val="26"/>
      <w:lang w:val="pt-BR"/>
    </w:rPr>
  </w:style>
  <w:style w:type="paragraph" w:styleId="Subttulo">
    <w:name w:val="Subtitle"/>
    <w:basedOn w:val="Normal"/>
    <w:link w:val="SubttuloChar"/>
    <w:uiPriority w:val="11"/>
    <w:qFormat/>
    <w:rsid w:val="00883C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aliases w:val="sub Char"/>
    <w:basedOn w:val="Fontepargpadro"/>
    <w:link w:val="Subttulo"/>
    <w:uiPriority w:val="11"/>
    <w:rsid w:val="00883C1A"/>
    <w:rPr>
      <w:rFonts w:ascii="Cambria" w:eastAsia="Times New Roman" w:hAnsi="Cambria" w:cs="Times New Roman"/>
      <w:sz w:val="24"/>
      <w:szCs w:val="24"/>
      <w:lang w:val="pt-BR"/>
    </w:rPr>
  </w:style>
  <w:style w:type="paragraph" w:customStyle="1" w:styleId="NormalWeb0">
    <w:name w:val="Normal(Web)"/>
    <w:basedOn w:val="Normal"/>
    <w:uiPriority w:val="99"/>
    <w:rsid w:val="00883C1A"/>
    <w:pPr>
      <w:widowControl w:val="0"/>
      <w:autoSpaceDE w:val="0"/>
      <w:autoSpaceDN w:val="0"/>
      <w:adjustRightInd w:val="0"/>
      <w:spacing w:before="100" w:after="100"/>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rsid w:val="00883C1A"/>
    <w:pPr>
      <w:keepNext/>
      <w:widowControl w:val="0"/>
      <w:autoSpaceDE w:val="0"/>
      <w:autoSpaceDN w:val="0"/>
      <w:adjustRightInd w:val="0"/>
      <w:outlineLvl w:val="0"/>
    </w:pPr>
    <w:rPr>
      <w:b/>
      <w:bCs/>
      <w:sz w:val="18"/>
      <w:szCs w:val="18"/>
      <w:lang w:eastAsia="en-US"/>
    </w:rPr>
  </w:style>
  <w:style w:type="character" w:customStyle="1" w:styleId="Normal1">
    <w:name w:val="Normal1"/>
    <w:uiPriority w:val="99"/>
    <w:rsid w:val="00883C1A"/>
    <w:rPr>
      <w:rFonts w:ascii="Helvetica" w:hAnsi="Helvetica" w:cs="Helvetica"/>
      <w:spacing w:val="0"/>
      <w:sz w:val="24"/>
      <w:szCs w:val="24"/>
      <w:lang w:val="pt-BR"/>
    </w:rPr>
  </w:style>
  <w:style w:type="paragraph" w:customStyle="1" w:styleId="CharCharCharCharCharCharCharCharCharCharChar">
    <w:name w:val="Char Char Char Char Char Char Char Char Char 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character" w:styleId="MquinadeescreverHTML">
    <w:name w:val="HTML Typewriter"/>
    <w:uiPriority w:val="99"/>
    <w:rsid w:val="00883C1A"/>
    <w:rPr>
      <w:rFonts w:ascii="Courier New" w:hAnsi="Courier New" w:cs="Courier New"/>
      <w:spacing w:val="0"/>
      <w:sz w:val="20"/>
      <w:szCs w:val="20"/>
      <w:lang w:val="pt-BR"/>
    </w:rPr>
  </w:style>
  <w:style w:type="character" w:customStyle="1" w:styleId="deltaviewinsertion0">
    <w:name w:val="deltaviewinsertion"/>
    <w:uiPriority w:val="99"/>
    <w:rsid w:val="00883C1A"/>
    <w:rPr>
      <w:rFonts w:ascii="Times New Roman" w:hAnsi="Times New Roman" w:cs="Times New Roman"/>
      <w:spacing w:val="0"/>
      <w:sz w:val="26"/>
      <w:szCs w:val="26"/>
      <w:lang w:val="pt-BR"/>
    </w:rPr>
  </w:style>
  <w:style w:type="character" w:styleId="HiperlinkVisitado">
    <w:name w:val="FollowedHyperlink"/>
    <w:uiPriority w:val="99"/>
    <w:rsid w:val="00883C1A"/>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2Char">
    <w:name w:val="Char Char2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883C1A"/>
    <w:pPr>
      <w:keepNext/>
      <w:keepLines/>
      <w:numPr>
        <w:ilvl w:val="1"/>
        <w:numId w:val="16"/>
      </w:numPr>
      <w:spacing w:after="0" w:line="300" w:lineRule="exact"/>
      <w:ind w:left="707" w:hanging="707"/>
    </w:pPr>
    <w:rPr>
      <w:rFonts w:ascii="Frutiger Light" w:eastAsia="Times New Roman" w:hAnsi="Frutiger Light" w:cs="Frutiger Light"/>
      <w:sz w:val="26"/>
      <w:szCs w:val="26"/>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
    <w:name w:val="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883C1A"/>
    <w:rPr>
      <w:b/>
      <w:bCs/>
    </w:rPr>
  </w:style>
  <w:style w:type="character" w:customStyle="1" w:styleId="CommarcadoresChar">
    <w:name w:val="Com marcadores Char"/>
    <w:uiPriority w:val="99"/>
    <w:rsid w:val="00883C1A"/>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al"/>
    <w:uiPriority w:val="99"/>
    <w:rsid w:val="00883C1A"/>
    <w:pPr>
      <w:widowControl w:val="0"/>
      <w:autoSpaceDE w:val="0"/>
      <w:autoSpaceDN w:val="0"/>
      <w:adjustRightInd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883C1A"/>
    <w:pPr>
      <w:widowControl w:val="0"/>
      <w:autoSpaceDE w:val="0"/>
      <w:autoSpaceDN w:val="0"/>
      <w:adjustRightInd w:val="0"/>
      <w:spacing w:after="160" w:line="240" w:lineRule="exact"/>
      <w:jc w:val="both"/>
    </w:pPr>
    <w:rPr>
      <w:rFonts w:ascii="Verdana" w:hAnsi="Verdana" w:cs="Verdana"/>
      <w:sz w:val="20"/>
      <w:szCs w:val="20"/>
      <w:lang w:val="en-US" w:eastAsia="en-US"/>
    </w:rPr>
  </w:style>
  <w:style w:type="character" w:customStyle="1" w:styleId="DeltaViewComment">
    <w:name w:val="DeltaView Comment"/>
    <w:uiPriority w:val="99"/>
    <w:rsid w:val="00883C1A"/>
    <w:rPr>
      <w:color w:val="000000"/>
      <w:spacing w:val="0"/>
    </w:rPr>
  </w:style>
  <w:style w:type="character" w:customStyle="1" w:styleId="DeltaViewInsertedComment">
    <w:name w:val="DeltaView Inserted Comment"/>
    <w:uiPriority w:val="99"/>
    <w:rsid w:val="00883C1A"/>
    <w:rPr>
      <w:color w:val="0000FF"/>
      <w:spacing w:val="0"/>
      <w:u w:val="double"/>
    </w:rPr>
  </w:style>
  <w:style w:type="character" w:customStyle="1" w:styleId="DeltaViewDeletedComment">
    <w:name w:val="DeltaView Deleted Comment"/>
    <w:uiPriority w:val="99"/>
    <w:rsid w:val="00883C1A"/>
    <w:rPr>
      <w:strike/>
      <w:color w:val="FF0000"/>
      <w:spacing w:val="0"/>
    </w:rPr>
  </w:style>
  <w:style w:type="paragraph" w:customStyle="1" w:styleId="p30">
    <w:name w:val="p3"/>
    <w:basedOn w:val="Normal"/>
    <w:rsid w:val="00883C1A"/>
    <w:pPr>
      <w:tabs>
        <w:tab w:val="left" w:pos="720"/>
      </w:tabs>
      <w:spacing w:line="240" w:lineRule="atLeast"/>
      <w:jc w:val="both"/>
    </w:pPr>
    <w:rPr>
      <w:rFonts w:ascii="Times" w:eastAsia="MS Mincho" w:hAnsi="Times"/>
      <w:szCs w:val="20"/>
      <w:lang w:eastAsia="en-US"/>
    </w:rPr>
  </w:style>
  <w:style w:type="paragraph" w:customStyle="1" w:styleId="CM13">
    <w:name w:val="CM13"/>
    <w:basedOn w:val="Default"/>
    <w:next w:val="Default"/>
    <w:uiPriority w:val="99"/>
    <w:rsid w:val="00883C1A"/>
    <w:pPr>
      <w:widowControl w:val="0"/>
    </w:pPr>
    <w:rPr>
      <w:rFonts w:ascii="Times" w:eastAsia="Times New Roman" w:hAnsi="Times" w:cs="Times"/>
      <w:color w:val="auto"/>
    </w:rPr>
  </w:style>
  <w:style w:type="paragraph" w:customStyle="1" w:styleId="CM14">
    <w:name w:val="CM14"/>
    <w:basedOn w:val="Default"/>
    <w:next w:val="Default"/>
    <w:uiPriority w:val="99"/>
    <w:rsid w:val="00883C1A"/>
    <w:pPr>
      <w:widowControl w:val="0"/>
    </w:pPr>
    <w:rPr>
      <w:rFonts w:ascii="Times" w:eastAsia="Times New Roman" w:hAnsi="Times" w:cs="Times"/>
      <w:color w:val="auto"/>
    </w:rPr>
  </w:style>
  <w:style w:type="paragraph" w:customStyle="1" w:styleId="CM15">
    <w:name w:val="CM15"/>
    <w:basedOn w:val="Default"/>
    <w:next w:val="Default"/>
    <w:uiPriority w:val="99"/>
    <w:rsid w:val="00883C1A"/>
    <w:pPr>
      <w:widowControl w:val="0"/>
    </w:pPr>
    <w:rPr>
      <w:rFonts w:ascii="Times" w:eastAsia="Times New Roman" w:hAnsi="Times" w:cs="Times"/>
      <w:color w:val="auto"/>
    </w:rPr>
  </w:style>
  <w:style w:type="paragraph" w:customStyle="1" w:styleId="CM3">
    <w:name w:val="CM3"/>
    <w:basedOn w:val="Default"/>
    <w:next w:val="Default"/>
    <w:uiPriority w:val="99"/>
    <w:rsid w:val="00883C1A"/>
    <w:pPr>
      <w:widowControl w:val="0"/>
      <w:spacing w:line="348" w:lineRule="atLeast"/>
    </w:pPr>
    <w:rPr>
      <w:rFonts w:ascii="Times" w:eastAsia="Times New Roman" w:hAnsi="Times" w:cs="Times"/>
      <w:color w:val="auto"/>
    </w:rPr>
  </w:style>
  <w:style w:type="paragraph" w:customStyle="1" w:styleId="CM16">
    <w:name w:val="CM16"/>
    <w:basedOn w:val="Default"/>
    <w:next w:val="Default"/>
    <w:uiPriority w:val="99"/>
    <w:rsid w:val="00883C1A"/>
    <w:pPr>
      <w:widowControl w:val="0"/>
    </w:pPr>
    <w:rPr>
      <w:rFonts w:ascii="Times" w:eastAsia="Times New Roman" w:hAnsi="Times" w:cs="Times"/>
      <w:color w:val="auto"/>
    </w:rPr>
  </w:style>
  <w:style w:type="paragraph" w:customStyle="1" w:styleId="CM17">
    <w:name w:val="CM17"/>
    <w:basedOn w:val="Default"/>
    <w:next w:val="Default"/>
    <w:uiPriority w:val="99"/>
    <w:rsid w:val="00883C1A"/>
    <w:pPr>
      <w:widowControl w:val="0"/>
    </w:pPr>
    <w:rPr>
      <w:rFonts w:ascii="Times" w:eastAsia="Times New Roman" w:hAnsi="Times" w:cs="Times"/>
      <w:color w:val="auto"/>
    </w:rPr>
  </w:style>
  <w:style w:type="paragraph" w:customStyle="1" w:styleId="Contratos1ClausulasArtigos">
    <w:name w:val="Contratos 1_ClausulasArtigos"/>
    <w:basedOn w:val="Normal"/>
    <w:qFormat/>
    <w:rsid w:val="00883C1A"/>
    <w:pPr>
      <w:numPr>
        <w:numId w:val="18"/>
      </w:numPr>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883C1A"/>
    <w:pPr>
      <w:numPr>
        <w:ilvl w:val="1"/>
        <w:numId w:val="18"/>
      </w:numPr>
      <w:spacing w:after="140" w:line="290" w:lineRule="auto"/>
      <w:jc w:val="both"/>
    </w:pPr>
    <w:rPr>
      <w:rFonts w:ascii="Arial" w:hAnsi="Arial"/>
      <w:sz w:val="20"/>
      <w:lang w:eastAsia="en-US"/>
    </w:rPr>
  </w:style>
  <w:style w:type="paragraph" w:customStyle="1" w:styleId="Contratos3i">
    <w:name w:val="Contratos 3_(i)"/>
    <w:basedOn w:val="Normal"/>
    <w:qFormat/>
    <w:rsid w:val="00883C1A"/>
    <w:pPr>
      <w:numPr>
        <w:ilvl w:val="2"/>
        <w:numId w:val="18"/>
      </w:numPr>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883C1A"/>
    <w:pPr>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883C1A"/>
    <w:rPr>
      <w:rFonts w:ascii="Arial" w:eastAsia="Times New Roman" w:hAnsi="Arial" w:cs="Times New Roman"/>
      <w:kern w:val="20"/>
      <w:sz w:val="20"/>
      <w:szCs w:val="24"/>
      <w:lang w:val="pt-BR"/>
    </w:rPr>
  </w:style>
  <w:style w:type="paragraph" w:customStyle="1" w:styleId="CM2">
    <w:name w:val="CM2"/>
    <w:basedOn w:val="Default"/>
    <w:next w:val="Default"/>
    <w:uiPriority w:val="99"/>
    <w:rsid w:val="00883C1A"/>
    <w:pPr>
      <w:widowControl w:val="0"/>
    </w:pPr>
    <w:rPr>
      <w:rFonts w:ascii="Times" w:eastAsia="Times New Roman" w:hAnsi="Times" w:cs="Times"/>
      <w:color w:val="auto"/>
    </w:rPr>
  </w:style>
  <w:style w:type="paragraph" w:customStyle="1" w:styleId="CM18">
    <w:name w:val="CM18"/>
    <w:basedOn w:val="Default"/>
    <w:next w:val="Default"/>
    <w:uiPriority w:val="99"/>
    <w:rsid w:val="00883C1A"/>
    <w:pPr>
      <w:widowControl w:val="0"/>
    </w:pPr>
    <w:rPr>
      <w:rFonts w:ascii="Times" w:eastAsia="Times New Roman" w:hAnsi="Times" w:cs="Times"/>
      <w:color w:val="auto"/>
    </w:rPr>
  </w:style>
  <w:style w:type="paragraph" w:customStyle="1" w:styleId="CM20">
    <w:name w:val="CM20"/>
    <w:basedOn w:val="Default"/>
    <w:next w:val="Default"/>
    <w:uiPriority w:val="99"/>
    <w:rsid w:val="00883C1A"/>
    <w:pPr>
      <w:widowControl w:val="0"/>
    </w:pPr>
    <w:rPr>
      <w:rFonts w:ascii="Times" w:eastAsia="Times New Roman" w:hAnsi="Times" w:cs="Times"/>
      <w:color w:val="auto"/>
    </w:rPr>
  </w:style>
  <w:style w:type="paragraph" w:customStyle="1" w:styleId="CM4">
    <w:name w:val="CM4"/>
    <w:basedOn w:val="Default"/>
    <w:next w:val="Default"/>
    <w:uiPriority w:val="99"/>
    <w:rsid w:val="00883C1A"/>
    <w:pPr>
      <w:widowControl w:val="0"/>
    </w:pPr>
    <w:rPr>
      <w:rFonts w:ascii="Times" w:eastAsia="Times New Roman" w:hAnsi="Times" w:cs="Times"/>
      <w:color w:val="auto"/>
    </w:rPr>
  </w:style>
  <w:style w:type="paragraph" w:customStyle="1" w:styleId="CM5">
    <w:name w:val="CM5"/>
    <w:basedOn w:val="Default"/>
    <w:next w:val="Default"/>
    <w:uiPriority w:val="99"/>
    <w:rsid w:val="00883C1A"/>
    <w:pPr>
      <w:widowControl w:val="0"/>
      <w:spacing w:line="351" w:lineRule="atLeast"/>
    </w:pPr>
    <w:rPr>
      <w:rFonts w:ascii="Times" w:eastAsia="Times New Roman" w:hAnsi="Times" w:cs="Times"/>
      <w:color w:val="auto"/>
    </w:rPr>
  </w:style>
  <w:style w:type="paragraph" w:customStyle="1" w:styleId="CM24">
    <w:name w:val="CM24"/>
    <w:basedOn w:val="Default"/>
    <w:next w:val="Default"/>
    <w:uiPriority w:val="99"/>
    <w:rsid w:val="00883C1A"/>
    <w:pPr>
      <w:widowControl w:val="0"/>
    </w:pPr>
    <w:rPr>
      <w:rFonts w:ascii="Times" w:eastAsia="Times New Roman" w:hAnsi="Times" w:cs="Times"/>
      <w:color w:val="auto"/>
    </w:rPr>
  </w:style>
  <w:style w:type="paragraph" w:customStyle="1" w:styleId="CM26">
    <w:name w:val="CM26"/>
    <w:basedOn w:val="Default"/>
    <w:next w:val="Default"/>
    <w:uiPriority w:val="99"/>
    <w:rsid w:val="00883C1A"/>
    <w:pPr>
      <w:widowControl w:val="0"/>
    </w:pPr>
    <w:rPr>
      <w:rFonts w:ascii="Times" w:eastAsia="Times New Roman" w:hAnsi="Times" w:cs="Times"/>
      <w:color w:val="auto"/>
    </w:rPr>
  </w:style>
  <w:style w:type="paragraph" w:customStyle="1" w:styleId="CM27">
    <w:name w:val="CM27"/>
    <w:basedOn w:val="Default"/>
    <w:next w:val="Default"/>
    <w:uiPriority w:val="99"/>
    <w:rsid w:val="00883C1A"/>
    <w:pPr>
      <w:widowControl w:val="0"/>
    </w:pPr>
    <w:rPr>
      <w:rFonts w:ascii="Times" w:eastAsia="Times New Roman" w:hAnsi="Times" w:cs="Times"/>
      <w:color w:val="auto"/>
    </w:rPr>
  </w:style>
  <w:style w:type="paragraph" w:customStyle="1" w:styleId="CM28">
    <w:name w:val="CM28"/>
    <w:basedOn w:val="Default"/>
    <w:next w:val="Default"/>
    <w:uiPriority w:val="99"/>
    <w:rsid w:val="00883C1A"/>
    <w:pPr>
      <w:widowControl w:val="0"/>
    </w:pPr>
    <w:rPr>
      <w:rFonts w:ascii="Times" w:eastAsia="Times New Roman" w:hAnsi="Times" w:cs="Times"/>
      <w:color w:val="auto"/>
    </w:rPr>
  </w:style>
  <w:style w:type="paragraph" w:customStyle="1" w:styleId="CM29">
    <w:name w:val="CM29"/>
    <w:basedOn w:val="Default"/>
    <w:next w:val="Default"/>
    <w:uiPriority w:val="99"/>
    <w:rsid w:val="00883C1A"/>
    <w:pPr>
      <w:widowControl w:val="0"/>
    </w:pPr>
    <w:rPr>
      <w:rFonts w:ascii="Times" w:eastAsia="Times New Roman" w:hAnsi="Times" w:cs="Times"/>
      <w:color w:val="auto"/>
    </w:rPr>
  </w:style>
  <w:style w:type="paragraph" w:customStyle="1" w:styleId="CM30">
    <w:name w:val="CM30"/>
    <w:basedOn w:val="Default"/>
    <w:next w:val="Default"/>
    <w:uiPriority w:val="99"/>
    <w:rsid w:val="00883C1A"/>
    <w:pPr>
      <w:widowControl w:val="0"/>
    </w:pPr>
    <w:rPr>
      <w:rFonts w:ascii="Times" w:eastAsia="Times New Roman" w:hAnsi="Times" w:cs="Times"/>
      <w:color w:val="auto"/>
    </w:rPr>
  </w:style>
  <w:style w:type="paragraph" w:customStyle="1" w:styleId="CM25">
    <w:name w:val="CM25"/>
    <w:basedOn w:val="Default"/>
    <w:next w:val="Default"/>
    <w:uiPriority w:val="99"/>
    <w:rsid w:val="00883C1A"/>
    <w:pPr>
      <w:widowControl w:val="0"/>
    </w:pPr>
    <w:rPr>
      <w:rFonts w:ascii="Times" w:eastAsia="Times New Roman" w:hAnsi="Times" w:cs="Times"/>
      <w:color w:val="auto"/>
    </w:rPr>
  </w:style>
  <w:style w:type="paragraph" w:customStyle="1" w:styleId="CM6">
    <w:name w:val="CM6"/>
    <w:basedOn w:val="Default"/>
    <w:next w:val="Default"/>
    <w:uiPriority w:val="99"/>
    <w:rsid w:val="00883C1A"/>
    <w:pPr>
      <w:widowControl w:val="0"/>
      <w:spacing w:line="351" w:lineRule="atLeast"/>
    </w:pPr>
    <w:rPr>
      <w:rFonts w:ascii="Times" w:eastAsia="Times New Roman" w:hAnsi="Times" w:cs="Times"/>
      <w:color w:val="auto"/>
    </w:rPr>
  </w:style>
  <w:style w:type="paragraph" w:customStyle="1" w:styleId="CM7">
    <w:name w:val="CM7"/>
    <w:basedOn w:val="Default"/>
    <w:next w:val="Default"/>
    <w:uiPriority w:val="99"/>
    <w:rsid w:val="00883C1A"/>
    <w:pPr>
      <w:widowControl w:val="0"/>
    </w:pPr>
    <w:rPr>
      <w:rFonts w:ascii="Times" w:eastAsia="Times New Roman" w:hAnsi="Times" w:cs="Times"/>
      <w:color w:val="auto"/>
    </w:rPr>
  </w:style>
  <w:style w:type="paragraph" w:customStyle="1" w:styleId="CM8">
    <w:name w:val="CM8"/>
    <w:basedOn w:val="Default"/>
    <w:next w:val="Default"/>
    <w:uiPriority w:val="99"/>
    <w:rsid w:val="00883C1A"/>
    <w:pPr>
      <w:widowControl w:val="0"/>
      <w:spacing w:line="346" w:lineRule="atLeast"/>
    </w:pPr>
    <w:rPr>
      <w:rFonts w:ascii="Times" w:eastAsia="Times New Roman" w:hAnsi="Times" w:cs="Times"/>
      <w:color w:val="auto"/>
    </w:rPr>
  </w:style>
  <w:style w:type="paragraph" w:customStyle="1" w:styleId="CM9">
    <w:name w:val="CM9"/>
    <w:basedOn w:val="Default"/>
    <w:next w:val="Default"/>
    <w:uiPriority w:val="99"/>
    <w:rsid w:val="00883C1A"/>
    <w:pPr>
      <w:widowControl w:val="0"/>
      <w:spacing w:line="348" w:lineRule="atLeast"/>
    </w:pPr>
    <w:rPr>
      <w:rFonts w:ascii="Times" w:eastAsia="Times New Roman" w:hAnsi="Times" w:cs="Times"/>
      <w:color w:val="auto"/>
    </w:rPr>
  </w:style>
  <w:style w:type="paragraph" w:customStyle="1" w:styleId="CM32">
    <w:name w:val="CM32"/>
    <w:basedOn w:val="Default"/>
    <w:next w:val="Default"/>
    <w:uiPriority w:val="99"/>
    <w:rsid w:val="00883C1A"/>
    <w:pPr>
      <w:widowControl w:val="0"/>
    </w:pPr>
    <w:rPr>
      <w:rFonts w:ascii="Times" w:eastAsia="Times New Roman" w:hAnsi="Times" w:cs="Times"/>
      <w:color w:val="auto"/>
    </w:rPr>
  </w:style>
  <w:style w:type="paragraph" w:customStyle="1" w:styleId="CM10">
    <w:name w:val="CM10"/>
    <w:basedOn w:val="Default"/>
    <w:next w:val="Default"/>
    <w:uiPriority w:val="99"/>
    <w:rsid w:val="00883C1A"/>
    <w:pPr>
      <w:widowControl w:val="0"/>
      <w:spacing w:line="351" w:lineRule="atLeast"/>
    </w:pPr>
    <w:rPr>
      <w:rFonts w:ascii="Times" w:eastAsia="Times New Roman" w:hAnsi="Times" w:cs="Times"/>
      <w:color w:val="auto"/>
    </w:rPr>
  </w:style>
  <w:style w:type="paragraph" w:customStyle="1" w:styleId="CM12">
    <w:name w:val="CM12"/>
    <w:basedOn w:val="Default"/>
    <w:next w:val="Default"/>
    <w:uiPriority w:val="99"/>
    <w:rsid w:val="00883C1A"/>
    <w:pPr>
      <w:widowControl w:val="0"/>
      <w:spacing w:line="351" w:lineRule="atLeast"/>
    </w:pPr>
    <w:rPr>
      <w:rFonts w:ascii="Times" w:eastAsia="Times New Roman" w:hAnsi="Times" w:cs="Times"/>
      <w:color w:val="auto"/>
    </w:rPr>
  </w:style>
  <w:style w:type="paragraph" w:customStyle="1" w:styleId="CM19">
    <w:name w:val="CM19"/>
    <w:basedOn w:val="Default"/>
    <w:next w:val="Default"/>
    <w:uiPriority w:val="99"/>
    <w:rsid w:val="00883C1A"/>
    <w:pPr>
      <w:widowControl w:val="0"/>
    </w:pPr>
    <w:rPr>
      <w:rFonts w:ascii="Times" w:eastAsia="Times New Roman" w:hAnsi="Times" w:cs="Times"/>
      <w:color w:val="auto"/>
    </w:rPr>
  </w:style>
  <w:style w:type="character" w:customStyle="1" w:styleId="p0Char">
    <w:name w:val="p0 Char"/>
    <w:basedOn w:val="Fontepargpadro"/>
    <w:link w:val="p0"/>
    <w:locked/>
    <w:rsid w:val="00883C1A"/>
    <w:rPr>
      <w:rFonts w:ascii="Times" w:eastAsia="Times New Roman" w:hAnsi="Times" w:cs="Times New Roman"/>
      <w:snapToGrid w:val="0"/>
      <w:w w:val="0"/>
      <w:sz w:val="22"/>
      <w:szCs w:val="20"/>
      <w:lang w:val="pt-BR" w:eastAsia="pt-BR"/>
    </w:rPr>
  </w:style>
  <w:style w:type="paragraph" w:customStyle="1" w:styleId="Switzerland">
    <w:name w:val="Switzerland"/>
    <w:basedOn w:val="Corpodetexto"/>
    <w:rsid w:val="00883C1A"/>
    <w:pPr>
      <w:spacing w:after="0"/>
      <w:jc w:val="both"/>
    </w:pPr>
    <w:rPr>
      <w:rFonts w:eastAsia="MS Mincho"/>
      <w:sz w:val="22"/>
      <w:szCs w:val="22"/>
      <w:lang w:eastAsia="en-US"/>
    </w:rPr>
  </w:style>
  <w:style w:type="paragraph" w:customStyle="1" w:styleId="BodyBlock">
    <w:name w:val="BodyBlock"/>
    <w:basedOn w:val="Normal"/>
    <w:link w:val="BodyBlockChar"/>
    <w:rsid w:val="00883C1A"/>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883C1A"/>
    <w:rPr>
      <w:rFonts w:ascii="Times New Roman" w:eastAsia="Times New Roman" w:hAnsi="Times New Roman" w:cs="Times New Roman"/>
      <w:sz w:val="21"/>
      <w:szCs w:val="20"/>
      <w:lang w:val="en-GB"/>
    </w:rPr>
  </w:style>
  <w:style w:type="paragraph" w:customStyle="1" w:styleId="Level7">
    <w:name w:val="Level 7"/>
    <w:basedOn w:val="Normal"/>
    <w:rsid w:val="00883C1A"/>
    <w:pPr>
      <w:tabs>
        <w:tab w:val="num" w:pos="3288"/>
      </w:tabs>
      <w:spacing w:after="140" w:line="290" w:lineRule="auto"/>
      <w:ind w:left="3288" w:hanging="680"/>
      <w:jc w:val="both"/>
      <w:outlineLvl w:val="6"/>
    </w:pPr>
    <w:rPr>
      <w:rFonts w:ascii="Arial" w:hAnsi="Arial"/>
      <w:kern w:val="20"/>
      <w:sz w:val="20"/>
      <w:lang w:eastAsia="en-GB"/>
    </w:rPr>
  </w:style>
  <w:style w:type="paragraph" w:customStyle="1" w:styleId="Level8">
    <w:name w:val="Level 8"/>
    <w:basedOn w:val="Normal"/>
    <w:rsid w:val="00883C1A"/>
    <w:pPr>
      <w:tabs>
        <w:tab w:val="num" w:pos="3288"/>
      </w:tabs>
      <w:spacing w:after="140" w:line="290" w:lineRule="auto"/>
      <w:ind w:left="3288" w:hanging="680"/>
      <w:jc w:val="both"/>
      <w:outlineLvl w:val="7"/>
    </w:pPr>
    <w:rPr>
      <w:rFonts w:ascii="Arial" w:hAnsi="Arial"/>
      <w:kern w:val="20"/>
      <w:sz w:val="20"/>
      <w:lang w:eastAsia="en-GB"/>
    </w:rPr>
  </w:style>
  <w:style w:type="paragraph" w:customStyle="1" w:styleId="Level9">
    <w:name w:val="Level 9"/>
    <w:basedOn w:val="Normal"/>
    <w:rsid w:val="00883C1A"/>
    <w:pPr>
      <w:tabs>
        <w:tab w:val="num" w:pos="3288"/>
      </w:tabs>
      <w:spacing w:after="140" w:line="290" w:lineRule="auto"/>
      <w:ind w:left="3288" w:hanging="680"/>
      <w:jc w:val="both"/>
      <w:outlineLvl w:val="8"/>
    </w:pPr>
    <w:rPr>
      <w:rFonts w:ascii="Arial" w:hAnsi="Arial"/>
      <w:kern w:val="20"/>
      <w:sz w:val="20"/>
      <w:lang w:eastAsia="en-GB"/>
    </w:rPr>
  </w:style>
  <w:style w:type="paragraph" w:customStyle="1" w:styleId="Bullet3">
    <w:name w:val="Bullet 3"/>
    <w:basedOn w:val="Normal"/>
    <w:qFormat/>
    <w:rsid w:val="00883C1A"/>
    <w:pPr>
      <w:numPr>
        <w:ilvl w:val="2"/>
        <w:numId w:val="20"/>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1">
    <w:name w:val="Bullet 1"/>
    <w:basedOn w:val="Normal"/>
    <w:qFormat/>
    <w:rsid w:val="00883C1A"/>
    <w:pPr>
      <w:numPr>
        <w:numId w:val="20"/>
      </w:numPr>
      <w:autoSpaceDE w:val="0"/>
      <w:autoSpaceDN w:val="0"/>
      <w:adjustRightInd w:val="0"/>
      <w:spacing w:after="140" w:line="290" w:lineRule="auto"/>
      <w:jc w:val="both"/>
    </w:pPr>
    <w:rPr>
      <w:rFonts w:ascii="Arial" w:hAnsi="Arial" w:cs="Arial"/>
      <w:sz w:val="20"/>
      <w:szCs w:val="26"/>
      <w:lang w:eastAsia="en-US"/>
    </w:rPr>
  </w:style>
  <w:style w:type="paragraph" w:customStyle="1" w:styleId="Bullet2">
    <w:name w:val="Bullet 2"/>
    <w:basedOn w:val="Normal"/>
    <w:qFormat/>
    <w:rsid w:val="00883C1A"/>
    <w:pPr>
      <w:numPr>
        <w:ilvl w:val="1"/>
        <w:numId w:val="20"/>
      </w:numPr>
      <w:autoSpaceDE w:val="0"/>
      <w:autoSpaceDN w:val="0"/>
      <w:adjustRightInd w:val="0"/>
      <w:spacing w:after="140" w:line="290" w:lineRule="auto"/>
      <w:jc w:val="both"/>
    </w:pPr>
    <w:rPr>
      <w:rFonts w:ascii="Arial" w:hAnsi="Arial" w:cs="Arial"/>
      <w:sz w:val="20"/>
      <w:szCs w:val="26"/>
      <w:lang w:eastAsia="en-US"/>
    </w:rPr>
  </w:style>
  <w:style w:type="paragraph" w:customStyle="1" w:styleId="Body3">
    <w:name w:val="Body 3"/>
    <w:basedOn w:val="Body"/>
    <w:rsid w:val="00883C1A"/>
    <w:pPr>
      <w:autoSpaceDE/>
      <w:autoSpaceDN/>
      <w:adjustRightInd/>
      <w:ind w:left="2041"/>
    </w:pPr>
    <w:rPr>
      <w:szCs w:val="22"/>
    </w:rPr>
  </w:style>
  <w:style w:type="paragraph" w:customStyle="1" w:styleId="FootnoteTextcont">
    <w:name w:val="Footnote Text cont"/>
    <w:basedOn w:val="Normal"/>
    <w:rsid w:val="00883C1A"/>
    <w:pPr>
      <w:widowControl w:val="0"/>
      <w:autoSpaceDE w:val="0"/>
      <w:autoSpaceDN w:val="0"/>
      <w:adjustRightInd w:val="0"/>
      <w:ind w:left="227"/>
      <w:jc w:val="both"/>
    </w:pPr>
    <w:rPr>
      <w:rFonts w:ascii="Arial" w:hAnsi="Arial" w:cs="Arial"/>
      <w:sz w:val="16"/>
      <w:szCs w:val="26"/>
      <w:lang w:eastAsia="en-US"/>
    </w:rPr>
  </w:style>
  <w:style w:type="paragraph" w:customStyle="1" w:styleId="TabHeading">
    <w:name w:val="TabHeading"/>
    <w:basedOn w:val="Normal"/>
    <w:qFormat/>
    <w:rsid w:val="00883C1A"/>
    <w:pPr>
      <w:spacing w:before="60" w:after="60" w:line="240" w:lineRule="exact"/>
      <w:jc w:val="both"/>
    </w:pPr>
    <w:rPr>
      <w:rFonts w:ascii="Arial" w:hAnsi="Arial"/>
      <w:b/>
      <w:sz w:val="18"/>
      <w:szCs w:val="20"/>
      <w:lang w:eastAsia="zh-CN"/>
    </w:rPr>
  </w:style>
  <w:style w:type="character" w:customStyle="1" w:styleId="FontStyle83">
    <w:name w:val="Font Style83"/>
    <w:uiPriority w:val="99"/>
    <w:rsid w:val="00883C1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hyperlink" Target="mailto:4010.debentures@bradesco.com.b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uricio.tempeste@bradesco.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4010.custodiarf@bradesco.com.b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ebora.teixeira@bradesco.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4.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5.xml><?xml version="1.0" encoding="utf-8"?>
<ds:datastoreItem xmlns:ds="http://schemas.openxmlformats.org/officeDocument/2006/customXml" ds:itemID="{E03CE095-490C-49C5-AC24-BFA0966B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26314</Words>
  <Characters>142098</Characters>
  <Application>Microsoft Office Word</Application>
  <DocSecurity>0</DocSecurity>
  <Lines>1184</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Arthur Guttierrez Fontoura</cp:lastModifiedBy>
  <cp:revision>2</cp:revision>
  <cp:lastPrinted>2020-02-14T14:36:00Z</cp:lastPrinted>
  <dcterms:created xsi:type="dcterms:W3CDTF">2020-03-02T19:36:00Z</dcterms:created>
  <dcterms:modified xsi:type="dcterms:W3CDTF">2020-03-02T19:36:00Z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