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01" w:rsidRPr="007A085A" w:rsidRDefault="006F039D" w:rsidP="007A085A">
      <w:pPr>
        <w:spacing w:after="0" w:line="320" w:lineRule="exact"/>
        <w:jc w:val="center"/>
        <w:rPr>
          <w:rFonts w:ascii="Garamond" w:hAnsi="Garamond"/>
          <w:b/>
          <w:sz w:val="24"/>
          <w:szCs w:val="24"/>
        </w:rPr>
      </w:pPr>
      <w:r w:rsidRPr="007A085A">
        <w:rPr>
          <w:rFonts w:ascii="Garamond" w:hAnsi="Garamond"/>
          <w:b/>
          <w:sz w:val="24"/>
          <w:szCs w:val="24"/>
        </w:rPr>
        <w:t xml:space="preserve">TERMO DE LIBERAÇÃO DE </w:t>
      </w:r>
    </w:p>
    <w:p w:rsidR="006F039D" w:rsidRPr="007A085A" w:rsidRDefault="001338F7" w:rsidP="007A085A">
      <w:pPr>
        <w:spacing w:after="0" w:line="320" w:lineRule="exact"/>
        <w:jc w:val="center"/>
        <w:rPr>
          <w:rFonts w:ascii="Garamond" w:hAnsi="Garamond"/>
          <w:b/>
          <w:sz w:val="24"/>
          <w:szCs w:val="24"/>
        </w:rPr>
      </w:pPr>
      <w:r>
        <w:rPr>
          <w:rFonts w:ascii="Garamond" w:hAnsi="Garamond"/>
          <w:b/>
          <w:sz w:val="24"/>
          <w:szCs w:val="24"/>
        </w:rPr>
        <w:t>CESSÃO</w:t>
      </w:r>
      <w:r w:rsidR="006F039D" w:rsidRPr="007A085A">
        <w:rPr>
          <w:rFonts w:ascii="Garamond" w:hAnsi="Garamond"/>
          <w:b/>
          <w:sz w:val="24"/>
          <w:szCs w:val="24"/>
        </w:rPr>
        <w:t xml:space="preserve"> FIDUCIÁRIA DE </w:t>
      </w:r>
      <w:r>
        <w:rPr>
          <w:rFonts w:ascii="Garamond" w:hAnsi="Garamond"/>
          <w:b/>
          <w:sz w:val="24"/>
          <w:szCs w:val="24"/>
        </w:rPr>
        <w:t>DIREITOS CREDITÓRIOS</w:t>
      </w:r>
      <w:r w:rsidR="006F039D" w:rsidRPr="007A085A">
        <w:rPr>
          <w:rFonts w:ascii="Garamond" w:hAnsi="Garamond"/>
          <w:b/>
          <w:sz w:val="24"/>
          <w:szCs w:val="24"/>
        </w:rPr>
        <w:t xml:space="preserve"> EM GARANTIA</w:t>
      </w:r>
    </w:p>
    <w:p w:rsidR="006F039D" w:rsidRPr="007A085A" w:rsidRDefault="006F039D" w:rsidP="007A085A">
      <w:pPr>
        <w:spacing w:after="0" w:line="320" w:lineRule="exact"/>
        <w:jc w:val="both"/>
        <w:rPr>
          <w:rFonts w:ascii="Garamond" w:hAnsi="Garamond"/>
          <w:b/>
          <w:sz w:val="24"/>
          <w:szCs w:val="24"/>
        </w:rPr>
      </w:pPr>
    </w:p>
    <w:p w:rsidR="009E6A01" w:rsidRPr="007A085A" w:rsidRDefault="00E43A17" w:rsidP="007A085A">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SIMPLIFIC PAVARINI DISTRIBUIDORA DE TÍTULOS E VALORES MOBILIÁRIOS LTDA.</w:t>
      </w:r>
      <w:r w:rsidRPr="007A085A">
        <w:rPr>
          <w:rFonts w:ascii="Garamond" w:hAnsi="Garamond"/>
          <w:sz w:val="24"/>
          <w:szCs w:val="24"/>
        </w:rPr>
        <w:t>, instituição financeira, com sede na Cidade do Rio de Janeiro, Estado do Rio de Janeiro, na Rua Sete de Setembro, nº 99, 24º andar, inscrita no CNPJ/ME sob o nº 15.227.994/0001-50,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Fiduciário</w:t>
      </w:r>
      <w:r w:rsidRPr="007A085A">
        <w:rPr>
          <w:rFonts w:ascii="Garamond" w:hAnsi="Garamond"/>
          <w:sz w:val="24"/>
          <w:szCs w:val="24"/>
        </w:rPr>
        <w:t>”), na qualidade de representante da comunhão dos interesses dos titulares das debêntures (“</w:t>
      </w:r>
      <w:r w:rsidRPr="007A085A">
        <w:rPr>
          <w:rFonts w:ascii="Garamond" w:hAnsi="Garamond"/>
          <w:sz w:val="24"/>
          <w:szCs w:val="24"/>
          <w:u w:val="single"/>
        </w:rPr>
        <w:t>Debenturistas</w:t>
      </w:r>
      <w:r w:rsidRPr="007A085A">
        <w:rPr>
          <w:rFonts w:ascii="Garamond" w:hAnsi="Garamond"/>
          <w:sz w:val="24"/>
          <w:szCs w:val="24"/>
        </w:rPr>
        <w:t xml:space="preserve">”) da 1ª (primeira) emissão de debêntures simples, não conversíveis em ações, da espécie quirografária, com garantia real adicional, em 3 (três) séries, da </w:t>
      </w:r>
      <w:r w:rsidRPr="007A085A">
        <w:rPr>
          <w:rFonts w:ascii="Garamond" w:hAnsi="Garamond"/>
          <w:b/>
          <w:bCs/>
          <w:sz w:val="24"/>
          <w:szCs w:val="24"/>
        </w:rPr>
        <w:t>Aliança Transportadora de Gás Participações S.A</w:t>
      </w:r>
      <w:r w:rsidR="009E6A01" w:rsidRPr="007A085A">
        <w:rPr>
          <w:rFonts w:ascii="Garamond" w:hAnsi="Garamond"/>
          <w:b/>
          <w:bCs/>
          <w:sz w:val="24"/>
          <w:szCs w:val="24"/>
        </w:rPr>
        <w:t>.</w:t>
      </w:r>
      <w:r w:rsidR="009E6A01" w:rsidRPr="007A085A">
        <w:rPr>
          <w:rFonts w:ascii="Garamond" w:hAnsi="Garamond"/>
          <w:sz w:val="24"/>
          <w:szCs w:val="24"/>
        </w:rPr>
        <w:t xml:space="preserve">, </w:t>
      </w:r>
      <w:r w:rsidR="00C5090A" w:rsidRPr="007A085A">
        <w:rPr>
          <w:rFonts w:ascii="Garamond" w:hAnsi="Garamond"/>
          <w:sz w:val="24"/>
          <w:szCs w:val="24"/>
        </w:rPr>
        <w:t>sociedade anônima sem registro de companhia aberta perante a Comissão de Valores Mobiliários (“</w:t>
      </w:r>
      <w:r w:rsidR="00C5090A" w:rsidRPr="007A085A">
        <w:rPr>
          <w:rFonts w:ascii="Garamond" w:hAnsi="Garamond"/>
          <w:sz w:val="24"/>
          <w:szCs w:val="24"/>
          <w:u w:val="single"/>
        </w:rPr>
        <w:t>CVM</w:t>
      </w:r>
      <w:r w:rsidR="00C5090A" w:rsidRPr="007A085A">
        <w:rPr>
          <w:rFonts w:ascii="Garamond" w:hAnsi="Garamond"/>
          <w:sz w:val="24"/>
          <w:szCs w:val="24"/>
        </w:rPr>
        <w:t>”), com sede na Cidade do Rio de Janeiro, Estado do Rio de Janeiro, na Avenida Presidente Wilson, nº 231, salas 2201, 2202, 2203 e 2204, CEP 20030-905, Centro, inscrita no CNPJ/ME sob o nº 28.760.485/0001-30</w:t>
      </w:r>
      <w:r w:rsidRPr="007A085A">
        <w:rPr>
          <w:rFonts w:ascii="Garamond" w:hAnsi="Garamond"/>
          <w:sz w:val="24"/>
          <w:szCs w:val="24"/>
        </w:rPr>
        <w:t xml:space="preserve"> (“</w:t>
      </w:r>
      <w:r w:rsidRPr="007A085A">
        <w:rPr>
          <w:rFonts w:ascii="Garamond" w:hAnsi="Garamond"/>
          <w:sz w:val="24"/>
          <w:szCs w:val="24"/>
          <w:u w:val="single"/>
        </w:rPr>
        <w:t>Emissão</w:t>
      </w:r>
      <w:r w:rsidRPr="007A085A">
        <w:rPr>
          <w:rFonts w:ascii="Garamond" w:hAnsi="Garamond"/>
          <w:sz w:val="24"/>
          <w:szCs w:val="24"/>
        </w:rPr>
        <w:t>”</w:t>
      </w:r>
      <w:r w:rsidR="009E6A01" w:rsidRPr="007A085A">
        <w:rPr>
          <w:rFonts w:ascii="Garamond" w:hAnsi="Garamond"/>
          <w:sz w:val="24"/>
          <w:szCs w:val="24"/>
        </w:rPr>
        <w:t>,</w:t>
      </w:r>
      <w:r w:rsidRPr="007A085A">
        <w:rPr>
          <w:rFonts w:ascii="Garamond" w:hAnsi="Garamond"/>
          <w:sz w:val="24"/>
          <w:szCs w:val="24"/>
        </w:rPr>
        <w:t xml:space="preserve"> “</w:t>
      </w:r>
      <w:r w:rsidRPr="007A085A">
        <w:rPr>
          <w:rFonts w:ascii="Garamond" w:hAnsi="Garamond"/>
          <w:sz w:val="24"/>
          <w:szCs w:val="24"/>
          <w:u w:val="single"/>
        </w:rPr>
        <w:t>Debêntures</w:t>
      </w:r>
      <w:r w:rsidRPr="007A085A">
        <w:rPr>
          <w:rFonts w:ascii="Garamond" w:hAnsi="Garamond"/>
          <w:sz w:val="24"/>
          <w:szCs w:val="24"/>
        </w:rPr>
        <w:t>”</w:t>
      </w:r>
      <w:r w:rsidR="009E6A01" w:rsidRPr="007A085A">
        <w:rPr>
          <w:rFonts w:ascii="Garamond" w:hAnsi="Garamond"/>
          <w:sz w:val="24"/>
          <w:szCs w:val="24"/>
        </w:rPr>
        <w:t xml:space="preserve"> e “</w:t>
      </w:r>
      <w:r w:rsidR="009E6A01" w:rsidRPr="007A085A">
        <w:rPr>
          <w:rFonts w:ascii="Garamond" w:hAnsi="Garamond"/>
          <w:sz w:val="24"/>
          <w:szCs w:val="24"/>
          <w:u w:val="single"/>
        </w:rPr>
        <w:t>Aliança</w:t>
      </w:r>
      <w:r w:rsidR="009E6A01" w:rsidRPr="007A085A">
        <w:rPr>
          <w:rFonts w:ascii="Garamond" w:hAnsi="Garamond"/>
          <w:sz w:val="24"/>
          <w:szCs w:val="24"/>
        </w:rPr>
        <w:t>”</w:t>
      </w:r>
      <w:r w:rsidRPr="007A085A">
        <w:rPr>
          <w:rFonts w:ascii="Garamond" w:hAnsi="Garamond"/>
          <w:sz w:val="24"/>
          <w:szCs w:val="24"/>
        </w:rPr>
        <w:t>, respectivamente)</w:t>
      </w:r>
      <w:r w:rsidR="009E6A01" w:rsidRPr="007A085A">
        <w:rPr>
          <w:rFonts w:ascii="Garamond" w:hAnsi="Garamond"/>
          <w:sz w:val="24"/>
          <w:szCs w:val="24"/>
        </w:rPr>
        <w:t>; e</w:t>
      </w:r>
    </w:p>
    <w:p w:rsidR="009E6A01" w:rsidRPr="007A085A" w:rsidRDefault="009E6A01" w:rsidP="007A085A">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BNP PARIBAS</w:t>
      </w:r>
      <w:r w:rsidRPr="008E77AE">
        <w:rPr>
          <w:rFonts w:ascii="Garamond" w:hAnsi="Garamond"/>
          <w:sz w:val="24"/>
          <w:szCs w:val="24"/>
        </w:rPr>
        <w:t xml:space="preserve">, instituição financeira constituída sob as leis da França, agindo por meio de sua filial localizada em Nova Iorque, com endereço em 787 7th </w:t>
      </w:r>
      <w:proofErr w:type="spellStart"/>
      <w:r w:rsidRPr="008E77AE">
        <w:rPr>
          <w:rFonts w:ascii="Garamond" w:hAnsi="Garamond"/>
          <w:sz w:val="24"/>
          <w:szCs w:val="24"/>
        </w:rPr>
        <w:t>Avenue</w:t>
      </w:r>
      <w:proofErr w:type="spellEnd"/>
      <w:r w:rsidRPr="008E77AE">
        <w:rPr>
          <w:rFonts w:ascii="Garamond" w:hAnsi="Garamond"/>
          <w:sz w:val="24"/>
          <w:szCs w:val="24"/>
        </w:rPr>
        <w:t>,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 xml:space="preserve">BNP </w:t>
      </w:r>
      <w:proofErr w:type="spellStart"/>
      <w:r w:rsidRPr="008E77AE">
        <w:rPr>
          <w:rFonts w:ascii="Garamond" w:hAnsi="Garamond"/>
          <w:sz w:val="24"/>
          <w:szCs w:val="24"/>
          <w:u w:val="single"/>
        </w:rPr>
        <w:t>Paribas</w:t>
      </w:r>
      <w:proofErr w:type="spellEnd"/>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CRÉDIT AGRICOLE CORPORATE AND INVESTMENT BANK</w:t>
      </w:r>
      <w:r w:rsidRPr="008E77AE">
        <w:rPr>
          <w:rFonts w:ascii="Garamond" w:hAnsi="Garamond"/>
          <w:sz w:val="24"/>
          <w:szCs w:val="24"/>
        </w:rPr>
        <w:t xml:space="preserve">, instituição financeira constituída sob as leis da França, agindo por meio de sua filial localizada em Nova Iorque, com endereço em 1301 </w:t>
      </w:r>
      <w:proofErr w:type="spellStart"/>
      <w:r w:rsidRPr="008E77AE">
        <w:rPr>
          <w:rFonts w:ascii="Garamond" w:hAnsi="Garamond"/>
          <w:sz w:val="24"/>
          <w:szCs w:val="24"/>
        </w:rPr>
        <w:t>Avenue</w:t>
      </w:r>
      <w:proofErr w:type="spellEnd"/>
      <w:r w:rsidRPr="008E77AE">
        <w:rPr>
          <w:rFonts w:ascii="Garamond" w:hAnsi="Garamond"/>
          <w:sz w:val="24"/>
          <w:szCs w:val="24"/>
        </w:rPr>
        <w:t xml:space="preserve"> </w:t>
      </w:r>
      <w:proofErr w:type="spellStart"/>
      <w:r w:rsidRPr="008E77AE">
        <w:rPr>
          <w:rFonts w:ascii="Garamond" w:hAnsi="Garamond"/>
          <w:sz w:val="24"/>
          <w:szCs w:val="24"/>
        </w:rPr>
        <w:t>of</w:t>
      </w:r>
      <w:proofErr w:type="spellEnd"/>
      <w:r w:rsidRPr="008E77AE">
        <w:rPr>
          <w:rFonts w:ascii="Garamond" w:hAnsi="Garamond"/>
          <w:sz w:val="24"/>
          <w:szCs w:val="24"/>
        </w:rPr>
        <w:t xml:space="preserve"> </w:t>
      </w:r>
      <w:proofErr w:type="spellStart"/>
      <w:r w:rsidRPr="008E77AE">
        <w:rPr>
          <w:rFonts w:ascii="Garamond" w:hAnsi="Garamond"/>
          <w:sz w:val="24"/>
          <w:szCs w:val="24"/>
        </w:rPr>
        <w:t>the</w:t>
      </w:r>
      <w:proofErr w:type="spellEnd"/>
      <w:r w:rsidRPr="008E77AE">
        <w:rPr>
          <w:rFonts w:ascii="Garamond" w:hAnsi="Garamond"/>
          <w:sz w:val="24"/>
          <w:szCs w:val="24"/>
        </w:rPr>
        <w:t xml:space="preserve"> </w:t>
      </w:r>
      <w:proofErr w:type="spellStart"/>
      <w:r w:rsidRPr="008E77AE">
        <w:rPr>
          <w:rFonts w:ascii="Garamond" w:hAnsi="Garamond"/>
          <w:sz w:val="24"/>
          <w:szCs w:val="24"/>
        </w:rPr>
        <w:t>Americas</w:t>
      </w:r>
      <w:proofErr w:type="spellEnd"/>
      <w:r w:rsidRPr="008E77AE">
        <w:rPr>
          <w:rFonts w:ascii="Garamond" w:hAnsi="Garamond"/>
          <w:sz w:val="24"/>
          <w:szCs w:val="24"/>
        </w:rPr>
        <w:t>, Cidade de Nova Iorque, Estado de Nova Iorque, inscrita no CNPJ/ME sob o nº 18.380.627/0001-80, neste ato representada por seus representantes legais devidamente constituídos na forma de seu estatuto social e identificados na respectiva página de assinaturas deste instrumento (“</w:t>
      </w:r>
      <w:proofErr w:type="spellStart"/>
      <w:r w:rsidRPr="008E77AE">
        <w:rPr>
          <w:rFonts w:ascii="Garamond" w:hAnsi="Garamond"/>
          <w:sz w:val="24"/>
          <w:szCs w:val="24"/>
          <w:u w:val="single"/>
        </w:rPr>
        <w:t>Crédit</w:t>
      </w:r>
      <w:proofErr w:type="spellEnd"/>
      <w:r w:rsidRPr="008E77AE">
        <w:rPr>
          <w:rFonts w:ascii="Garamond" w:hAnsi="Garamond"/>
          <w:sz w:val="24"/>
          <w:szCs w:val="24"/>
          <w:u w:val="single"/>
        </w:rPr>
        <w:t xml:space="preserve"> </w:t>
      </w:r>
      <w:proofErr w:type="spellStart"/>
      <w:r w:rsidRPr="008E77AE">
        <w:rPr>
          <w:rFonts w:ascii="Garamond" w:hAnsi="Garamond"/>
          <w:sz w:val="24"/>
          <w:szCs w:val="24"/>
          <w:u w:val="single"/>
        </w:rPr>
        <w:t>Agricóle</w:t>
      </w:r>
      <w:proofErr w:type="spellEnd"/>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MIZUHO BANK, LTD.</w:t>
      </w:r>
      <w:r w:rsidRPr="008E77AE">
        <w:rPr>
          <w:rFonts w:ascii="Garamond" w:hAnsi="Garamond"/>
          <w:sz w:val="24"/>
          <w:szCs w:val="24"/>
        </w:rPr>
        <w:t xml:space="preserve">, instituição financeira constituída sob as leis de Tóquio, agindo por meio de sua filial localizada em Nova Iorque, com endereço em 1251 </w:t>
      </w:r>
      <w:proofErr w:type="spellStart"/>
      <w:r w:rsidRPr="008E77AE">
        <w:rPr>
          <w:rFonts w:ascii="Garamond" w:hAnsi="Garamond"/>
          <w:sz w:val="24"/>
          <w:szCs w:val="24"/>
        </w:rPr>
        <w:t>Avenue</w:t>
      </w:r>
      <w:proofErr w:type="spellEnd"/>
      <w:r w:rsidRPr="008E77AE">
        <w:rPr>
          <w:rFonts w:ascii="Garamond" w:hAnsi="Garamond"/>
          <w:sz w:val="24"/>
          <w:szCs w:val="24"/>
        </w:rPr>
        <w:t xml:space="preserve"> </w:t>
      </w:r>
      <w:proofErr w:type="spellStart"/>
      <w:r w:rsidRPr="008E77AE">
        <w:rPr>
          <w:rFonts w:ascii="Garamond" w:hAnsi="Garamond"/>
          <w:sz w:val="24"/>
          <w:szCs w:val="24"/>
        </w:rPr>
        <w:t>of</w:t>
      </w:r>
      <w:proofErr w:type="spellEnd"/>
      <w:r w:rsidRPr="008E77AE">
        <w:rPr>
          <w:rFonts w:ascii="Garamond" w:hAnsi="Garamond"/>
          <w:sz w:val="24"/>
          <w:szCs w:val="24"/>
        </w:rPr>
        <w:t xml:space="preserve"> </w:t>
      </w:r>
      <w:proofErr w:type="spellStart"/>
      <w:r w:rsidRPr="008E77AE">
        <w:rPr>
          <w:rFonts w:ascii="Garamond" w:hAnsi="Garamond"/>
          <w:sz w:val="24"/>
          <w:szCs w:val="24"/>
        </w:rPr>
        <w:t>the</w:t>
      </w:r>
      <w:proofErr w:type="spellEnd"/>
      <w:r w:rsidRPr="008E77AE">
        <w:rPr>
          <w:rFonts w:ascii="Garamond" w:hAnsi="Garamond"/>
          <w:sz w:val="24"/>
          <w:szCs w:val="24"/>
        </w:rPr>
        <w:t xml:space="preserve"> </w:t>
      </w:r>
      <w:proofErr w:type="spellStart"/>
      <w:r w:rsidRPr="008E77AE">
        <w:rPr>
          <w:rFonts w:ascii="Garamond" w:hAnsi="Garamond"/>
          <w:sz w:val="24"/>
          <w:szCs w:val="24"/>
        </w:rPr>
        <w:t>Americas</w:t>
      </w:r>
      <w:proofErr w:type="spellEnd"/>
      <w:r w:rsidRPr="008E77AE">
        <w:rPr>
          <w:rFonts w:ascii="Garamond" w:hAnsi="Garamond"/>
          <w:sz w:val="24"/>
          <w:szCs w:val="24"/>
        </w:rPr>
        <w:t>, Cidade de Nova Iorque, Estado de Nova Iorque, inscrita no CNPJ/ME sob o nº 54.928.760/0001-16, neste ato representada por seus representantes legais devidamente constituídos na forma de seu estatuto social e identificados na respectiva página de assinaturas deste instrumento (“</w:t>
      </w:r>
      <w:proofErr w:type="spellStart"/>
      <w:r w:rsidRPr="008E77AE">
        <w:rPr>
          <w:rFonts w:ascii="Garamond" w:hAnsi="Garamond"/>
          <w:sz w:val="24"/>
          <w:szCs w:val="24"/>
          <w:u w:val="single"/>
        </w:rPr>
        <w:t>Mizuho</w:t>
      </w:r>
      <w:proofErr w:type="spellEnd"/>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SUMITOMO MITSUI BANKING CORPORATION</w:t>
      </w:r>
      <w:r w:rsidRPr="008E77AE">
        <w:rPr>
          <w:rFonts w:ascii="Garamond" w:hAnsi="Garamond"/>
          <w:sz w:val="24"/>
          <w:szCs w:val="24"/>
        </w:rPr>
        <w:t xml:space="preserve">, instituição financeira constituída sob as leis de Tóquio, agindo por meio de sua filial localizada em Nova Iorque, com endereço em 277 Park </w:t>
      </w:r>
      <w:proofErr w:type="spellStart"/>
      <w:r w:rsidRPr="008E77AE">
        <w:rPr>
          <w:rFonts w:ascii="Garamond" w:hAnsi="Garamond"/>
          <w:sz w:val="24"/>
          <w:szCs w:val="24"/>
        </w:rPr>
        <w:t>Avenue</w:t>
      </w:r>
      <w:proofErr w:type="spellEnd"/>
      <w:r w:rsidRPr="008E77AE">
        <w:rPr>
          <w:rFonts w:ascii="Garamond" w:hAnsi="Garamond"/>
          <w:sz w:val="24"/>
          <w:szCs w:val="24"/>
        </w:rPr>
        <w:t xml:space="preserve">, Cidade de Nova Iorque, Estado de Nova Iorque, </w:t>
      </w:r>
      <w:r w:rsidRPr="008E77AE">
        <w:rPr>
          <w:rFonts w:ascii="Garamond" w:hAnsi="Garamond"/>
          <w:sz w:val="24"/>
          <w:szCs w:val="24"/>
        </w:rPr>
        <w:lastRenderedPageBreak/>
        <w:t>inscrita no CNPJ/ME sob o nº 05.511.120/0001-77,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SMBC</w:t>
      </w:r>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ING CAPITAL LLC</w:t>
      </w:r>
      <w:r w:rsidRPr="008E77AE">
        <w:rPr>
          <w:rFonts w:ascii="Garamond" w:hAnsi="Garamond"/>
          <w:sz w:val="24"/>
          <w:szCs w:val="24"/>
        </w:rPr>
        <w:t xml:space="preserve">, instituição financeira constituída sob as leis de Nova Iorque, com endereço em 1133 </w:t>
      </w:r>
      <w:proofErr w:type="spellStart"/>
      <w:r w:rsidRPr="008E77AE">
        <w:rPr>
          <w:rFonts w:ascii="Garamond" w:hAnsi="Garamond"/>
          <w:sz w:val="24"/>
          <w:szCs w:val="24"/>
        </w:rPr>
        <w:t>Avenue</w:t>
      </w:r>
      <w:proofErr w:type="spellEnd"/>
      <w:r w:rsidRPr="008E77AE">
        <w:rPr>
          <w:rFonts w:ascii="Garamond" w:hAnsi="Garamond"/>
          <w:sz w:val="24"/>
          <w:szCs w:val="24"/>
        </w:rPr>
        <w:t xml:space="preserve"> </w:t>
      </w:r>
      <w:proofErr w:type="spellStart"/>
      <w:r w:rsidRPr="008E77AE">
        <w:rPr>
          <w:rFonts w:ascii="Garamond" w:hAnsi="Garamond"/>
          <w:sz w:val="24"/>
          <w:szCs w:val="24"/>
        </w:rPr>
        <w:t>of</w:t>
      </w:r>
      <w:proofErr w:type="spellEnd"/>
      <w:r w:rsidRPr="008E77AE">
        <w:rPr>
          <w:rFonts w:ascii="Garamond" w:hAnsi="Garamond"/>
          <w:sz w:val="24"/>
          <w:szCs w:val="24"/>
        </w:rPr>
        <w:t xml:space="preserve"> </w:t>
      </w:r>
      <w:proofErr w:type="spellStart"/>
      <w:r w:rsidRPr="008E77AE">
        <w:rPr>
          <w:rFonts w:ascii="Garamond" w:hAnsi="Garamond"/>
          <w:sz w:val="24"/>
          <w:szCs w:val="24"/>
        </w:rPr>
        <w:t>the</w:t>
      </w:r>
      <w:proofErr w:type="spellEnd"/>
      <w:r w:rsidRPr="008E77AE">
        <w:rPr>
          <w:rFonts w:ascii="Garamond" w:hAnsi="Garamond"/>
          <w:sz w:val="24"/>
          <w:szCs w:val="24"/>
        </w:rPr>
        <w:t xml:space="preserve"> </w:t>
      </w:r>
      <w:proofErr w:type="spellStart"/>
      <w:r w:rsidRPr="008E77AE">
        <w:rPr>
          <w:rFonts w:ascii="Garamond" w:hAnsi="Garamond"/>
          <w:sz w:val="24"/>
          <w:szCs w:val="24"/>
        </w:rPr>
        <w:t>Americas</w:t>
      </w:r>
      <w:proofErr w:type="spellEnd"/>
      <w:r w:rsidRPr="008E77AE">
        <w:rPr>
          <w:rFonts w:ascii="Garamond" w:hAnsi="Garamond"/>
          <w:sz w:val="24"/>
          <w:szCs w:val="24"/>
        </w:rPr>
        <w:t>, Cidade de Nova Iorque, Estado de Nova Iorque,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ING</w:t>
      </w:r>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SOCIÉTÉ GÉNÉRALE</w:t>
      </w:r>
      <w:r w:rsidRPr="008E77AE">
        <w:rPr>
          <w:rFonts w:ascii="Garamond" w:hAnsi="Garamond"/>
          <w:sz w:val="24"/>
          <w:szCs w:val="24"/>
        </w:rPr>
        <w:t xml:space="preserve">, instituição financeira constituída sob as leis da França, agindo por meio de sua filial localizada em Nova Iorque, com endereço em 245 Park </w:t>
      </w:r>
      <w:proofErr w:type="spellStart"/>
      <w:r w:rsidRPr="008E77AE">
        <w:rPr>
          <w:rFonts w:ascii="Garamond" w:hAnsi="Garamond"/>
          <w:sz w:val="24"/>
          <w:szCs w:val="24"/>
        </w:rPr>
        <w:t>Avenue</w:t>
      </w:r>
      <w:proofErr w:type="spellEnd"/>
      <w:r w:rsidRPr="008E77AE">
        <w:rPr>
          <w:rFonts w:ascii="Garamond" w:hAnsi="Garamond"/>
          <w:sz w:val="24"/>
          <w:szCs w:val="24"/>
        </w:rPr>
        <w:t>,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 xml:space="preserve">Société </w:t>
      </w:r>
      <w:proofErr w:type="spellStart"/>
      <w:r w:rsidRPr="008E77AE">
        <w:rPr>
          <w:rFonts w:ascii="Garamond" w:hAnsi="Garamond"/>
          <w:sz w:val="24"/>
          <w:szCs w:val="24"/>
          <w:u w:val="single"/>
        </w:rPr>
        <w:t>Générale</w:t>
      </w:r>
      <w:proofErr w:type="spellEnd"/>
      <w:r w:rsidRPr="008E77AE">
        <w:rPr>
          <w:rFonts w:ascii="Garamond" w:hAnsi="Garamond"/>
          <w:sz w:val="24"/>
          <w:szCs w:val="24"/>
        </w:rPr>
        <w:t xml:space="preserve">”); </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MUFG BANK, LTD.</w:t>
      </w:r>
      <w:r w:rsidRPr="008E77AE">
        <w:rPr>
          <w:rFonts w:ascii="Garamond" w:hAnsi="Garamond"/>
          <w:sz w:val="24"/>
          <w:szCs w:val="24"/>
        </w:rPr>
        <w:t xml:space="preserve">, instituição financeira constituída sob as leis de Tóquio, agindo por meio de sua filial localizada em Nova Iorque, com endereço em 1251 </w:t>
      </w:r>
      <w:proofErr w:type="spellStart"/>
      <w:r w:rsidRPr="008E77AE">
        <w:rPr>
          <w:rFonts w:ascii="Garamond" w:hAnsi="Garamond"/>
          <w:sz w:val="24"/>
          <w:szCs w:val="24"/>
        </w:rPr>
        <w:t>Avenue</w:t>
      </w:r>
      <w:proofErr w:type="spellEnd"/>
      <w:r w:rsidRPr="008E77AE">
        <w:rPr>
          <w:rFonts w:ascii="Garamond" w:hAnsi="Garamond"/>
          <w:sz w:val="24"/>
          <w:szCs w:val="24"/>
        </w:rPr>
        <w:t xml:space="preserve"> </w:t>
      </w:r>
      <w:proofErr w:type="spellStart"/>
      <w:r w:rsidRPr="008E77AE">
        <w:rPr>
          <w:rFonts w:ascii="Garamond" w:hAnsi="Garamond"/>
          <w:sz w:val="24"/>
          <w:szCs w:val="24"/>
        </w:rPr>
        <w:t>of</w:t>
      </w:r>
      <w:proofErr w:type="spellEnd"/>
      <w:r w:rsidRPr="008E77AE">
        <w:rPr>
          <w:rFonts w:ascii="Garamond" w:hAnsi="Garamond"/>
          <w:sz w:val="24"/>
          <w:szCs w:val="24"/>
        </w:rPr>
        <w:t xml:space="preserve"> </w:t>
      </w:r>
      <w:proofErr w:type="spellStart"/>
      <w:r w:rsidRPr="008E77AE">
        <w:rPr>
          <w:rFonts w:ascii="Garamond" w:hAnsi="Garamond"/>
          <w:sz w:val="24"/>
          <w:szCs w:val="24"/>
        </w:rPr>
        <w:t>the</w:t>
      </w:r>
      <w:proofErr w:type="spellEnd"/>
      <w:r w:rsidRPr="008E77AE">
        <w:rPr>
          <w:rFonts w:ascii="Garamond" w:hAnsi="Garamond"/>
          <w:sz w:val="24"/>
          <w:szCs w:val="24"/>
        </w:rPr>
        <w:t xml:space="preserve"> </w:t>
      </w:r>
      <w:proofErr w:type="spellStart"/>
      <w:r w:rsidRPr="008E77AE">
        <w:rPr>
          <w:rFonts w:ascii="Garamond" w:hAnsi="Garamond"/>
          <w:sz w:val="24"/>
          <w:szCs w:val="24"/>
        </w:rPr>
        <w:t>Americas</w:t>
      </w:r>
      <w:proofErr w:type="spellEnd"/>
      <w:r w:rsidRPr="008E77AE">
        <w:rPr>
          <w:rFonts w:ascii="Garamond" w:hAnsi="Garamond"/>
          <w:sz w:val="24"/>
          <w:szCs w:val="24"/>
        </w:rPr>
        <w:t>, Cidade de Nova Iorque, Estado de Nova Iorque 10020-1104, inscrita no CNPJ/ME sob o nº 05.710.415/0001-72,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MUFG</w:t>
      </w:r>
      <w:r w:rsidRPr="008E77AE">
        <w:rPr>
          <w:rFonts w:ascii="Garamond" w:hAnsi="Garamond"/>
          <w:sz w:val="24"/>
          <w:szCs w:val="24"/>
        </w:rPr>
        <w:t xml:space="preserve">” e, em conjunto com o BNP </w:t>
      </w:r>
      <w:proofErr w:type="spellStart"/>
      <w:r w:rsidRPr="008E77AE">
        <w:rPr>
          <w:rFonts w:ascii="Garamond" w:hAnsi="Garamond"/>
          <w:sz w:val="24"/>
          <w:szCs w:val="24"/>
        </w:rPr>
        <w:t>Paribas</w:t>
      </w:r>
      <w:proofErr w:type="spellEnd"/>
      <w:r w:rsidRPr="008E77AE">
        <w:rPr>
          <w:rFonts w:ascii="Garamond" w:hAnsi="Garamond"/>
          <w:sz w:val="24"/>
          <w:szCs w:val="24"/>
        </w:rPr>
        <w:t xml:space="preserve">, </w:t>
      </w:r>
      <w:proofErr w:type="spellStart"/>
      <w:r w:rsidRPr="008E77AE">
        <w:rPr>
          <w:rFonts w:ascii="Garamond" w:hAnsi="Garamond"/>
          <w:sz w:val="24"/>
          <w:szCs w:val="24"/>
        </w:rPr>
        <w:t>Crédit</w:t>
      </w:r>
      <w:proofErr w:type="spellEnd"/>
      <w:r w:rsidRPr="008E77AE">
        <w:rPr>
          <w:rFonts w:ascii="Garamond" w:hAnsi="Garamond"/>
          <w:sz w:val="24"/>
          <w:szCs w:val="24"/>
        </w:rPr>
        <w:t xml:space="preserve"> </w:t>
      </w:r>
      <w:proofErr w:type="spellStart"/>
      <w:r w:rsidRPr="008E77AE">
        <w:rPr>
          <w:rFonts w:ascii="Garamond" w:hAnsi="Garamond"/>
          <w:sz w:val="24"/>
          <w:szCs w:val="24"/>
        </w:rPr>
        <w:t>Agricóle</w:t>
      </w:r>
      <w:proofErr w:type="spellEnd"/>
      <w:r w:rsidRPr="008E77AE">
        <w:rPr>
          <w:rFonts w:ascii="Garamond" w:hAnsi="Garamond"/>
          <w:sz w:val="24"/>
          <w:szCs w:val="24"/>
        </w:rPr>
        <w:t xml:space="preserve">, </w:t>
      </w:r>
      <w:proofErr w:type="spellStart"/>
      <w:r w:rsidRPr="008E77AE">
        <w:rPr>
          <w:rFonts w:ascii="Garamond" w:hAnsi="Garamond"/>
          <w:sz w:val="24"/>
          <w:szCs w:val="24"/>
        </w:rPr>
        <w:t>Mizuho</w:t>
      </w:r>
      <w:proofErr w:type="spellEnd"/>
      <w:r w:rsidRPr="008E77AE">
        <w:rPr>
          <w:rFonts w:ascii="Garamond" w:hAnsi="Garamond"/>
          <w:sz w:val="24"/>
          <w:szCs w:val="24"/>
        </w:rPr>
        <w:t xml:space="preserve">, SMBC, ING e Société </w:t>
      </w:r>
      <w:proofErr w:type="spellStart"/>
      <w:r w:rsidRPr="008E77AE">
        <w:rPr>
          <w:rFonts w:ascii="Garamond" w:hAnsi="Garamond"/>
          <w:sz w:val="24"/>
          <w:szCs w:val="24"/>
        </w:rPr>
        <w:t>Générale</w:t>
      </w:r>
      <w:proofErr w:type="spellEnd"/>
      <w:r w:rsidRPr="008E77AE">
        <w:rPr>
          <w:rFonts w:ascii="Garamond" w:hAnsi="Garamond"/>
          <w:sz w:val="24"/>
          <w:szCs w:val="24"/>
        </w:rPr>
        <w:t>, “</w:t>
      </w:r>
      <w:r w:rsidRPr="008E77AE">
        <w:rPr>
          <w:rFonts w:ascii="Garamond" w:hAnsi="Garamond"/>
          <w:sz w:val="24"/>
          <w:szCs w:val="24"/>
          <w:u w:val="single"/>
        </w:rPr>
        <w:t>Credores Estrangeiros</w:t>
      </w:r>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MIZUHO BANK, LTD.</w:t>
      </w:r>
      <w:r w:rsidRPr="008E77AE">
        <w:rPr>
          <w:rFonts w:ascii="Garamond" w:hAnsi="Garamond"/>
          <w:sz w:val="24"/>
          <w:szCs w:val="24"/>
        </w:rPr>
        <w:t>, acima qualificado (“</w:t>
      </w:r>
      <w:proofErr w:type="spellStart"/>
      <w:r w:rsidRPr="008E77AE">
        <w:rPr>
          <w:rFonts w:ascii="Garamond" w:hAnsi="Garamond"/>
          <w:sz w:val="24"/>
          <w:szCs w:val="24"/>
          <w:u w:val="single"/>
        </w:rPr>
        <w:t>Facility</w:t>
      </w:r>
      <w:proofErr w:type="spellEnd"/>
      <w:r w:rsidRPr="008E77AE">
        <w:rPr>
          <w:rFonts w:ascii="Garamond" w:hAnsi="Garamond"/>
          <w:sz w:val="24"/>
          <w:szCs w:val="24"/>
          <w:u w:val="single"/>
        </w:rPr>
        <w:t xml:space="preserve"> Agent</w:t>
      </w:r>
      <w:r w:rsidRPr="008E77AE">
        <w:rPr>
          <w:rFonts w:ascii="Garamond" w:hAnsi="Garamond"/>
          <w:sz w:val="24"/>
          <w:szCs w:val="24"/>
        </w:rPr>
        <w:t>”, na qualidade de agente representante dos Credores Estrangeiros);</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SUMITOMO MITSUI BANKING CORPORATION</w:t>
      </w:r>
      <w:r w:rsidRPr="008E77AE">
        <w:rPr>
          <w:rFonts w:ascii="Garamond" w:hAnsi="Garamond"/>
          <w:sz w:val="24"/>
          <w:szCs w:val="24"/>
        </w:rPr>
        <w:t>, acima qualificado (“</w:t>
      </w:r>
      <w:proofErr w:type="spellStart"/>
      <w:r w:rsidRPr="008E77AE">
        <w:rPr>
          <w:rFonts w:ascii="Garamond" w:hAnsi="Garamond"/>
          <w:sz w:val="24"/>
          <w:szCs w:val="24"/>
          <w:u w:val="single"/>
        </w:rPr>
        <w:t>Intercreditor</w:t>
      </w:r>
      <w:proofErr w:type="spellEnd"/>
      <w:r w:rsidRPr="008E77AE">
        <w:rPr>
          <w:rFonts w:ascii="Garamond" w:hAnsi="Garamond"/>
          <w:sz w:val="24"/>
          <w:szCs w:val="24"/>
          <w:u w:val="single"/>
        </w:rPr>
        <w:t xml:space="preserve"> Agent</w:t>
      </w:r>
      <w:r w:rsidRPr="008E77AE">
        <w:rPr>
          <w:rFonts w:ascii="Garamond" w:hAnsi="Garamond"/>
          <w:sz w:val="24"/>
          <w:szCs w:val="24"/>
        </w:rPr>
        <w:t>”, na qualidade de agente intermediário das Partes Garantidas</w:t>
      </w:r>
      <w:r>
        <w:rPr>
          <w:rFonts w:ascii="Garamond" w:hAnsi="Garamond"/>
          <w:sz w:val="24"/>
          <w:szCs w:val="24"/>
        </w:rPr>
        <w:t>, abaixo definidas</w:t>
      </w:r>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BANCO BNP PARIBAS BRASIL S.A.</w:t>
      </w:r>
      <w:r w:rsidRPr="008E77AE">
        <w:rPr>
          <w:rFonts w:ascii="Garamond" w:hAnsi="Garamond"/>
          <w:sz w:val="24"/>
          <w:szCs w:val="24"/>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Provedor de Hedge I</w:t>
      </w:r>
      <w:r w:rsidRPr="008E77AE">
        <w:rPr>
          <w:rFonts w:ascii="Garamond" w:hAnsi="Garamond"/>
          <w:sz w:val="24"/>
          <w:szCs w:val="24"/>
        </w:rPr>
        <w:t xml:space="preserve">”); </w:t>
      </w:r>
    </w:p>
    <w:p w:rsidR="009B6A39" w:rsidRPr="008E77AE" w:rsidRDefault="009B6A39" w:rsidP="009B6A39">
      <w:pPr>
        <w:spacing w:after="0" w:line="320" w:lineRule="exact"/>
        <w:jc w:val="both"/>
        <w:rPr>
          <w:rFonts w:ascii="Garamond" w:hAnsi="Garamond"/>
          <w:sz w:val="24"/>
          <w:szCs w:val="24"/>
        </w:rPr>
      </w:pPr>
    </w:p>
    <w:p w:rsidR="009B6A39"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BANCO CRÉDIT AGRICOLE BRASIL S.A.</w:t>
      </w:r>
      <w:r w:rsidRPr="008E77AE">
        <w:rPr>
          <w:rFonts w:ascii="Garamond" w:hAnsi="Garamond"/>
          <w:sz w:val="24"/>
          <w:szCs w:val="24"/>
        </w:rPr>
        <w:t xml:space="preserve">, instituição financeira constituída sob as leis da República Federativa do Brasil, com sede na Alameda </w:t>
      </w:r>
      <w:proofErr w:type="spellStart"/>
      <w:r w:rsidRPr="008E77AE">
        <w:rPr>
          <w:rFonts w:ascii="Garamond" w:hAnsi="Garamond"/>
          <w:sz w:val="24"/>
          <w:szCs w:val="24"/>
        </w:rPr>
        <w:t>Itú</w:t>
      </w:r>
      <w:proofErr w:type="spellEnd"/>
      <w:r w:rsidRPr="008E77AE">
        <w:rPr>
          <w:rFonts w:ascii="Garamond" w:hAnsi="Garamond"/>
          <w:sz w:val="24"/>
          <w:szCs w:val="24"/>
        </w:rPr>
        <w:t xml:space="preserve">, nº 852, 12º andar, Cidade de São Paulo, Estado de São Paulo, inscrita no CNPJ/ME sob o nº 75.647.891/0001-71, neste ato representada por seus representantes legais devidamente constituídos na forma </w:t>
      </w:r>
      <w:r w:rsidRPr="008E77AE">
        <w:rPr>
          <w:rFonts w:ascii="Garamond" w:hAnsi="Garamond"/>
          <w:sz w:val="24"/>
          <w:szCs w:val="24"/>
        </w:rPr>
        <w:lastRenderedPageBreak/>
        <w:t>de seu estatuto social e identificados na respectiva página de assinaturas deste instrumento (“</w:t>
      </w:r>
      <w:r w:rsidRPr="008E77AE">
        <w:rPr>
          <w:rFonts w:ascii="Garamond" w:hAnsi="Garamond"/>
          <w:sz w:val="24"/>
          <w:szCs w:val="24"/>
          <w:u w:val="single"/>
        </w:rPr>
        <w:t>Provedor de Hedge II</w:t>
      </w:r>
      <w:r w:rsidRPr="008E77AE">
        <w:rPr>
          <w:rFonts w:ascii="Garamond" w:hAnsi="Garamond"/>
          <w:sz w:val="24"/>
          <w:szCs w:val="24"/>
        </w:rPr>
        <w:t>”);</w:t>
      </w:r>
    </w:p>
    <w:p w:rsidR="009B6A39" w:rsidRPr="008E77AE" w:rsidRDefault="009B6A39" w:rsidP="009B6A39">
      <w:pPr>
        <w:spacing w:after="0" w:line="320" w:lineRule="exact"/>
        <w:jc w:val="both"/>
        <w:rPr>
          <w:rFonts w:ascii="Garamond" w:hAnsi="Garamond"/>
          <w:sz w:val="24"/>
          <w:szCs w:val="24"/>
        </w:rPr>
      </w:pPr>
    </w:p>
    <w:p w:rsidR="009B6A39" w:rsidRPr="008E77AE"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8E77AE">
        <w:rPr>
          <w:rFonts w:ascii="Garamond" w:hAnsi="Garamond"/>
          <w:b/>
          <w:bCs/>
          <w:sz w:val="24"/>
          <w:szCs w:val="24"/>
        </w:rPr>
        <w:t>ITAÚ UNIBANCO S.A.</w:t>
      </w:r>
      <w:r w:rsidRPr="008E77AE">
        <w:rPr>
          <w:rFonts w:ascii="Garamond" w:hAnsi="Garamond"/>
          <w:sz w:val="24"/>
          <w:szCs w:val="24"/>
        </w:rPr>
        <w:t>, instituição financeira constituída sob as leis da República Federativa do Brasil, com sede na Praça Alfredo Egydio De Souza Aranha, nº 100, Torre Olavo Setúbal, Cidade de São Paulo, Estado de São Paulo, inscrita no CNPJ/ME sob o nº 60.701.190/4816-09, neste ato representada por seus representantes legais devidamente constituídos na forma de seu estatuto social e identificados na respectiva página de assinaturas deste instrumento (“</w:t>
      </w:r>
      <w:r w:rsidRPr="008E77AE">
        <w:rPr>
          <w:rFonts w:ascii="Garamond" w:hAnsi="Garamond"/>
          <w:sz w:val="24"/>
          <w:szCs w:val="24"/>
          <w:u w:val="single"/>
        </w:rPr>
        <w:t>Provedor de Hedge III</w:t>
      </w:r>
      <w:r w:rsidRPr="008E77AE">
        <w:rPr>
          <w:rFonts w:ascii="Garamond" w:hAnsi="Garamond"/>
          <w:sz w:val="24"/>
          <w:szCs w:val="24"/>
        </w:rPr>
        <w:t>” e, em conjunto com o Provedor de Hedge I e com o Provedor de Hedge II, “</w:t>
      </w:r>
      <w:r w:rsidRPr="008E77AE">
        <w:rPr>
          <w:rFonts w:ascii="Garamond" w:hAnsi="Garamond"/>
          <w:sz w:val="24"/>
          <w:szCs w:val="24"/>
          <w:u w:val="single"/>
        </w:rPr>
        <w:t>Provedores de Hedge</w:t>
      </w:r>
      <w:r w:rsidRPr="008E77AE">
        <w:rPr>
          <w:rFonts w:ascii="Garamond" w:hAnsi="Garamond"/>
          <w:sz w:val="24"/>
          <w:szCs w:val="24"/>
        </w:rPr>
        <w:t>”);</w:t>
      </w:r>
    </w:p>
    <w:p w:rsidR="009B6A39" w:rsidRPr="007A085A" w:rsidRDefault="009B6A39" w:rsidP="009B6A39">
      <w:pPr>
        <w:spacing w:after="0" w:line="320" w:lineRule="exact"/>
        <w:jc w:val="both"/>
        <w:rPr>
          <w:rFonts w:ascii="Garamond" w:hAnsi="Garamond"/>
          <w:sz w:val="24"/>
          <w:szCs w:val="24"/>
        </w:rPr>
      </w:pPr>
    </w:p>
    <w:p w:rsidR="009B6A39" w:rsidRPr="007A085A" w:rsidRDefault="009B6A39" w:rsidP="009B6A39">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TMF BRASIL ADMINISTRAÇÃO E GESTÃO DE ATIVOS LTDA.</w:t>
      </w:r>
      <w:r w:rsidRPr="007A085A">
        <w:rPr>
          <w:rFonts w:ascii="Garamond" w:hAnsi="Garamond"/>
          <w:sz w:val="24"/>
          <w:szCs w:val="24"/>
        </w:rPr>
        <w:t>, sociedade empresária limitada, com sede na cidade de Barueri, Estado de São Paulo, na Alameda Caiapós, nº 243, Térreo, inscrita no CNPJ/ME sob o nº 23.103.490/0001-57,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de Garantias Local</w:t>
      </w:r>
      <w:r w:rsidRPr="007A085A">
        <w:rPr>
          <w:rFonts w:ascii="Garamond" w:hAnsi="Garamond"/>
          <w:sz w:val="24"/>
          <w:szCs w:val="24"/>
        </w:rPr>
        <w:t>”</w:t>
      </w:r>
      <w:r>
        <w:rPr>
          <w:rFonts w:ascii="Garamond" w:hAnsi="Garamond"/>
          <w:sz w:val="24"/>
          <w:szCs w:val="24"/>
        </w:rPr>
        <w:t xml:space="preserve"> e, em conjunto com o Agente Fiduciário,</w:t>
      </w:r>
      <w:r w:rsidRPr="00587BE8">
        <w:rPr>
          <w:rFonts w:ascii="Garamond" w:hAnsi="Garamond"/>
          <w:sz w:val="24"/>
          <w:szCs w:val="24"/>
        </w:rPr>
        <w:t xml:space="preserve"> </w:t>
      </w:r>
      <w:r>
        <w:rPr>
          <w:rFonts w:ascii="Garamond" w:hAnsi="Garamond"/>
          <w:sz w:val="24"/>
          <w:szCs w:val="24"/>
        </w:rPr>
        <w:t xml:space="preserve">os Credores Estrangeiros, o </w:t>
      </w:r>
      <w:proofErr w:type="spellStart"/>
      <w:r>
        <w:rPr>
          <w:rFonts w:ascii="Garamond" w:hAnsi="Garamond"/>
          <w:sz w:val="24"/>
          <w:szCs w:val="24"/>
        </w:rPr>
        <w:t>Intercreditor</w:t>
      </w:r>
      <w:proofErr w:type="spellEnd"/>
      <w:r>
        <w:rPr>
          <w:rFonts w:ascii="Garamond" w:hAnsi="Garamond"/>
          <w:sz w:val="24"/>
          <w:szCs w:val="24"/>
        </w:rPr>
        <w:t xml:space="preserve"> Agent, </w:t>
      </w:r>
      <w:proofErr w:type="spellStart"/>
      <w:r>
        <w:rPr>
          <w:rFonts w:ascii="Garamond" w:hAnsi="Garamond"/>
          <w:sz w:val="24"/>
          <w:szCs w:val="24"/>
        </w:rPr>
        <w:t>Facility</w:t>
      </w:r>
      <w:proofErr w:type="spellEnd"/>
      <w:r>
        <w:rPr>
          <w:rFonts w:ascii="Garamond" w:hAnsi="Garamond"/>
          <w:sz w:val="24"/>
          <w:szCs w:val="24"/>
        </w:rPr>
        <w:t xml:space="preserve"> Agent e os Provedores de Hedge, as “</w:t>
      </w:r>
      <w:r w:rsidRPr="008E77AE">
        <w:rPr>
          <w:rFonts w:ascii="Garamond" w:hAnsi="Garamond"/>
          <w:sz w:val="24"/>
          <w:szCs w:val="24"/>
          <w:u w:val="single"/>
        </w:rPr>
        <w:t>Partes Garantidas</w:t>
      </w:r>
      <w:r>
        <w:rPr>
          <w:rFonts w:ascii="Garamond" w:hAnsi="Garamond"/>
          <w:sz w:val="24"/>
          <w:szCs w:val="24"/>
        </w:rPr>
        <w:t>”</w:t>
      </w:r>
      <w:r w:rsidRPr="007A085A">
        <w:rPr>
          <w:rFonts w:ascii="Garamond" w:hAnsi="Garamond"/>
          <w:sz w:val="24"/>
          <w:szCs w:val="24"/>
        </w:rPr>
        <w:t xml:space="preserve">), na qualidade de </w:t>
      </w:r>
      <w:r>
        <w:rPr>
          <w:rFonts w:ascii="Garamond" w:hAnsi="Garamond"/>
          <w:sz w:val="24"/>
          <w:szCs w:val="24"/>
        </w:rPr>
        <w:t>agente de garantias local das Partes Garantidas</w:t>
      </w:r>
      <w:r>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spacing w:after="0" w:line="320" w:lineRule="exact"/>
        <w:jc w:val="both"/>
        <w:rPr>
          <w:rFonts w:ascii="Garamond" w:hAnsi="Garamond"/>
          <w:sz w:val="24"/>
          <w:szCs w:val="24"/>
        </w:rPr>
      </w:pPr>
      <w:r w:rsidRPr="007A085A">
        <w:rPr>
          <w:rFonts w:ascii="Garamond" w:hAnsi="Garamond"/>
          <w:b/>
          <w:bCs/>
          <w:sz w:val="24"/>
          <w:szCs w:val="24"/>
        </w:rPr>
        <w:t>Considerando que</w:t>
      </w:r>
      <w:r w:rsidRPr="007A085A">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sz w:val="24"/>
        </w:rPr>
        <w:t xml:space="preserve">em 10 de maio de 2019, a </w:t>
      </w:r>
      <w:r w:rsidR="00C5090A" w:rsidRPr="007A085A">
        <w:rPr>
          <w:rFonts w:ascii="Garamond" w:hAnsi="Garamond"/>
          <w:sz w:val="24"/>
        </w:rPr>
        <w:t>Aliança</w:t>
      </w:r>
      <w:r w:rsidRPr="007A085A">
        <w:rPr>
          <w:rFonts w:ascii="Garamond" w:hAnsi="Garamond"/>
          <w:sz w:val="24"/>
        </w:rPr>
        <w:t xml:space="preserve"> e o Agente Fiduciário celebraram a “</w:t>
      </w:r>
      <w:r w:rsidRPr="007A085A">
        <w:rPr>
          <w:rFonts w:ascii="Garamond" w:hAnsi="Garamond"/>
          <w:i/>
          <w:iCs/>
          <w:sz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Pr="007A085A">
        <w:rPr>
          <w:rFonts w:ascii="Garamond" w:hAnsi="Garamond"/>
          <w:sz w:val="24"/>
        </w:rPr>
        <w:t>”, conforme aditada em 10 de junho de 2019 e em 13 de junho de 2019 (“</w:t>
      </w:r>
      <w:r w:rsidRPr="007A085A">
        <w:rPr>
          <w:rFonts w:ascii="Garamond" w:hAnsi="Garamond"/>
          <w:sz w:val="24"/>
          <w:u w:val="single"/>
        </w:rPr>
        <w:t>Escritura de Emissão</w:t>
      </w:r>
      <w:r w:rsidRPr="007A085A">
        <w:rPr>
          <w:rFonts w:ascii="Garamond" w:hAnsi="Garamond"/>
          <w:sz w:val="24"/>
        </w:rPr>
        <w:t xml:space="preserve">”), a qual rege os termos e condições da </w:t>
      </w:r>
      <w:r w:rsidR="00C5090A" w:rsidRPr="007A085A">
        <w:rPr>
          <w:rFonts w:ascii="Garamond" w:hAnsi="Garamond"/>
          <w:sz w:val="24"/>
        </w:rPr>
        <w:t>Emissão das Debêntures</w:t>
      </w:r>
      <w:r w:rsidRPr="007A085A">
        <w:rPr>
          <w:rFonts w:ascii="Garamond" w:hAnsi="Garamond" w:cs="Tahoma"/>
          <w:sz w:val="24"/>
        </w:rPr>
        <w:t xml:space="preserve">, no valor total de R$ 14.000.000.000,00 (quatorze bilhões de reais), </w:t>
      </w:r>
      <w:r w:rsidRPr="007A085A">
        <w:rPr>
          <w:rFonts w:ascii="Garamond" w:hAnsi="Garamond"/>
          <w:sz w:val="24"/>
        </w:rPr>
        <w:t>na respectiva data de emissão;</w:t>
      </w:r>
    </w:p>
    <w:p w:rsidR="00C5090A" w:rsidRPr="007A085A" w:rsidRDefault="00C5090A" w:rsidP="007A085A">
      <w:pPr>
        <w:pStyle w:val="Recitals"/>
        <w:numPr>
          <w:ilvl w:val="0"/>
          <w:numId w:val="0"/>
        </w:numPr>
        <w:spacing w:after="0" w:line="320" w:lineRule="exact"/>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23 de maio de 2019, a </w:t>
      </w:r>
      <w:r w:rsidR="00C5090A" w:rsidRPr="007A085A">
        <w:rPr>
          <w:rFonts w:ascii="Garamond" w:hAnsi="Garamond" w:cs="Tahoma"/>
          <w:sz w:val="24"/>
        </w:rPr>
        <w:t>Aliança</w:t>
      </w:r>
      <w:r w:rsidRPr="007A085A">
        <w:rPr>
          <w:rFonts w:ascii="Garamond" w:hAnsi="Garamond" w:cs="Tahoma"/>
          <w:sz w:val="24"/>
        </w:rPr>
        <w:t xml:space="preserve">, na qualidade de devedora, a </w:t>
      </w:r>
      <w:r w:rsidR="00C5090A" w:rsidRPr="007A085A">
        <w:rPr>
          <w:rFonts w:ascii="Garamond" w:hAnsi="Garamond" w:cs="Tahoma"/>
          <w:b/>
          <w:bCs/>
          <w:sz w:val="24"/>
        </w:rPr>
        <w:t>Transportadora Associada de Gás S.A. - TAG</w:t>
      </w:r>
      <w:r w:rsidR="00C5090A" w:rsidRPr="007A085A">
        <w:rPr>
          <w:rFonts w:ascii="Garamond" w:hAnsi="Garamond" w:cs="Tahoma"/>
          <w:sz w:val="24"/>
        </w:rPr>
        <w:t>, sociedade anônima sem registro de companhia aberta perante a CVM, com sede na Cidade do Rio de Janeiro, Estado do Rio de Janeiro, na Praia do Flamengo, nº 200, 20º andar, inscrita no CNPJ/ME sob o nº 06.248.349/0001-23 (“</w:t>
      </w:r>
      <w:r w:rsidR="00C5090A" w:rsidRPr="007A085A">
        <w:rPr>
          <w:rFonts w:ascii="Garamond" w:hAnsi="Garamond" w:cs="Tahoma"/>
          <w:sz w:val="24"/>
          <w:u w:val="single"/>
        </w:rPr>
        <w:t>TAG</w:t>
      </w:r>
      <w:r w:rsidR="00C5090A" w:rsidRPr="007A085A">
        <w:rPr>
          <w:rFonts w:ascii="Garamond" w:hAnsi="Garamond" w:cs="Tahoma"/>
          <w:sz w:val="24"/>
        </w:rPr>
        <w:t>”)</w:t>
      </w:r>
      <w:r w:rsidRPr="007A085A">
        <w:rPr>
          <w:rFonts w:ascii="Garamond" w:hAnsi="Garamond" w:cs="Tahoma"/>
          <w:sz w:val="24"/>
        </w:rPr>
        <w:t xml:space="preserve">, na qualidade de garantidora, </w:t>
      </w:r>
      <w:r w:rsidR="002311D6" w:rsidRPr="007A085A">
        <w:rPr>
          <w:rFonts w:ascii="Garamond" w:hAnsi="Garamond" w:cs="Tahoma"/>
          <w:sz w:val="24"/>
        </w:rPr>
        <w:t xml:space="preserve">, </w:t>
      </w:r>
      <w:r w:rsidR="009B6A39">
        <w:rPr>
          <w:rFonts w:ascii="Garamond" w:hAnsi="Garamond" w:cs="Tahoma"/>
          <w:sz w:val="24"/>
        </w:rPr>
        <w:t xml:space="preserve">os </w:t>
      </w:r>
      <w:r w:rsidR="002311D6" w:rsidRPr="00FC7899">
        <w:rPr>
          <w:rFonts w:ascii="Garamond" w:hAnsi="Garamond" w:cs="Tahoma"/>
          <w:sz w:val="24"/>
        </w:rPr>
        <w:t>Credores Estrangeiros</w:t>
      </w:r>
      <w:r w:rsidRPr="007A085A">
        <w:rPr>
          <w:rFonts w:ascii="Garamond" w:hAnsi="Garamond" w:cs="Tahoma"/>
          <w:sz w:val="24"/>
        </w:rPr>
        <w:t xml:space="preserve">, o </w:t>
      </w:r>
      <w:proofErr w:type="spellStart"/>
      <w:r w:rsidR="002311D6" w:rsidRPr="00FC7899">
        <w:rPr>
          <w:rFonts w:ascii="Garamond" w:hAnsi="Garamond" w:cs="Tahoma"/>
          <w:sz w:val="24"/>
        </w:rPr>
        <w:t>Facility</w:t>
      </w:r>
      <w:proofErr w:type="spellEnd"/>
      <w:r w:rsidR="002311D6" w:rsidRPr="00FC7899">
        <w:rPr>
          <w:rFonts w:ascii="Garamond" w:hAnsi="Garamond" w:cs="Tahoma"/>
          <w:sz w:val="24"/>
        </w:rPr>
        <w:t xml:space="preserve"> Agent</w:t>
      </w:r>
      <w:r w:rsidR="002311D6" w:rsidRPr="007A085A">
        <w:rPr>
          <w:rFonts w:ascii="Garamond" w:hAnsi="Garamond" w:cs="Tahoma"/>
          <w:sz w:val="24"/>
        </w:rPr>
        <w:t xml:space="preserve">, </w:t>
      </w:r>
      <w:r w:rsidRPr="007A085A">
        <w:rPr>
          <w:rFonts w:ascii="Garamond" w:hAnsi="Garamond" w:cs="Tahoma"/>
          <w:sz w:val="24"/>
        </w:rPr>
        <w:t>, o Agente de Garantias Local e o</w:t>
      </w:r>
      <w:r w:rsidR="009B6A39">
        <w:rPr>
          <w:rFonts w:ascii="Garamond" w:hAnsi="Garamond" w:cs="Tahoma"/>
          <w:sz w:val="24"/>
        </w:rPr>
        <w:t xml:space="preserve"> </w:t>
      </w:r>
      <w:proofErr w:type="spellStart"/>
      <w:r w:rsidR="009B6A39">
        <w:rPr>
          <w:rFonts w:ascii="Garamond" w:hAnsi="Garamond" w:cs="Tahoma"/>
          <w:sz w:val="24"/>
        </w:rPr>
        <w:t>Intercreditor</w:t>
      </w:r>
      <w:proofErr w:type="spellEnd"/>
      <w:r w:rsidR="009B6A39">
        <w:rPr>
          <w:rFonts w:ascii="Garamond" w:hAnsi="Garamond" w:cs="Tahoma"/>
          <w:sz w:val="24"/>
        </w:rPr>
        <w:t xml:space="preserve"> Agent</w:t>
      </w:r>
      <w:r w:rsidRPr="007A085A">
        <w:rPr>
          <w:rFonts w:ascii="Garamond" w:hAnsi="Garamond" w:cs="Tahoma"/>
          <w:sz w:val="24"/>
        </w:rPr>
        <w:t xml:space="preserve">, celebraram o </w:t>
      </w:r>
      <w:r w:rsidR="002311D6" w:rsidRPr="007A085A">
        <w:rPr>
          <w:rFonts w:ascii="Garamond" w:hAnsi="Garamond" w:cs="Tahoma"/>
          <w:sz w:val="24"/>
        </w:rPr>
        <w:t>“</w:t>
      </w:r>
      <w:proofErr w:type="spellStart"/>
      <w:r w:rsidRPr="007A085A">
        <w:rPr>
          <w:rFonts w:ascii="Garamond" w:hAnsi="Garamond" w:cs="Tahoma"/>
          <w:i/>
          <w:iCs/>
          <w:sz w:val="24"/>
        </w:rPr>
        <w:t>Facility</w:t>
      </w:r>
      <w:proofErr w:type="spellEnd"/>
      <w:r w:rsidRPr="007A085A">
        <w:rPr>
          <w:rFonts w:ascii="Garamond" w:hAnsi="Garamond" w:cs="Tahoma"/>
          <w:i/>
          <w:iCs/>
          <w:sz w:val="24"/>
        </w:rPr>
        <w:t xml:space="preserve"> </w:t>
      </w:r>
      <w:proofErr w:type="spellStart"/>
      <w:r w:rsidRPr="007A085A">
        <w:rPr>
          <w:rFonts w:ascii="Garamond" w:hAnsi="Garamond" w:cs="Tahoma"/>
          <w:i/>
          <w:iCs/>
          <w:sz w:val="24"/>
        </w:rPr>
        <w:t>Agreement</w:t>
      </w:r>
      <w:proofErr w:type="spellEnd"/>
      <w:r w:rsidR="002311D6" w:rsidRPr="007A085A">
        <w:rPr>
          <w:rFonts w:ascii="Garamond" w:hAnsi="Garamond" w:cs="Tahoma"/>
          <w:sz w:val="24"/>
        </w:rPr>
        <w:t>”</w:t>
      </w:r>
      <w:r w:rsidRPr="007A085A">
        <w:rPr>
          <w:rFonts w:ascii="Garamond" w:hAnsi="Garamond" w:cs="Tahoma"/>
          <w:sz w:val="24"/>
        </w:rPr>
        <w:t>, no valor de US$ 2.450.000.000,00 (dois bilhões e quatrocentos e cinquenta milhões de dólares) (“</w:t>
      </w:r>
      <w:r w:rsidRPr="007A085A">
        <w:rPr>
          <w:rFonts w:ascii="Garamond" w:hAnsi="Garamond" w:cs="Tahoma"/>
          <w:bCs/>
          <w:sz w:val="24"/>
          <w:u w:val="single"/>
        </w:rPr>
        <w:t xml:space="preserve">USD </w:t>
      </w:r>
      <w:proofErr w:type="spellStart"/>
      <w:r w:rsidRPr="007A085A">
        <w:rPr>
          <w:rFonts w:ascii="Garamond" w:hAnsi="Garamond" w:cs="Tahoma"/>
          <w:bCs/>
          <w:sz w:val="24"/>
          <w:u w:val="single"/>
        </w:rPr>
        <w:t>Facility</w:t>
      </w:r>
      <w:proofErr w:type="spellEnd"/>
      <w:r w:rsidRPr="007A085A">
        <w:rPr>
          <w:rFonts w:ascii="Garamond" w:hAnsi="Garamond" w:cs="Tahoma"/>
          <w:sz w:val="24"/>
        </w:rPr>
        <w:t>”)</w:t>
      </w:r>
      <w:r w:rsidRPr="007A085A">
        <w:rPr>
          <w:rFonts w:ascii="Garamond" w:hAnsi="Garamond"/>
          <w:sz w:val="24"/>
        </w:rPr>
        <w:t>,</w:t>
      </w:r>
      <w:r w:rsidRPr="007A085A">
        <w:rPr>
          <w:rFonts w:ascii="Garamond" w:hAnsi="Garamond"/>
          <w:kern w:val="0"/>
          <w:sz w:val="24"/>
        </w:rPr>
        <w:t xml:space="preserve"> </w:t>
      </w:r>
      <w:r w:rsidRPr="007A085A">
        <w:rPr>
          <w:rFonts w:ascii="Garamond" w:hAnsi="Garamond"/>
          <w:sz w:val="24"/>
        </w:rPr>
        <w:t xml:space="preserve">o qual rege os termos e condições do financiamento contratado pela </w:t>
      </w:r>
      <w:r w:rsidR="002311D6" w:rsidRPr="007A085A">
        <w:rPr>
          <w:rFonts w:ascii="Garamond" w:hAnsi="Garamond"/>
          <w:sz w:val="24"/>
        </w:rPr>
        <w:t>Aliança</w:t>
      </w:r>
      <w:r w:rsidRPr="007A085A">
        <w:rPr>
          <w:rFonts w:ascii="Garamond" w:hAnsi="Garamond"/>
          <w:sz w:val="24"/>
        </w:rPr>
        <w:t xml:space="preserve"> junto aos Credores Estrangeiros no valor total de até US$ </w:t>
      </w:r>
      <w:r w:rsidRPr="007A085A">
        <w:rPr>
          <w:rFonts w:ascii="Garamond" w:hAnsi="Garamond" w:cs="Tahoma"/>
          <w:sz w:val="24"/>
        </w:rPr>
        <w:t>2.450.000.000,00 (dois bilhões e quatrocentos e cinquenta milhões de dólares)</w:t>
      </w:r>
      <w:r w:rsidRPr="007A085A">
        <w:rPr>
          <w:rFonts w:ascii="Garamond" w:hAnsi="Garamond"/>
          <w:sz w:val="24"/>
        </w:rPr>
        <w:t xml:space="preserve"> (“</w:t>
      </w:r>
      <w:r w:rsidRPr="007A085A">
        <w:rPr>
          <w:rFonts w:ascii="Garamond" w:hAnsi="Garamond"/>
          <w:bCs/>
          <w:sz w:val="24"/>
          <w:u w:val="single"/>
        </w:rPr>
        <w:t xml:space="preserve">USD </w:t>
      </w:r>
      <w:proofErr w:type="spellStart"/>
      <w:r w:rsidRPr="007A085A">
        <w:rPr>
          <w:rFonts w:ascii="Garamond" w:hAnsi="Garamond"/>
          <w:bCs/>
          <w:sz w:val="24"/>
          <w:u w:val="single"/>
        </w:rPr>
        <w:t>Loan</w:t>
      </w:r>
      <w:proofErr w:type="spellEnd"/>
      <w:r w:rsidRPr="007A085A">
        <w:rPr>
          <w:rFonts w:ascii="Garamond" w:hAnsi="Garamond"/>
          <w:sz w:val="24"/>
        </w:rPr>
        <w:t>”)</w:t>
      </w:r>
      <w:r w:rsidRPr="007A085A">
        <w:rPr>
          <w:rFonts w:ascii="Garamond" w:hAnsi="Garamond" w:cs="Tahoma"/>
          <w:sz w:val="24"/>
        </w:rPr>
        <w:t>;</w:t>
      </w:r>
    </w:p>
    <w:p w:rsidR="00C5090A" w:rsidRPr="007A085A" w:rsidRDefault="00C5090A" w:rsidP="007A085A">
      <w:pPr>
        <w:pStyle w:val="Recitals"/>
        <w:numPr>
          <w:ilvl w:val="0"/>
          <w:numId w:val="0"/>
        </w:numPr>
        <w:spacing w:after="0" w:line="320" w:lineRule="exact"/>
        <w:ind w:left="709"/>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cs="Tahoma"/>
          <w:sz w:val="24"/>
        </w:rPr>
        <w:t xml:space="preserve">em 26 de abril de 2019, a </w:t>
      </w:r>
      <w:r w:rsidR="002311D6" w:rsidRPr="007A085A">
        <w:rPr>
          <w:rFonts w:ascii="Garamond" w:hAnsi="Garamond" w:cs="Tahoma"/>
          <w:sz w:val="24"/>
        </w:rPr>
        <w:t>Aliança</w:t>
      </w:r>
      <w:r w:rsidRPr="007A085A">
        <w:rPr>
          <w:rFonts w:ascii="Garamond" w:hAnsi="Garamond" w:cs="Tahoma"/>
          <w:sz w:val="24"/>
        </w:rPr>
        <w:t xml:space="preserve"> e</w:t>
      </w:r>
      <w:r w:rsidR="002311D6" w:rsidRPr="007A085A">
        <w:rPr>
          <w:rFonts w:ascii="Garamond" w:hAnsi="Garamond" w:cs="Tahoma"/>
          <w:sz w:val="24"/>
        </w:rPr>
        <w:t xml:space="preserve"> o</w:t>
      </w:r>
      <w:r w:rsidR="009B6A39">
        <w:rPr>
          <w:rFonts w:ascii="Garamond" w:hAnsi="Garamond" w:cs="Tahoma"/>
          <w:sz w:val="24"/>
        </w:rPr>
        <w:t>s Provedores de Hedge</w:t>
      </w:r>
      <w:r w:rsidRPr="007A085A">
        <w:rPr>
          <w:rFonts w:ascii="Garamond" w:hAnsi="Garamond" w:cs="Tahoma"/>
          <w:sz w:val="24"/>
        </w:rPr>
        <w:t xml:space="preserve"> celebraram (i) 5 (cinco) Contratos Globais de Derivativos, (</w:t>
      </w:r>
      <w:proofErr w:type="spellStart"/>
      <w:r w:rsidRPr="007A085A">
        <w:rPr>
          <w:rFonts w:ascii="Garamond" w:hAnsi="Garamond" w:cs="Tahoma"/>
          <w:sz w:val="24"/>
        </w:rPr>
        <w:t>ii</w:t>
      </w:r>
      <w:proofErr w:type="spellEnd"/>
      <w:r w:rsidRPr="007A085A">
        <w:rPr>
          <w:rFonts w:ascii="Garamond" w:hAnsi="Garamond" w:cs="Tahoma"/>
          <w:sz w:val="24"/>
        </w:rPr>
        <w:t>) os Apêndices aos referidos Contratos Globais de</w:t>
      </w:r>
      <w:r w:rsidRPr="007A085A">
        <w:rPr>
          <w:rFonts w:ascii="Garamond" w:hAnsi="Garamond"/>
          <w:sz w:val="24"/>
        </w:rPr>
        <w:t xml:space="preserve"> </w:t>
      </w:r>
      <w:r w:rsidRPr="007A085A">
        <w:rPr>
          <w:rFonts w:ascii="Garamond" w:hAnsi="Garamond"/>
          <w:sz w:val="24"/>
        </w:rPr>
        <w:lastRenderedPageBreak/>
        <w:t>Derivativos e (</w:t>
      </w:r>
      <w:proofErr w:type="spellStart"/>
      <w:r w:rsidRPr="007A085A">
        <w:rPr>
          <w:rFonts w:ascii="Garamond" w:hAnsi="Garamond"/>
          <w:sz w:val="24"/>
        </w:rPr>
        <w:t>iii</w:t>
      </w:r>
      <w:proofErr w:type="spellEnd"/>
      <w:r w:rsidRPr="007A085A">
        <w:rPr>
          <w:rFonts w:ascii="Garamond" w:hAnsi="Garamond"/>
          <w:sz w:val="24"/>
        </w:rPr>
        <w:t xml:space="preserve">) as respectivas </w:t>
      </w:r>
      <w:r w:rsidRPr="007A085A">
        <w:rPr>
          <w:rFonts w:ascii="Garamond" w:hAnsi="Garamond" w:cs="Tahoma"/>
          <w:sz w:val="24"/>
        </w:rPr>
        <w:t>Confirmações</w:t>
      </w:r>
      <w:r w:rsidRPr="007A085A">
        <w:rPr>
          <w:rFonts w:ascii="Garamond" w:hAnsi="Garamond"/>
          <w:sz w:val="24"/>
        </w:rPr>
        <w:t xml:space="preserve"> de Operação de Swap</w:t>
      </w:r>
      <w:r w:rsidRPr="007A085A">
        <w:rPr>
          <w:rFonts w:ascii="Garamond" w:hAnsi="Garamond" w:cs="Tahoma"/>
          <w:sz w:val="24"/>
        </w:rPr>
        <w:t xml:space="preserve"> (“</w:t>
      </w:r>
      <w:r w:rsidRPr="007A085A">
        <w:rPr>
          <w:rFonts w:ascii="Garamond" w:hAnsi="Garamond" w:cs="Tahoma"/>
          <w:bCs/>
          <w:sz w:val="24"/>
          <w:u w:val="single"/>
        </w:rPr>
        <w:t>Contratos de Hedge Contingente</w:t>
      </w:r>
      <w:r w:rsidRPr="007A085A">
        <w:rPr>
          <w:rFonts w:ascii="Garamond" w:hAnsi="Garamond" w:cs="Tahoma"/>
          <w:sz w:val="24"/>
        </w:rPr>
        <w:t xml:space="preserve">”, em conjunto com a Escritura de Emissão e o USD </w:t>
      </w:r>
      <w:proofErr w:type="spellStart"/>
      <w:r w:rsidRPr="007A085A">
        <w:rPr>
          <w:rFonts w:ascii="Garamond" w:hAnsi="Garamond" w:cs="Tahoma"/>
          <w:sz w:val="24"/>
        </w:rPr>
        <w:t>Facility</w:t>
      </w:r>
      <w:proofErr w:type="spellEnd"/>
      <w:r w:rsidRPr="007A085A">
        <w:rPr>
          <w:rFonts w:ascii="Garamond" w:hAnsi="Garamond" w:cs="Tahoma"/>
          <w:sz w:val="24"/>
        </w:rPr>
        <w:t>, os “</w:t>
      </w:r>
      <w:r w:rsidRPr="007A085A">
        <w:rPr>
          <w:rFonts w:ascii="Garamond" w:hAnsi="Garamond" w:cs="Tahoma"/>
          <w:bCs/>
          <w:sz w:val="24"/>
          <w:u w:val="single"/>
        </w:rPr>
        <w:t>Instrumentos de Crédito</w:t>
      </w:r>
      <w:r w:rsidRPr="007A085A">
        <w:rPr>
          <w:rFonts w:ascii="Garamond" w:hAnsi="Garamond" w:cs="Tahoma"/>
          <w:sz w:val="24"/>
        </w:rPr>
        <w:t xml:space="preserve">”) os quais regem os termos e condições das operações de swap contratadas pela </w:t>
      </w:r>
      <w:r w:rsidR="002311D6" w:rsidRPr="007A085A">
        <w:rPr>
          <w:rFonts w:ascii="Garamond" w:hAnsi="Garamond" w:cs="Tahoma"/>
          <w:sz w:val="24"/>
        </w:rPr>
        <w:t>Aliança</w:t>
      </w:r>
      <w:r w:rsidRPr="007A085A">
        <w:rPr>
          <w:rFonts w:ascii="Garamond" w:hAnsi="Garamond" w:cs="Tahoma"/>
          <w:sz w:val="24"/>
        </w:rPr>
        <w:t xml:space="preserve"> junto aos Provedores de Hedge (“</w:t>
      </w:r>
      <w:r w:rsidRPr="007A085A">
        <w:rPr>
          <w:rFonts w:ascii="Garamond" w:hAnsi="Garamond" w:cs="Tahoma"/>
          <w:bCs/>
          <w:sz w:val="24"/>
          <w:u w:val="single"/>
        </w:rPr>
        <w:t>Hedge</w:t>
      </w:r>
      <w:r w:rsidRPr="007A085A">
        <w:rPr>
          <w:rFonts w:ascii="Garamond" w:hAnsi="Garamond" w:cs="Tahoma"/>
          <w:sz w:val="24"/>
        </w:rPr>
        <w:t xml:space="preserve">” e, em conjunto com a Emissão e o USD </w:t>
      </w:r>
      <w:proofErr w:type="spellStart"/>
      <w:r w:rsidRPr="007A085A">
        <w:rPr>
          <w:rFonts w:ascii="Garamond" w:hAnsi="Garamond" w:cs="Tahoma"/>
          <w:sz w:val="24"/>
        </w:rPr>
        <w:t>Loan</w:t>
      </w:r>
      <w:proofErr w:type="spellEnd"/>
      <w:r w:rsidRPr="007A085A">
        <w:rPr>
          <w:rFonts w:ascii="Garamond" w:hAnsi="Garamond" w:cs="Tahoma"/>
          <w:sz w:val="24"/>
        </w:rPr>
        <w:t>, “</w:t>
      </w:r>
      <w:r w:rsidRPr="007A085A">
        <w:rPr>
          <w:rFonts w:ascii="Garamond" w:hAnsi="Garamond" w:cs="Tahoma"/>
          <w:bCs/>
          <w:sz w:val="24"/>
          <w:u w:val="single"/>
        </w:rPr>
        <w:t>Financiamento</w:t>
      </w:r>
      <w:r w:rsidRPr="007A085A">
        <w:rPr>
          <w:rFonts w:ascii="Garamond" w:hAnsi="Garamond" w:cs="Tahoma"/>
          <w:sz w:val="24"/>
        </w:rPr>
        <w:t>”);</w:t>
      </w:r>
    </w:p>
    <w:p w:rsidR="007A085A" w:rsidRPr="007A085A" w:rsidRDefault="007A085A" w:rsidP="007A085A">
      <w:pPr>
        <w:pStyle w:val="Recitals"/>
        <w:numPr>
          <w:ilvl w:val="0"/>
          <w:numId w:val="0"/>
        </w:numPr>
        <w:spacing w:after="0" w:line="320" w:lineRule="exact"/>
        <w:ind w:left="709"/>
        <w:rPr>
          <w:rFonts w:ascii="Garamond" w:hAnsi="Garamond"/>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para garantir o cumprimento imediato e integral de todas as obrigações, principais e acessórias atualmente devidas ou que possam ser devidas no futuro pela Aliança nos termos dos Instrumentos de Crédito, a </w:t>
      </w:r>
      <w:r w:rsidR="00CE1CA2" w:rsidRPr="00CE1CA2">
        <w:rPr>
          <w:rFonts w:ascii="Garamond" w:hAnsi="Garamond" w:cs="Tahoma"/>
          <w:sz w:val="24"/>
        </w:rPr>
        <w:t>Ali</w:t>
      </w:r>
      <w:r w:rsidR="00CE1CA2">
        <w:rPr>
          <w:rFonts w:ascii="Garamond" w:hAnsi="Garamond" w:cs="Tahoma"/>
          <w:sz w:val="24"/>
        </w:rPr>
        <w:t>a</w:t>
      </w:r>
      <w:r w:rsidR="00CE1CA2" w:rsidRPr="00CE1CA2">
        <w:rPr>
          <w:rFonts w:ascii="Garamond" w:hAnsi="Garamond" w:cs="Tahoma"/>
          <w:sz w:val="24"/>
        </w:rPr>
        <w:t>nça</w:t>
      </w:r>
      <w:r w:rsidRPr="007A085A">
        <w:rPr>
          <w:rFonts w:ascii="Garamond" w:hAnsi="Garamond" w:cs="Tahoma"/>
          <w:sz w:val="24"/>
        </w:rPr>
        <w:t xml:space="preserve"> celebr</w:t>
      </w:r>
      <w:r w:rsidR="00CE1CA2">
        <w:rPr>
          <w:rFonts w:ascii="Garamond" w:hAnsi="Garamond" w:cs="Tahoma"/>
          <w:sz w:val="24"/>
        </w:rPr>
        <w:t>ou</w:t>
      </w:r>
      <w:r w:rsidRPr="007A085A">
        <w:rPr>
          <w:rFonts w:ascii="Garamond" w:hAnsi="Garamond" w:cs="Tahoma"/>
          <w:sz w:val="24"/>
        </w:rPr>
        <w:t xml:space="preserve"> com </w:t>
      </w:r>
      <w:r w:rsidR="009B6A39">
        <w:rPr>
          <w:rFonts w:ascii="Garamond" w:hAnsi="Garamond" w:cs="Tahoma"/>
          <w:sz w:val="24"/>
        </w:rPr>
        <w:t>as Partes Garantidas</w:t>
      </w:r>
      <w:r w:rsidRPr="007A085A">
        <w:rPr>
          <w:rFonts w:ascii="Garamond" w:hAnsi="Garamond" w:cs="Tahoma"/>
          <w:sz w:val="24"/>
        </w:rPr>
        <w:t>, em 23 de maio de 2019, o “</w:t>
      </w:r>
      <w:r w:rsidRPr="007A085A">
        <w:rPr>
          <w:rFonts w:ascii="Garamond" w:hAnsi="Garamond" w:cs="Tahoma"/>
          <w:i/>
          <w:iCs/>
          <w:sz w:val="24"/>
        </w:rPr>
        <w:t xml:space="preserve">Contrato de </w:t>
      </w:r>
      <w:r w:rsidR="00CE1CA2">
        <w:rPr>
          <w:rFonts w:ascii="Garamond" w:hAnsi="Garamond" w:cs="Tahoma"/>
          <w:i/>
          <w:iCs/>
          <w:sz w:val="24"/>
        </w:rPr>
        <w:t>Cessão</w:t>
      </w:r>
      <w:r w:rsidRPr="007A085A">
        <w:rPr>
          <w:rFonts w:ascii="Garamond" w:hAnsi="Garamond" w:cs="Tahoma"/>
          <w:i/>
          <w:iCs/>
          <w:sz w:val="24"/>
        </w:rPr>
        <w:t xml:space="preserve"> Fiduciária de </w:t>
      </w:r>
      <w:r w:rsidR="00CE1CA2">
        <w:rPr>
          <w:rFonts w:ascii="Garamond" w:hAnsi="Garamond" w:cs="Tahoma"/>
          <w:i/>
          <w:iCs/>
          <w:sz w:val="24"/>
        </w:rPr>
        <w:t>Direitos Creditórios</w:t>
      </w:r>
      <w:r w:rsidRPr="007A085A">
        <w:rPr>
          <w:rFonts w:ascii="Garamond" w:hAnsi="Garamond" w:cs="Tahoma"/>
          <w:i/>
          <w:iCs/>
          <w:sz w:val="24"/>
        </w:rPr>
        <w:t xml:space="preserve"> e Outras Avenças</w:t>
      </w:r>
      <w:r w:rsidRPr="007A085A">
        <w:rPr>
          <w:rFonts w:ascii="Garamond" w:hAnsi="Garamond" w:cs="Tahoma"/>
          <w:sz w:val="24"/>
        </w:rPr>
        <w:t>”</w:t>
      </w:r>
      <w:r w:rsidR="00CE1CA2">
        <w:rPr>
          <w:rFonts w:ascii="Garamond" w:hAnsi="Garamond" w:cs="Tahoma"/>
          <w:sz w:val="24"/>
        </w:rPr>
        <w:t xml:space="preserve"> </w:t>
      </w:r>
      <w:r w:rsidR="00CE1CA2" w:rsidRPr="00CE1CA2">
        <w:rPr>
          <w:rFonts w:ascii="Garamond" w:hAnsi="Garamond" w:cs="Tahoma"/>
          <w:sz w:val="24"/>
        </w:rPr>
        <w:t>(“</w:t>
      </w:r>
      <w:r w:rsidR="00CE1CA2" w:rsidRPr="00CE1CA2">
        <w:rPr>
          <w:rFonts w:ascii="Garamond" w:hAnsi="Garamond" w:cs="Tahoma"/>
          <w:sz w:val="24"/>
          <w:u w:val="single"/>
        </w:rPr>
        <w:t>Contrato</w:t>
      </w:r>
      <w:r w:rsidR="00CE1CA2" w:rsidRPr="00CE1CA2">
        <w:rPr>
          <w:rFonts w:ascii="Garamond" w:hAnsi="Garamond" w:cs="Tahoma"/>
          <w:sz w:val="24"/>
        </w:rPr>
        <w:t>”)</w:t>
      </w:r>
      <w:r w:rsidRPr="007A085A">
        <w:rPr>
          <w:rFonts w:ascii="Garamond" w:hAnsi="Garamond" w:cs="Tahoma"/>
          <w:sz w:val="24"/>
        </w:rPr>
        <w:t xml:space="preserve">, por meio do qual, </w:t>
      </w:r>
      <w:r w:rsidR="00CE1CA2" w:rsidRPr="00CE1CA2">
        <w:rPr>
          <w:rFonts w:ascii="Garamond" w:hAnsi="Garamond" w:cs="Tahoma"/>
          <w:sz w:val="24"/>
        </w:rPr>
        <w:t xml:space="preserve">a totalidade dos direitos creditórios, principais e acessórios, presentes e futuros, detidos pela </w:t>
      </w:r>
      <w:r w:rsidR="00CE1CA2">
        <w:rPr>
          <w:rFonts w:ascii="Garamond" w:hAnsi="Garamond" w:cs="Tahoma"/>
          <w:sz w:val="24"/>
        </w:rPr>
        <w:t>Aliança</w:t>
      </w:r>
      <w:r w:rsidR="00CE1CA2" w:rsidRPr="00CE1CA2">
        <w:rPr>
          <w:rFonts w:ascii="Garamond" w:hAnsi="Garamond" w:cs="Tahoma"/>
          <w:sz w:val="24"/>
        </w:rPr>
        <w:t xml:space="preserve"> contra a TAG decorrentes do </w:t>
      </w:r>
      <w:r w:rsidR="00CE1CA2">
        <w:rPr>
          <w:rFonts w:ascii="Garamond" w:hAnsi="Garamond" w:cs="Tahoma"/>
          <w:sz w:val="24"/>
        </w:rPr>
        <w:t>“</w:t>
      </w:r>
      <w:r w:rsidR="00CE1CA2" w:rsidRPr="00CE1CA2">
        <w:rPr>
          <w:rFonts w:ascii="Garamond" w:hAnsi="Garamond" w:cs="Tahoma"/>
          <w:i/>
          <w:iCs/>
          <w:sz w:val="24"/>
        </w:rPr>
        <w:t>Instrumento Particular de Mútuo Subordinado e Outras Avenças</w:t>
      </w:r>
      <w:r w:rsidR="00CE1CA2">
        <w:rPr>
          <w:rFonts w:ascii="Garamond" w:hAnsi="Garamond" w:cs="Tahoma"/>
          <w:sz w:val="24"/>
        </w:rPr>
        <w:t>”</w:t>
      </w:r>
      <w:r w:rsidR="00CE1CA2" w:rsidRPr="00CE1CA2">
        <w:rPr>
          <w:rFonts w:ascii="Garamond" w:hAnsi="Garamond" w:cs="Tahoma"/>
          <w:sz w:val="24"/>
        </w:rPr>
        <w:t xml:space="preserve">, celebrado </w:t>
      </w:r>
      <w:r w:rsidR="00CE1CA2">
        <w:rPr>
          <w:rFonts w:ascii="Garamond" w:hAnsi="Garamond" w:cs="Tahoma"/>
          <w:sz w:val="24"/>
        </w:rPr>
        <w:t xml:space="preserve">em 13 de junho de 2019, </w:t>
      </w:r>
      <w:r w:rsidR="00CE1CA2" w:rsidRPr="00CE1CA2">
        <w:rPr>
          <w:rFonts w:ascii="Garamond" w:hAnsi="Garamond" w:cs="Tahoma"/>
          <w:sz w:val="24"/>
        </w:rPr>
        <w:t xml:space="preserve">entre a Aliança, na qualidade de mutuante, e </w:t>
      </w:r>
      <w:r w:rsidR="00CE1CA2">
        <w:rPr>
          <w:rFonts w:ascii="Garamond" w:hAnsi="Garamond" w:cs="Tahoma"/>
          <w:sz w:val="24"/>
        </w:rPr>
        <w:t>a TAG</w:t>
      </w:r>
      <w:r w:rsidR="00CE1CA2" w:rsidRPr="00CE1CA2">
        <w:rPr>
          <w:rFonts w:ascii="Garamond" w:hAnsi="Garamond" w:cs="Tahoma"/>
          <w:sz w:val="24"/>
        </w:rPr>
        <w:t>, na qualidade de mutuária, conforme aditado de tempos em tempos</w:t>
      </w:r>
      <w:r w:rsidR="00CE1CA2">
        <w:rPr>
          <w:rFonts w:ascii="Garamond" w:hAnsi="Garamond" w:cs="Tahoma"/>
          <w:sz w:val="24"/>
        </w:rPr>
        <w:t>,</w:t>
      </w:r>
      <w:r w:rsidRPr="007A085A">
        <w:rPr>
          <w:rFonts w:ascii="Garamond" w:hAnsi="Garamond" w:cs="Tahoma"/>
          <w:sz w:val="24"/>
        </w:rPr>
        <w:t xml:space="preserve"> foi </w:t>
      </w:r>
      <w:r w:rsidR="00CE1CA2">
        <w:rPr>
          <w:rFonts w:ascii="Garamond" w:hAnsi="Garamond" w:cs="Tahoma"/>
          <w:sz w:val="24"/>
        </w:rPr>
        <w:t>cedida</w:t>
      </w:r>
      <w:r w:rsidRPr="007A085A">
        <w:rPr>
          <w:rFonts w:ascii="Garamond" w:hAnsi="Garamond" w:cs="Tahoma"/>
          <w:sz w:val="24"/>
        </w:rPr>
        <w:t xml:space="preserve"> fiduciariamente em favor das Partes Garantidas;</w:t>
      </w:r>
    </w:p>
    <w:p w:rsidR="007A085A" w:rsidRPr="007A085A" w:rsidRDefault="007A085A" w:rsidP="007A085A">
      <w:pPr>
        <w:pStyle w:val="Recitals"/>
        <w:numPr>
          <w:ilvl w:val="0"/>
          <w:numId w:val="0"/>
        </w:numPr>
        <w:spacing w:after="0" w:line="320" w:lineRule="exact"/>
        <w:ind w:left="709"/>
        <w:rPr>
          <w:rFonts w:ascii="Garamond" w:hAnsi="Garamond" w:cs="Tahoma"/>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sz w:val="24"/>
        </w:rPr>
        <w:t xml:space="preserve">em 30 de agosto de 2019, foi realizada assembleia geral de debenturistas, por meio da qual foi aprovada, por unanimidade, a incorporação da Aliança pela </w:t>
      </w:r>
      <w:r>
        <w:rPr>
          <w:rFonts w:ascii="Garamond" w:hAnsi="Garamond"/>
          <w:sz w:val="24"/>
        </w:rPr>
        <w:t>TAG (“</w:t>
      </w:r>
      <w:r w:rsidRPr="007A085A">
        <w:rPr>
          <w:rFonts w:ascii="Garamond" w:hAnsi="Garamond"/>
          <w:sz w:val="24"/>
          <w:u w:val="single"/>
        </w:rPr>
        <w:t>Incorporação Reversa</w:t>
      </w:r>
      <w:r>
        <w:rPr>
          <w:rFonts w:ascii="Garamond" w:hAnsi="Garamond"/>
          <w:sz w:val="24"/>
        </w:rPr>
        <w:t>”)</w:t>
      </w:r>
      <w:r w:rsidRPr="007A085A">
        <w:rPr>
          <w:rFonts w:ascii="Garamond" w:hAnsi="Garamond"/>
          <w:sz w:val="24"/>
        </w:rPr>
        <w:t>, bem como a autorização para o Agente Fiduciário tomar todas as medidas necessárias à sua implementação na qualidade de representante dos Debenturistas no que couber;</w:t>
      </w:r>
    </w:p>
    <w:p w:rsidR="007A085A" w:rsidRPr="007A085A" w:rsidRDefault="007A085A" w:rsidP="007A085A">
      <w:pPr>
        <w:pStyle w:val="PargrafodaLista"/>
        <w:spacing w:after="0" w:line="320" w:lineRule="exact"/>
        <w:rPr>
          <w:rFonts w:ascii="Garamond" w:hAnsi="Garamond" w:cs="Tahoma"/>
          <w:sz w:val="24"/>
          <w:szCs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 de setembro de 2019, foram realizadas assembleias gerais extraordinárias da Aliança e da </w:t>
      </w:r>
      <w:r>
        <w:rPr>
          <w:rFonts w:ascii="Garamond" w:hAnsi="Garamond" w:cs="Tahoma"/>
          <w:sz w:val="24"/>
        </w:rPr>
        <w:t>TAG</w:t>
      </w:r>
      <w:r w:rsidRPr="007A085A">
        <w:rPr>
          <w:rFonts w:ascii="Garamond" w:hAnsi="Garamond" w:cs="Tahoma"/>
          <w:sz w:val="24"/>
        </w:rPr>
        <w:t xml:space="preserve"> que deliberaram sobre </w:t>
      </w:r>
      <w:r>
        <w:rPr>
          <w:rFonts w:ascii="Garamond" w:hAnsi="Garamond" w:cs="Tahoma"/>
          <w:sz w:val="24"/>
        </w:rPr>
        <w:t>a Incorporação Reversa</w:t>
      </w:r>
      <w:r w:rsidRPr="007A085A">
        <w:rPr>
          <w:rFonts w:ascii="Garamond" w:hAnsi="Garamond" w:cs="Tahoma"/>
          <w:sz w:val="24"/>
        </w:rPr>
        <w:t>, por meio das quais, de acordo com os seus termos e condições, a Aliança foi extinta de pleno direito e seus bens, direitos, ativos, passivos e responsabilidades, incluindo aqueles decorrentes dos Instrumentos de Crédito e do Financiamento, foram vertidos para TAG, que se tornou sucessora da Aliança para todos os fins</w:t>
      </w:r>
      <w:r w:rsidR="00E05EAC">
        <w:rPr>
          <w:rFonts w:ascii="Garamond" w:hAnsi="Garamond" w:cs="Tahoma"/>
          <w:sz w:val="24"/>
        </w:rPr>
        <w:t>;</w:t>
      </w:r>
    </w:p>
    <w:p w:rsidR="009E6A01" w:rsidRPr="007A085A" w:rsidRDefault="009E6A01" w:rsidP="007A085A">
      <w:pPr>
        <w:spacing w:after="0" w:line="320" w:lineRule="exact"/>
        <w:jc w:val="both"/>
        <w:rPr>
          <w:rFonts w:ascii="Garamond" w:hAnsi="Garamond"/>
          <w:sz w:val="24"/>
          <w:szCs w:val="24"/>
        </w:rPr>
      </w:pPr>
    </w:p>
    <w:p w:rsidR="006F039D" w:rsidRPr="00E05EAC" w:rsidRDefault="00E05EAC" w:rsidP="007A085A">
      <w:pPr>
        <w:spacing w:after="0" w:line="320" w:lineRule="exact"/>
        <w:jc w:val="both"/>
        <w:rPr>
          <w:rFonts w:ascii="Garamond" w:eastAsia="Times New Roman" w:hAnsi="Garamond"/>
          <w:b/>
          <w:bCs/>
          <w:sz w:val="24"/>
          <w:szCs w:val="24"/>
        </w:rPr>
      </w:pPr>
      <w:r w:rsidRPr="00E05EAC">
        <w:rPr>
          <w:rFonts w:ascii="Garamond" w:eastAsia="Times New Roman" w:hAnsi="Garamond"/>
          <w:b/>
          <w:bCs/>
          <w:sz w:val="24"/>
          <w:szCs w:val="24"/>
        </w:rPr>
        <w:t xml:space="preserve">Resolvem </w:t>
      </w:r>
      <w:r w:rsidR="009B6A39">
        <w:rPr>
          <w:rFonts w:ascii="Garamond" w:eastAsia="Times New Roman" w:hAnsi="Garamond"/>
          <w:b/>
          <w:bCs/>
          <w:sz w:val="24"/>
          <w:szCs w:val="24"/>
        </w:rPr>
        <w:t>as Partes Garantidas</w:t>
      </w:r>
      <w:r w:rsidR="0023324E">
        <w:rPr>
          <w:rFonts w:ascii="Garamond" w:eastAsia="Times New Roman" w:hAnsi="Garamond"/>
          <w:b/>
          <w:bCs/>
          <w:sz w:val="24"/>
          <w:szCs w:val="24"/>
        </w:rPr>
        <w:t xml:space="preserve">, </w:t>
      </w:r>
      <w:r w:rsidRPr="00E05EAC">
        <w:rPr>
          <w:rFonts w:ascii="Garamond" w:eastAsia="Times New Roman" w:hAnsi="Garamond"/>
          <w:b/>
          <w:bCs/>
          <w:sz w:val="24"/>
          <w:szCs w:val="24"/>
        </w:rPr>
        <w:t>neste ato</w:t>
      </w:r>
      <w:r w:rsidR="006F039D" w:rsidRPr="00E05EAC">
        <w:rPr>
          <w:rFonts w:ascii="Garamond" w:eastAsia="Times New Roman" w:hAnsi="Garamond"/>
          <w:b/>
          <w:bCs/>
          <w:sz w:val="24"/>
          <w:szCs w:val="24"/>
        </w:rPr>
        <w:t xml:space="preserve">, de forma irrevogável e irretratável, liberar, de pleno direito, a totalidade dos ônus constituídos por meio do </w:t>
      </w:r>
      <w:r w:rsidR="007A085A" w:rsidRPr="00E05EAC">
        <w:rPr>
          <w:rFonts w:ascii="Garamond" w:eastAsia="Times New Roman" w:hAnsi="Garamond"/>
          <w:b/>
          <w:bCs/>
          <w:sz w:val="24"/>
          <w:szCs w:val="24"/>
        </w:rPr>
        <w:t>Contrato</w:t>
      </w:r>
      <w:r w:rsidR="00A21A9A">
        <w:rPr>
          <w:rFonts w:ascii="Garamond" w:eastAsia="Times New Roman" w:hAnsi="Garamond"/>
          <w:b/>
          <w:bCs/>
          <w:sz w:val="24"/>
          <w:szCs w:val="24"/>
        </w:rPr>
        <w:t>, em especial a liberação dos ônus e o encerramento da conta corrente de livre movimentação nº 8531-6, mantida junto ao Banco Bradesco S.A., a agência 2373-6 (“Conta de Desembolso”)</w:t>
      </w:r>
      <w:r w:rsidR="006F039D" w:rsidRPr="00E05EAC">
        <w:rPr>
          <w:rFonts w:ascii="Garamond" w:eastAsia="Times New Roman" w:hAnsi="Garamond"/>
          <w:b/>
          <w:bCs/>
          <w:sz w:val="24"/>
          <w:szCs w:val="24"/>
        </w:rPr>
        <w:t>.</w:t>
      </w:r>
    </w:p>
    <w:p w:rsidR="006F039D" w:rsidRPr="007A085A" w:rsidRDefault="006F039D" w:rsidP="007A085A">
      <w:pPr>
        <w:spacing w:after="0" w:line="320" w:lineRule="exact"/>
        <w:jc w:val="both"/>
        <w:rPr>
          <w:rFonts w:ascii="Garamond" w:eastAsia="Times New Roman" w:hAnsi="Garamond"/>
          <w:sz w:val="24"/>
          <w:szCs w:val="24"/>
        </w:rPr>
      </w:pPr>
    </w:p>
    <w:p w:rsidR="006F039D" w:rsidRDefault="009B6A39" w:rsidP="007A085A">
      <w:pPr>
        <w:spacing w:after="0" w:line="320" w:lineRule="exact"/>
        <w:jc w:val="both"/>
        <w:rPr>
          <w:rFonts w:ascii="Garamond" w:eastAsia="Times New Roman" w:hAnsi="Garamond"/>
          <w:sz w:val="24"/>
          <w:szCs w:val="24"/>
        </w:rPr>
      </w:pPr>
      <w:r>
        <w:rPr>
          <w:rFonts w:ascii="Garamond" w:eastAsia="Times New Roman" w:hAnsi="Garamond"/>
          <w:sz w:val="24"/>
          <w:szCs w:val="24"/>
        </w:rPr>
        <w:t>As Partes Garantidas</w:t>
      </w:r>
      <w:r w:rsidR="006F039D" w:rsidRPr="007A085A">
        <w:rPr>
          <w:rFonts w:ascii="Garamond" w:eastAsia="Times New Roman" w:hAnsi="Garamond"/>
          <w:sz w:val="24"/>
          <w:szCs w:val="24"/>
        </w:rPr>
        <w:t xml:space="preserve"> autoriza</w:t>
      </w:r>
      <w:r w:rsidR="009E6A01" w:rsidRPr="007A085A">
        <w:rPr>
          <w:rFonts w:ascii="Garamond" w:eastAsia="Times New Roman" w:hAnsi="Garamond"/>
          <w:sz w:val="24"/>
          <w:szCs w:val="24"/>
        </w:rPr>
        <w:t>m</w:t>
      </w:r>
      <w:r w:rsidR="006F039D" w:rsidRPr="007A085A">
        <w:rPr>
          <w:rFonts w:ascii="Garamond" w:eastAsia="Times New Roman" w:hAnsi="Garamond"/>
          <w:sz w:val="24"/>
          <w:szCs w:val="24"/>
        </w:rPr>
        <w:t xml:space="preserve"> a </w:t>
      </w:r>
      <w:r w:rsidR="009E6A01" w:rsidRPr="007A085A">
        <w:rPr>
          <w:rFonts w:ascii="Garamond" w:eastAsia="Times New Roman" w:hAnsi="Garamond"/>
          <w:sz w:val="24"/>
          <w:szCs w:val="24"/>
        </w:rPr>
        <w:t>TAG</w:t>
      </w:r>
      <w:r w:rsidR="003A2F5C" w:rsidRPr="007A085A">
        <w:rPr>
          <w:rFonts w:ascii="Garamond" w:eastAsia="Times New Roman" w:hAnsi="Garamond"/>
          <w:sz w:val="24"/>
          <w:szCs w:val="24"/>
        </w:rPr>
        <w:t xml:space="preserve"> </w:t>
      </w:r>
      <w:r w:rsidR="006F039D" w:rsidRPr="007A085A">
        <w:rPr>
          <w:rFonts w:ascii="Garamond" w:eastAsia="Times New Roman" w:hAnsi="Garamond"/>
          <w:sz w:val="24"/>
          <w:szCs w:val="24"/>
        </w:rPr>
        <w:t xml:space="preserve">a averbar a liberação, extinção e cancelamento dos ônus constituídos por meio do Contrato perante os registros competentes, ficando, para todos os fins de direito, a </w:t>
      </w:r>
      <w:r w:rsidR="009E6A01" w:rsidRPr="007A085A">
        <w:rPr>
          <w:rFonts w:ascii="Garamond" w:eastAsia="Times New Roman" w:hAnsi="Garamond"/>
          <w:sz w:val="24"/>
          <w:szCs w:val="24"/>
        </w:rPr>
        <w:t>TAG</w:t>
      </w:r>
      <w:r w:rsidR="00FB5267" w:rsidRPr="007A085A">
        <w:rPr>
          <w:rFonts w:ascii="Garamond" w:eastAsia="Times New Roman" w:hAnsi="Garamond"/>
          <w:sz w:val="24"/>
          <w:szCs w:val="24"/>
        </w:rPr>
        <w:t xml:space="preserve"> e</w:t>
      </w:r>
      <w:r w:rsidR="006F039D" w:rsidRPr="007A085A">
        <w:rPr>
          <w:rFonts w:ascii="Garamond" w:eastAsia="Times New Roman" w:hAnsi="Garamond"/>
          <w:sz w:val="24"/>
          <w:szCs w:val="24"/>
        </w:rPr>
        <w:t xml:space="preserve"> os oficiais dos cartórios competentes, desde já, autorizados a tomar todas as medidas e providências necessárias para a liberação, extinção e cancelamento dos ônus aqui referidos.</w:t>
      </w:r>
    </w:p>
    <w:p w:rsidR="00A21A9A" w:rsidRDefault="00A21A9A" w:rsidP="007A085A">
      <w:pPr>
        <w:spacing w:after="0" w:line="320" w:lineRule="exact"/>
        <w:jc w:val="both"/>
        <w:rPr>
          <w:rFonts w:ascii="Garamond" w:eastAsia="Times New Roman" w:hAnsi="Garamond"/>
          <w:sz w:val="24"/>
          <w:szCs w:val="24"/>
        </w:rPr>
      </w:pPr>
    </w:p>
    <w:p w:rsidR="00A21A9A" w:rsidRPr="007A085A" w:rsidRDefault="00A21A9A" w:rsidP="007A085A">
      <w:pPr>
        <w:spacing w:after="0" w:line="320" w:lineRule="exact"/>
        <w:jc w:val="both"/>
        <w:rPr>
          <w:rFonts w:ascii="Garamond" w:eastAsia="Times New Roman" w:hAnsi="Garamond"/>
          <w:sz w:val="24"/>
          <w:szCs w:val="24"/>
        </w:rPr>
      </w:pPr>
      <w:r>
        <w:rPr>
          <w:rFonts w:ascii="Garamond" w:eastAsia="Times New Roman" w:hAnsi="Garamond"/>
          <w:sz w:val="24"/>
          <w:szCs w:val="24"/>
        </w:rPr>
        <w:t xml:space="preserve">Adicionalmente, em decorrência dos atos acima </w:t>
      </w:r>
      <w:r w:rsidR="009B6A39">
        <w:rPr>
          <w:rFonts w:ascii="Garamond" w:eastAsia="Times New Roman" w:hAnsi="Garamond"/>
          <w:sz w:val="24"/>
          <w:szCs w:val="24"/>
        </w:rPr>
        <w:t>as Partes Garantidas</w:t>
      </w:r>
      <w:r w:rsidR="002752FC">
        <w:rPr>
          <w:rFonts w:ascii="Garamond" w:eastAsia="Times New Roman" w:hAnsi="Garamond"/>
          <w:sz w:val="24"/>
          <w:szCs w:val="24"/>
        </w:rPr>
        <w:t>: (i)</w:t>
      </w:r>
      <w:r>
        <w:rPr>
          <w:rFonts w:ascii="Garamond" w:eastAsia="Times New Roman" w:hAnsi="Garamond"/>
          <w:sz w:val="24"/>
          <w:szCs w:val="24"/>
        </w:rPr>
        <w:t xml:space="preserve"> expressamente autorizam a TAG a revogar </w:t>
      </w:r>
      <w:r w:rsidR="0074335C">
        <w:rPr>
          <w:rFonts w:ascii="Garamond" w:eastAsia="Times New Roman" w:hAnsi="Garamond"/>
          <w:sz w:val="24"/>
          <w:szCs w:val="24"/>
        </w:rPr>
        <w:t>quaisquer</w:t>
      </w:r>
      <w:r>
        <w:rPr>
          <w:rFonts w:ascii="Garamond" w:eastAsia="Times New Roman" w:hAnsi="Garamond"/>
          <w:sz w:val="24"/>
          <w:szCs w:val="24"/>
        </w:rPr>
        <w:t xml:space="preserve"> instruções </w:t>
      </w:r>
      <w:r w:rsidR="0074335C">
        <w:rPr>
          <w:rFonts w:ascii="Garamond" w:eastAsia="Times New Roman" w:hAnsi="Garamond"/>
          <w:sz w:val="24"/>
          <w:szCs w:val="24"/>
        </w:rPr>
        <w:t>previamente endereçadas ao Bradesco quanto à movimentação e operação</w:t>
      </w:r>
      <w:r>
        <w:rPr>
          <w:rFonts w:ascii="Garamond" w:eastAsia="Times New Roman" w:hAnsi="Garamond"/>
          <w:sz w:val="24"/>
          <w:szCs w:val="24"/>
        </w:rPr>
        <w:t xml:space="preserve"> da Conta </w:t>
      </w:r>
      <w:r w:rsidR="0074335C">
        <w:rPr>
          <w:rFonts w:ascii="Garamond" w:eastAsia="Times New Roman" w:hAnsi="Garamond"/>
          <w:sz w:val="24"/>
          <w:szCs w:val="24"/>
        </w:rPr>
        <w:t>de Desembolso; (</w:t>
      </w:r>
      <w:proofErr w:type="spellStart"/>
      <w:r w:rsidR="0074335C">
        <w:rPr>
          <w:rFonts w:ascii="Garamond" w:eastAsia="Times New Roman" w:hAnsi="Garamond"/>
          <w:sz w:val="24"/>
          <w:szCs w:val="24"/>
        </w:rPr>
        <w:t>ii</w:t>
      </w:r>
      <w:proofErr w:type="spellEnd"/>
      <w:r w:rsidR="0074335C">
        <w:rPr>
          <w:rFonts w:ascii="Garamond" w:eastAsia="Times New Roman" w:hAnsi="Garamond"/>
          <w:sz w:val="24"/>
          <w:szCs w:val="24"/>
        </w:rPr>
        <w:t xml:space="preserve">) reconhecem a extinção da procuração </w:t>
      </w:r>
      <w:r w:rsidR="0074335C">
        <w:rPr>
          <w:rFonts w:ascii="Garamond" w:eastAsia="Times New Roman" w:hAnsi="Garamond"/>
          <w:sz w:val="24"/>
          <w:szCs w:val="24"/>
        </w:rPr>
        <w:lastRenderedPageBreak/>
        <w:t xml:space="preserve">outorgada pela Aliança </w:t>
      </w:r>
      <w:r w:rsidR="009B6A39">
        <w:rPr>
          <w:rFonts w:ascii="Garamond" w:eastAsia="Times New Roman" w:hAnsi="Garamond"/>
          <w:sz w:val="24"/>
          <w:szCs w:val="24"/>
        </w:rPr>
        <w:t>à</w:t>
      </w:r>
      <w:r w:rsidR="009B6A39">
        <w:rPr>
          <w:rFonts w:ascii="Garamond" w:eastAsia="Times New Roman" w:hAnsi="Garamond"/>
          <w:sz w:val="24"/>
          <w:szCs w:val="24"/>
        </w:rPr>
        <w:t>s Partes Garantidas</w:t>
      </w:r>
      <w:r w:rsidR="0074335C">
        <w:rPr>
          <w:rFonts w:ascii="Garamond" w:eastAsia="Times New Roman" w:hAnsi="Garamond"/>
          <w:sz w:val="24"/>
          <w:szCs w:val="24"/>
        </w:rPr>
        <w:t xml:space="preserve"> em 23 de maio de 2019, com poderes para conservação e ex</w:t>
      </w:r>
      <w:r w:rsidR="00F0563C">
        <w:rPr>
          <w:rFonts w:ascii="Garamond" w:eastAsia="Times New Roman" w:hAnsi="Garamond"/>
          <w:sz w:val="24"/>
          <w:szCs w:val="24"/>
        </w:rPr>
        <w:t>e</w:t>
      </w:r>
      <w:r w:rsidR="0074335C">
        <w:rPr>
          <w:rFonts w:ascii="Garamond" w:eastAsia="Times New Roman" w:hAnsi="Garamond"/>
          <w:sz w:val="24"/>
          <w:szCs w:val="24"/>
        </w:rPr>
        <w:t>cu</w:t>
      </w:r>
      <w:r w:rsidR="00F0563C">
        <w:rPr>
          <w:rFonts w:ascii="Garamond" w:eastAsia="Times New Roman" w:hAnsi="Garamond"/>
          <w:sz w:val="24"/>
          <w:szCs w:val="24"/>
        </w:rPr>
        <w:t>ç</w:t>
      </w:r>
      <w:r w:rsidR="0074335C">
        <w:rPr>
          <w:rFonts w:ascii="Garamond" w:eastAsia="Times New Roman" w:hAnsi="Garamond"/>
          <w:sz w:val="24"/>
          <w:szCs w:val="24"/>
        </w:rPr>
        <w:t>ão da garantia objeto do Contrato</w:t>
      </w:r>
      <w:r w:rsidR="002752FC">
        <w:rPr>
          <w:rFonts w:ascii="Garamond" w:eastAsia="Times New Roman" w:hAnsi="Garamond"/>
          <w:sz w:val="24"/>
          <w:szCs w:val="24"/>
        </w:rPr>
        <w:t>, ficando expressamente revogada e sem efeito</w:t>
      </w:r>
      <w:r w:rsidR="0074335C">
        <w:rPr>
          <w:rFonts w:ascii="Garamond" w:eastAsia="Times New Roman" w:hAnsi="Garamond"/>
          <w:sz w:val="24"/>
          <w:szCs w:val="24"/>
        </w:rPr>
        <w:t>.</w:t>
      </w:r>
    </w:p>
    <w:p w:rsidR="006F039D" w:rsidRDefault="006F039D" w:rsidP="007A085A">
      <w:pPr>
        <w:spacing w:after="0" w:line="320" w:lineRule="exact"/>
        <w:rPr>
          <w:rFonts w:ascii="Garamond" w:eastAsia="Times New Roman" w:hAnsi="Garamond"/>
          <w:sz w:val="24"/>
          <w:szCs w:val="24"/>
        </w:rPr>
      </w:pPr>
    </w:p>
    <w:p w:rsidR="00E05EAC" w:rsidRDefault="00E05EAC" w:rsidP="00E05EAC">
      <w:pPr>
        <w:spacing w:after="0" w:line="320" w:lineRule="exact"/>
        <w:jc w:val="both"/>
        <w:rPr>
          <w:rFonts w:ascii="Garamond" w:eastAsia="Times New Roman" w:hAnsi="Garamond"/>
          <w:sz w:val="24"/>
          <w:szCs w:val="24"/>
        </w:rPr>
      </w:pPr>
      <w:r w:rsidRPr="00E05EAC">
        <w:rPr>
          <w:rFonts w:ascii="Garamond" w:eastAsia="Times New Roman" w:hAnsi="Garamond"/>
          <w:sz w:val="24"/>
          <w:szCs w:val="24"/>
        </w:rPr>
        <w:t xml:space="preserve">Os termos iniciados em letra maiúscula e não definidos neste </w:t>
      </w:r>
      <w:r>
        <w:rPr>
          <w:rFonts w:ascii="Garamond" w:eastAsia="Times New Roman" w:hAnsi="Garamond"/>
          <w:sz w:val="24"/>
          <w:szCs w:val="24"/>
        </w:rPr>
        <w:t>T</w:t>
      </w:r>
      <w:r w:rsidRPr="00E05EAC">
        <w:rPr>
          <w:rFonts w:ascii="Garamond" w:eastAsia="Times New Roman" w:hAnsi="Garamond"/>
          <w:sz w:val="24"/>
          <w:szCs w:val="24"/>
        </w:rPr>
        <w:t>ermo de</w:t>
      </w:r>
      <w:r>
        <w:rPr>
          <w:rFonts w:ascii="Garamond" w:eastAsia="Times New Roman" w:hAnsi="Garamond"/>
          <w:sz w:val="24"/>
          <w:szCs w:val="24"/>
        </w:rPr>
        <w:t xml:space="preserve"> L</w:t>
      </w:r>
      <w:r w:rsidRPr="00E05EAC">
        <w:rPr>
          <w:rFonts w:ascii="Garamond" w:eastAsia="Times New Roman" w:hAnsi="Garamond"/>
          <w:sz w:val="24"/>
          <w:szCs w:val="24"/>
        </w:rPr>
        <w:t xml:space="preserve">iberação, terão o mesmo significado a eles atribuídos na Escritura </w:t>
      </w:r>
      <w:r>
        <w:rPr>
          <w:rFonts w:ascii="Garamond" w:eastAsia="Times New Roman" w:hAnsi="Garamond"/>
          <w:sz w:val="24"/>
          <w:szCs w:val="24"/>
        </w:rPr>
        <w:t xml:space="preserve">de Emissão </w:t>
      </w:r>
      <w:r w:rsidRPr="00E05EAC">
        <w:rPr>
          <w:rFonts w:ascii="Garamond" w:eastAsia="Times New Roman" w:hAnsi="Garamond"/>
          <w:sz w:val="24"/>
          <w:szCs w:val="24"/>
        </w:rPr>
        <w:t>e/ou no Contrato</w:t>
      </w:r>
      <w:r>
        <w:rPr>
          <w:rFonts w:ascii="Garamond" w:eastAsia="Times New Roman" w:hAnsi="Garamond"/>
          <w:sz w:val="24"/>
          <w:szCs w:val="24"/>
        </w:rPr>
        <w:t>.</w:t>
      </w:r>
    </w:p>
    <w:p w:rsidR="00E05EAC" w:rsidRPr="007A085A" w:rsidRDefault="00E05EAC"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rPr>
          <w:rFonts w:ascii="Garamond" w:eastAsia="Times New Roman" w:hAnsi="Garamond"/>
          <w:sz w:val="24"/>
          <w:szCs w:val="24"/>
        </w:rPr>
      </w:pPr>
      <w:r w:rsidRPr="007A085A">
        <w:rPr>
          <w:rFonts w:ascii="Garamond" w:eastAsia="Times New Roman" w:hAnsi="Garamond"/>
          <w:sz w:val="24"/>
          <w:szCs w:val="24"/>
        </w:rPr>
        <w:t xml:space="preserve">Este Termo de Liberação é regido pelas leis da República Federativa do Brasil. </w:t>
      </w:r>
    </w:p>
    <w:p w:rsidR="006F039D" w:rsidRPr="007A085A" w:rsidRDefault="006F039D" w:rsidP="007A085A">
      <w:pPr>
        <w:spacing w:after="0" w:line="320" w:lineRule="exact"/>
        <w:rPr>
          <w:rFonts w:ascii="Garamond" w:eastAsia="Times New Roman" w:hAnsi="Garamond"/>
          <w:sz w:val="24"/>
          <w:szCs w:val="24"/>
        </w:rPr>
      </w:pPr>
    </w:p>
    <w:p w:rsidR="006F039D" w:rsidRPr="00286C14" w:rsidRDefault="006F039D" w:rsidP="007A085A">
      <w:pPr>
        <w:spacing w:after="0" w:line="320" w:lineRule="exact"/>
        <w:jc w:val="both"/>
        <w:rPr>
          <w:rFonts w:ascii="Garamond" w:eastAsia="Times New Roman" w:hAnsi="Garamond"/>
          <w:sz w:val="24"/>
          <w:szCs w:val="24"/>
        </w:rPr>
      </w:pPr>
      <w:r w:rsidRPr="007A085A">
        <w:rPr>
          <w:rFonts w:ascii="Garamond" w:eastAsia="Times New Roman" w:hAnsi="Garamond"/>
          <w:sz w:val="24"/>
          <w:szCs w:val="24"/>
        </w:rPr>
        <w:t xml:space="preserve">Este Termo de Liberação é assinado em </w:t>
      </w:r>
      <w:r w:rsidRPr="00286C14">
        <w:rPr>
          <w:rFonts w:ascii="Garamond" w:eastAsia="Times New Roman" w:hAnsi="Garamond"/>
          <w:sz w:val="24"/>
          <w:szCs w:val="24"/>
        </w:rPr>
        <w:t>[</w:t>
      </w:r>
      <w:r w:rsidR="009B6A39">
        <w:rPr>
          <w:rFonts w:ascii="Garamond" w:eastAsia="Times New Roman" w:hAnsi="Garamond"/>
          <w:sz w:val="24"/>
          <w:szCs w:val="24"/>
          <w:highlight w:val="yellow"/>
        </w:rPr>
        <w:t>14</w:t>
      </w:r>
      <w:r w:rsidRPr="00286C14">
        <w:rPr>
          <w:rFonts w:ascii="Garamond" w:eastAsia="Times New Roman" w:hAnsi="Garamond"/>
          <w:sz w:val="24"/>
          <w:szCs w:val="24"/>
          <w:highlight w:val="yellow"/>
        </w:rPr>
        <w:t xml:space="preserve"> (</w:t>
      </w:r>
      <w:r w:rsidR="009B6A39">
        <w:rPr>
          <w:rFonts w:ascii="Garamond" w:eastAsia="Times New Roman" w:hAnsi="Garamond"/>
          <w:sz w:val="24"/>
          <w:szCs w:val="24"/>
          <w:highlight w:val="yellow"/>
        </w:rPr>
        <w:t>catorze</w:t>
      </w:r>
      <w:r w:rsidRPr="00286C14">
        <w:rPr>
          <w:rFonts w:ascii="Garamond" w:eastAsia="Times New Roman" w:hAnsi="Garamond"/>
          <w:sz w:val="24"/>
          <w:szCs w:val="24"/>
          <w:highlight w:val="yellow"/>
        </w:rPr>
        <w:t>)</w:t>
      </w:r>
      <w:r w:rsidRPr="00286C14">
        <w:rPr>
          <w:rFonts w:ascii="Garamond" w:eastAsia="Times New Roman" w:hAnsi="Garamond"/>
          <w:sz w:val="24"/>
          <w:szCs w:val="24"/>
        </w:rPr>
        <w:t xml:space="preserve">] vias de igual teor e forma, sendo cada uma de tais vias considerada um original deste Termo de Liberação e todas as vias, em conjunto, um mesmo e único instrumento. </w:t>
      </w:r>
    </w:p>
    <w:p w:rsidR="006F039D" w:rsidRPr="00286C14" w:rsidRDefault="006F039D" w:rsidP="007A085A">
      <w:pPr>
        <w:spacing w:after="0" w:line="320" w:lineRule="exact"/>
        <w:jc w:val="center"/>
        <w:rPr>
          <w:rFonts w:ascii="Garamond" w:eastAsia="Times New Roman" w:hAnsi="Garamond"/>
          <w:sz w:val="24"/>
          <w:szCs w:val="24"/>
        </w:rPr>
      </w:pPr>
    </w:p>
    <w:p w:rsidR="006F039D" w:rsidRPr="00286C14" w:rsidRDefault="006F039D" w:rsidP="007A085A">
      <w:pPr>
        <w:spacing w:after="0" w:line="320" w:lineRule="exact"/>
        <w:jc w:val="center"/>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286C14">
        <w:rPr>
          <w:rFonts w:ascii="Garamond" w:eastAsia="Times New Roman" w:hAnsi="Garamond"/>
          <w:sz w:val="24"/>
          <w:szCs w:val="24"/>
        </w:rPr>
        <w:t>São Paulo, [</w:t>
      </w:r>
      <w:r w:rsidRPr="00286C14">
        <w:rPr>
          <w:rFonts w:ascii="Garamond" w:eastAsia="Times New Roman" w:hAnsi="Garamond"/>
          <w:sz w:val="24"/>
          <w:szCs w:val="24"/>
          <w:highlight w:val="yellow"/>
        </w:rPr>
        <w:t>=</w:t>
      </w:r>
      <w:r w:rsidRPr="00286C14">
        <w:rPr>
          <w:rFonts w:ascii="Garamond" w:eastAsia="Times New Roman" w:hAnsi="Garamond"/>
          <w:sz w:val="24"/>
          <w:szCs w:val="24"/>
        </w:rPr>
        <w:t>] de [</w:t>
      </w:r>
      <w:r w:rsidRPr="00286C14">
        <w:rPr>
          <w:rFonts w:ascii="Garamond" w:eastAsia="Times New Roman" w:hAnsi="Garamond"/>
          <w:sz w:val="24"/>
          <w:szCs w:val="24"/>
          <w:highlight w:val="yellow"/>
        </w:rPr>
        <w:t>=</w:t>
      </w:r>
      <w:r w:rsidRPr="00286C14">
        <w:rPr>
          <w:rFonts w:ascii="Garamond" w:eastAsia="Times New Roman" w:hAnsi="Garamond"/>
          <w:sz w:val="24"/>
          <w:szCs w:val="24"/>
        </w:rPr>
        <w:t>] de 2019.</w:t>
      </w:r>
    </w:p>
    <w:p w:rsidR="006F039D" w:rsidRPr="007A085A" w:rsidRDefault="006F039D"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7A085A">
        <w:rPr>
          <w:rFonts w:ascii="Garamond" w:eastAsia="Times New Roman" w:hAnsi="Garamond"/>
          <w:sz w:val="24"/>
          <w:szCs w:val="24"/>
        </w:rPr>
        <w:t>[</w:t>
      </w:r>
      <w:r w:rsidRPr="007A085A">
        <w:rPr>
          <w:rFonts w:ascii="Garamond" w:eastAsia="Times New Roman" w:hAnsi="Garamond"/>
          <w:i/>
          <w:sz w:val="24"/>
          <w:szCs w:val="24"/>
        </w:rPr>
        <w:t>assinaturas iniciam-se na próxima página</w:t>
      </w:r>
      <w:r w:rsidRPr="007A085A">
        <w:rPr>
          <w:rFonts w:ascii="Garamond" w:eastAsia="Times New Roman" w:hAnsi="Garamond"/>
          <w:sz w:val="24"/>
          <w:szCs w:val="24"/>
        </w:rPr>
        <w:t>]</w:t>
      </w:r>
      <w:r w:rsidRPr="007A085A">
        <w:rPr>
          <w:rFonts w:ascii="Garamond" w:eastAsia="Times New Roman" w:hAnsi="Garamond"/>
          <w:sz w:val="24"/>
          <w:szCs w:val="24"/>
        </w:rPr>
        <w:br w:type="page"/>
      </w:r>
    </w:p>
    <w:p w:rsidR="006F039D" w:rsidRPr="007A085A" w:rsidRDefault="006F039D" w:rsidP="007A085A">
      <w:pPr>
        <w:spacing w:after="0" w:line="320" w:lineRule="exact"/>
        <w:jc w:val="center"/>
        <w:rPr>
          <w:rFonts w:ascii="Garamond" w:eastAsia="Times New Roman" w:hAnsi="Garamond"/>
          <w:sz w:val="24"/>
          <w:szCs w:val="24"/>
        </w:rPr>
      </w:pPr>
      <w:r w:rsidRPr="007A085A">
        <w:rPr>
          <w:rFonts w:ascii="Garamond" w:eastAsia="Times New Roman" w:hAnsi="Garamond"/>
          <w:sz w:val="24"/>
          <w:szCs w:val="24"/>
        </w:rPr>
        <w:lastRenderedPageBreak/>
        <w:t>[</w:t>
      </w:r>
      <w:r w:rsidRPr="007A085A">
        <w:rPr>
          <w:rFonts w:ascii="Garamond" w:eastAsia="Times New Roman" w:hAnsi="Garamond"/>
          <w:i/>
          <w:sz w:val="24"/>
          <w:szCs w:val="24"/>
        </w:rPr>
        <w:t xml:space="preserve">Página de assinaturas do Termo de Liberação de Garantias </w:t>
      </w:r>
      <w:r w:rsidRPr="00286C14">
        <w:rPr>
          <w:rFonts w:ascii="Garamond" w:eastAsia="Times New Roman" w:hAnsi="Garamond"/>
          <w:i/>
          <w:sz w:val="24"/>
          <w:szCs w:val="24"/>
        </w:rPr>
        <w:t>datado de [</w:t>
      </w:r>
      <w:r w:rsidRPr="00286C14">
        <w:rPr>
          <w:rFonts w:ascii="Garamond" w:eastAsia="Times New Roman" w:hAnsi="Garamond"/>
          <w:i/>
          <w:sz w:val="24"/>
          <w:szCs w:val="24"/>
          <w:highlight w:val="yellow"/>
        </w:rPr>
        <w:t>=</w:t>
      </w:r>
      <w:r w:rsidRPr="00286C14">
        <w:rPr>
          <w:rFonts w:ascii="Garamond" w:eastAsia="Times New Roman" w:hAnsi="Garamond"/>
          <w:i/>
          <w:sz w:val="24"/>
          <w:szCs w:val="24"/>
        </w:rPr>
        <w:t>] de [</w:t>
      </w:r>
      <w:r w:rsidRPr="00286C14">
        <w:rPr>
          <w:rFonts w:ascii="Garamond" w:eastAsia="Times New Roman" w:hAnsi="Garamond"/>
          <w:i/>
          <w:sz w:val="24"/>
          <w:szCs w:val="24"/>
          <w:highlight w:val="yellow"/>
        </w:rPr>
        <w:t>=</w:t>
      </w:r>
      <w:r w:rsidRPr="00286C14">
        <w:rPr>
          <w:rFonts w:ascii="Garamond" w:eastAsia="Times New Roman" w:hAnsi="Garamond"/>
          <w:i/>
          <w:sz w:val="24"/>
          <w:szCs w:val="24"/>
        </w:rPr>
        <w:t>] de</w:t>
      </w:r>
      <w:r w:rsidRPr="007A085A">
        <w:rPr>
          <w:rFonts w:ascii="Garamond" w:eastAsia="Times New Roman" w:hAnsi="Garamond"/>
          <w:i/>
          <w:sz w:val="24"/>
          <w:szCs w:val="24"/>
        </w:rPr>
        <w:t xml:space="preserve"> 2019</w:t>
      </w:r>
      <w:r w:rsidRPr="007A085A">
        <w:rPr>
          <w:rFonts w:ascii="Garamond" w:eastAsia="Times New Roman" w:hAnsi="Garamond"/>
          <w:sz w:val="24"/>
          <w:szCs w:val="24"/>
        </w:rPr>
        <w:t>]</w:t>
      </w:r>
    </w:p>
    <w:p w:rsidR="006F039D" w:rsidRPr="007A085A" w:rsidRDefault="006F039D" w:rsidP="007A085A">
      <w:pPr>
        <w:spacing w:after="0" w:line="320" w:lineRule="exact"/>
        <w:jc w:val="center"/>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F039D" w:rsidRPr="007A085A" w:rsidTr="0000326F">
        <w:tc>
          <w:tcPr>
            <w:tcW w:w="8720" w:type="dxa"/>
            <w:gridSpan w:val="2"/>
          </w:tcPr>
          <w:p w:rsidR="006F039D" w:rsidRPr="007A085A" w:rsidRDefault="00E05EAC" w:rsidP="007A085A">
            <w:pPr>
              <w:spacing w:line="320" w:lineRule="exact"/>
              <w:jc w:val="center"/>
              <w:rPr>
                <w:rFonts w:ascii="Garamond" w:eastAsia="Times New Roman" w:hAnsi="Garamond"/>
                <w:b/>
                <w:sz w:val="24"/>
                <w:szCs w:val="24"/>
              </w:rPr>
            </w:pPr>
            <w:r w:rsidRPr="007A085A">
              <w:rPr>
                <w:rFonts w:ascii="Garamond" w:hAnsi="Garamond"/>
                <w:b/>
                <w:bCs/>
                <w:sz w:val="24"/>
                <w:szCs w:val="24"/>
              </w:rPr>
              <w:t>SIMPLIFIC PAVARINI DISTRIBUIDORA DE TÍTULOS E VALORES MOBILIÁRIOS LTDA.</w:t>
            </w:r>
          </w:p>
          <w:p w:rsidR="006F039D" w:rsidRPr="007A085A" w:rsidRDefault="006F039D" w:rsidP="007A085A">
            <w:pPr>
              <w:spacing w:line="320" w:lineRule="exact"/>
              <w:jc w:val="center"/>
              <w:rPr>
                <w:rFonts w:ascii="Garamond" w:eastAsia="Times New Roman" w:hAnsi="Garamond"/>
                <w:sz w:val="24"/>
                <w:szCs w:val="24"/>
              </w:rPr>
            </w:pPr>
          </w:p>
        </w:tc>
      </w:tr>
      <w:tr w:rsidR="006F039D" w:rsidRPr="007A085A" w:rsidTr="0000326F">
        <w:tc>
          <w:tcPr>
            <w:tcW w:w="4360" w:type="dxa"/>
          </w:tcPr>
          <w:p w:rsidR="006F039D" w:rsidRPr="007A085A" w:rsidRDefault="006F039D" w:rsidP="007A085A">
            <w:pPr>
              <w:spacing w:line="320" w:lineRule="exact"/>
              <w:rPr>
                <w:rFonts w:ascii="Garamond" w:eastAsia="Times New Roman" w:hAnsi="Garamond"/>
                <w:sz w:val="24"/>
                <w:szCs w:val="24"/>
              </w:rPr>
            </w:pP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_________________________________</w:t>
            </w: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Nome:</w:t>
            </w: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Cargo:</w:t>
            </w:r>
          </w:p>
        </w:tc>
        <w:tc>
          <w:tcPr>
            <w:tcW w:w="4360" w:type="dxa"/>
          </w:tcPr>
          <w:p w:rsidR="006F039D" w:rsidRPr="007A085A" w:rsidRDefault="006F039D" w:rsidP="007A085A">
            <w:pPr>
              <w:spacing w:line="320" w:lineRule="exact"/>
              <w:rPr>
                <w:rFonts w:ascii="Garamond" w:eastAsia="Times New Roman" w:hAnsi="Garamond"/>
                <w:sz w:val="24"/>
                <w:szCs w:val="24"/>
              </w:rPr>
            </w:pP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_________________________________</w:t>
            </w: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Nome:</w:t>
            </w:r>
          </w:p>
          <w:p w:rsidR="006F039D" w:rsidRPr="007A085A" w:rsidRDefault="006F039D" w:rsidP="007A085A">
            <w:pPr>
              <w:spacing w:line="320" w:lineRule="exact"/>
              <w:rPr>
                <w:rFonts w:ascii="Garamond" w:eastAsia="Times New Roman" w:hAnsi="Garamond"/>
                <w:sz w:val="24"/>
                <w:szCs w:val="24"/>
              </w:rPr>
            </w:pPr>
            <w:r w:rsidRPr="007A085A">
              <w:rPr>
                <w:rFonts w:ascii="Garamond" w:eastAsia="Times New Roman" w:hAnsi="Garamond"/>
                <w:sz w:val="24"/>
                <w:szCs w:val="24"/>
              </w:rPr>
              <w:t>Cargo:</w:t>
            </w:r>
          </w:p>
        </w:tc>
      </w:tr>
    </w:tbl>
    <w:p w:rsidR="006F039D" w:rsidRPr="007A085A" w:rsidRDefault="006F039D" w:rsidP="007A085A">
      <w:pPr>
        <w:spacing w:after="0" w:line="320" w:lineRule="exact"/>
        <w:jc w:val="center"/>
        <w:rPr>
          <w:rFonts w:ascii="Garamond" w:eastAsia="Times New Roman" w:hAnsi="Garamond"/>
          <w:sz w:val="24"/>
          <w:szCs w:val="24"/>
        </w:rPr>
      </w:pPr>
    </w:p>
    <w:p w:rsidR="009B6A39" w:rsidRPr="008E77AE" w:rsidRDefault="00E05EAC" w:rsidP="009B6A39">
      <w:pPr>
        <w:spacing w:after="0" w:line="320" w:lineRule="exact"/>
        <w:jc w:val="center"/>
        <w:rPr>
          <w:rFonts w:ascii="Garamond" w:eastAsia="Times New Roman" w:hAnsi="Garamond"/>
          <w:sz w:val="24"/>
          <w:szCs w:val="24"/>
        </w:rPr>
      </w:pPr>
      <w:r>
        <w:rPr>
          <w:rFonts w:ascii="Garamond" w:eastAsia="Times New Roman" w:hAnsi="Garamond"/>
          <w:sz w:val="24"/>
          <w:szCs w:val="24"/>
        </w:rPr>
        <w:br w:type="page"/>
      </w:r>
      <w:r w:rsidR="009B6A39" w:rsidRPr="008E77AE">
        <w:rPr>
          <w:rFonts w:ascii="Garamond" w:eastAsia="Times New Roman" w:hAnsi="Garamond"/>
          <w:sz w:val="24"/>
          <w:szCs w:val="24"/>
        </w:rPr>
        <w:lastRenderedPageBreak/>
        <w:t>[</w:t>
      </w:r>
      <w:r w:rsidR="009B6A39" w:rsidRPr="008E77AE">
        <w:rPr>
          <w:rFonts w:ascii="Garamond" w:eastAsia="Times New Roman" w:hAnsi="Garamond"/>
          <w:i/>
          <w:sz w:val="24"/>
          <w:szCs w:val="24"/>
        </w:rPr>
        <w:t>Página de assinaturas do Termo de Liberação de Garantias datado de [</w:t>
      </w:r>
      <w:r w:rsidR="009B6A39" w:rsidRPr="008E77AE">
        <w:rPr>
          <w:rFonts w:ascii="Garamond" w:eastAsia="Times New Roman" w:hAnsi="Garamond"/>
          <w:i/>
          <w:sz w:val="24"/>
          <w:szCs w:val="24"/>
          <w:highlight w:val="yellow"/>
        </w:rPr>
        <w:t>=</w:t>
      </w:r>
      <w:r w:rsidR="009B6A39" w:rsidRPr="008E77AE">
        <w:rPr>
          <w:rFonts w:ascii="Garamond" w:eastAsia="Times New Roman" w:hAnsi="Garamond"/>
          <w:i/>
          <w:sz w:val="24"/>
          <w:szCs w:val="24"/>
        </w:rPr>
        <w:t>] de [</w:t>
      </w:r>
      <w:r w:rsidR="009B6A39" w:rsidRPr="008E77AE">
        <w:rPr>
          <w:rFonts w:ascii="Garamond" w:eastAsia="Times New Roman" w:hAnsi="Garamond"/>
          <w:i/>
          <w:sz w:val="24"/>
          <w:szCs w:val="24"/>
          <w:highlight w:val="yellow"/>
        </w:rPr>
        <w:t>=</w:t>
      </w:r>
      <w:r w:rsidR="009B6A39" w:rsidRPr="008E77AE">
        <w:rPr>
          <w:rFonts w:ascii="Garamond" w:eastAsia="Times New Roman" w:hAnsi="Garamond"/>
          <w:i/>
          <w:sz w:val="24"/>
          <w:szCs w:val="24"/>
        </w:rPr>
        <w:t>] de 2019</w:t>
      </w:r>
      <w:r w:rsidR="009B6A39"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b/>
          <w:sz w:val="24"/>
        </w:rPr>
      </w:pPr>
    </w:p>
    <w:p w:rsidR="009B6A39" w:rsidRPr="008E77AE" w:rsidRDefault="009B6A39" w:rsidP="009B6A39">
      <w:pPr>
        <w:pStyle w:val="Body"/>
        <w:spacing w:after="0" w:line="300" w:lineRule="exact"/>
        <w:jc w:val="center"/>
        <w:rPr>
          <w:rFonts w:ascii="Garamond" w:hAnsi="Garamond" w:cs="Tahoma"/>
          <w:b/>
          <w:sz w:val="24"/>
        </w:rPr>
      </w:pPr>
    </w:p>
    <w:p w:rsidR="009B6A39" w:rsidRPr="008E77AE" w:rsidRDefault="009B6A39" w:rsidP="009B6A39">
      <w:pPr>
        <w:pStyle w:val="Body"/>
        <w:spacing w:after="0" w:line="300" w:lineRule="exact"/>
        <w:jc w:val="center"/>
        <w:rPr>
          <w:rFonts w:ascii="Garamond" w:hAnsi="Garamond" w:cs="Tahoma"/>
          <w:b/>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BNP PARIBAS</w:t>
      </w: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lang w:val="en-CA"/>
        </w:rPr>
      </w:pPr>
      <w:r w:rsidRPr="008E77AE">
        <w:rPr>
          <w:rFonts w:ascii="Garamond" w:hAnsi="Garamond" w:cs="Tahoma"/>
          <w:b/>
          <w:sz w:val="24"/>
          <w:lang w:val="en-CA"/>
        </w:rPr>
        <w:t>CRÉDIT AGRICÓLE CORPORATE AND INVESTIMENT BANK</w:t>
      </w:r>
    </w:p>
    <w:p w:rsidR="009B6A39" w:rsidRPr="008E77AE" w:rsidRDefault="009B6A39" w:rsidP="009B6A39">
      <w:pPr>
        <w:pStyle w:val="Body"/>
        <w:spacing w:after="0" w:line="300" w:lineRule="exact"/>
        <w:rPr>
          <w:rFonts w:ascii="Garamond" w:hAnsi="Garamond" w:cs="Tahoma"/>
          <w:sz w:val="24"/>
          <w:lang w:val="en-C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8E77AE" w:rsidRDefault="009B6A39" w:rsidP="008E77AE">
            <w:pPr>
              <w:spacing w:line="320" w:lineRule="exact"/>
              <w:rPr>
                <w:rFonts w:ascii="Garamond" w:eastAsia="Times New Roman" w:hAnsi="Garamond"/>
                <w:sz w:val="24"/>
                <w:szCs w:val="24"/>
                <w:lang w:val="en-US"/>
              </w:rPr>
            </w:pPr>
          </w:p>
          <w:p w:rsidR="009B6A39" w:rsidRPr="00CF3059" w:rsidRDefault="009B6A39"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jc w:val="center"/>
        <w:rPr>
          <w:rFonts w:ascii="Garamond" w:hAnsi="Garamond" w:cs="Tahoma"/>
          <w:sz w:val="24"/>
        </w:rPr>
      </w:pPr>
      <w:r w:rsidRPr="008E77AE">
        <w:rPr>
          <w:rFonts w:ascii="Garamond" w:hAnsi="Garamond" w:cs="Tahoma"/>
          <w:sz w:val="24"/>
        </w:rPr>
        <w:br w:type="page"/>
      </w:r>
      <w:r w:rsidRPr="00CF3059">
        <w:rPr>
          <w:rFonts w:ascii="Garamond" w:hAnsi="Garamond"/>
          <w:sz w:val="24"/>
        </w:rPr>
        <w:lastRenderedPageBreak/>
        <w:t>[</w:t>
      </w:r>
      <w:r w:rsidRPr="00CF3059">
        <w:rPr>
          <w:rFonts w:ascii="Garamond" w:hAnsi="Garamond"/>
          <w:i/>
          <w:sz w:val="24"/>
        </w:rPr>
        <w:t>Página de assinaturas do Termo de Liberação de Garantias datado de [</w:t>
      </w:r>
      <w:r w:rsidRPr="008E77AE">
        <w:rPr>
          <w:rFonts w:ascii="Garamond" w:hAnsi="Garamond"/>
          <w:i/>
          <w:sz w:val="24"/>
          <w:highlight w:val="yellow"/>
        </w:rPr>
        <w:t>=</w:t>
      </w:r>
      <w:r w:rsidRPr="008E77AE">
        <w:rPr>
          <w:rFonts w:ascii="Garamond" w:hAnsi="Garamond"/>
          <w:i/>
          <w:sz w:val="24"/>
        </w:rPr>
        <w:t>] de [</w:t>
      </w:r>
      <w:r w:rsidRPr="008E77AE">
        <w:rPr>
          <w:rFonts w:ascii="Garamond" w:hAnsi="Garamond"/>
          <w:i/>
          <w:sz w:val="24"/>
          <w:highlight w:val="yellow"/>
        </w:rPr>
        <w:t>=</w:t>
      </w:r>
      <w:r w:rsidRPr="008E77AE">
        <w:rPr>
          <w:rFonts w:ascii="Garamond" w:hAnsi="Garamond"/>
          <w:i/>
          <w:sz w:val="24"/>
        </w:rPr>
        <w:t>] de 2019</w:t>
      </w:r>
      <w:r w:rsidRPr="008E77AE">
        <w:rPr>
          <w:rFonts w:ascii="Garamond" w:hAnsi="Garamond"/>
          <w:sz w:val="24"/>
        </w:rPr>
        <w:t>]</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MIZUHO BANK, LTD.</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SUMITOMO MITSUI BANKING CORPORATION</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ING CAPITAL LLC</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SOCIÉTÉ GÉNÉRALE</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MUFG BANK, LTD.</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MIZUHO BANK, LTD.</w:t>
      </w:r>
    </w:p>
    <w:p w:rsidR="009B6A39" w:rsidRPr="008E77AE" w:rsidRDefault="009B6A39" w:rsidP="009B6A39">
      <w:pPr>
        <w:pStyle w:val="Body"/>
        <w:spacing w:after="0" w:line="300" w:lineRule="exact"/>
        <w:jc w:val="center"/>
        <w:rPr>
          <w:rFonts w:ascii="Garamond" w:hAnsi="Garamond" w:cs="Tahoma"/>
          <w:i/>
          <w:sz w:val="24"/>
        </w:rPr>
      </w:pPr>
      <w:r w:rsidRPr="008E77AE">
        <w:rPr>
          <w:rFonts w:ascii="Garamond" w:hAnsi="Garamond" w:cs="Tahoma"/>
          <w:i/>
          <w:sz w:val="24"/>
        </w:rPr>
        <w:t xml:space="preserve">na qualidade de </w:t>
      </w:r>
      <w:proofErr w:type="spellStart"/>
      <w:r w:rsidRPr="008E77AE">
        <w:rPr>
          <w:rFonts w:ascii="Garamond" w:hAnsi="Garamond" w:cs="Tahoma"/>
          <w:i/>
          <w:sz w:val="24"/>
        </w:rPr>
        <w:t>Facility</w:t>
      </w:r>
      <w:proofErr w:type="spellEnd"/>
      <w:r w:rsidRPr="008E77AE">
        <w:rPr>
          <w:rFonts w:ascii="Garamond" w:hAnsi="Garamond" w:cs="Tahoma"/>
          <w:i/>
          <w:sz w:val="24"/>
        </w:rPr>
        <w:t xml:space="preserve"> Agent</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CF3059" w:rsidRDefault="009B6A39" w:rsidP="009B6A39">
      <w:pPr>
        <w:rPr>
          <w:rFonts w:ascii="Garamond" w:eastAsia="Times New Roman" w:hAnsi="Garamond"/>
          <w:sz w:val="24"/>
          <w:szCs w:val="24"/>
        </w:rPr>
      </w:pPr>
      <w:r w:rsidRPr="00CF3059">
        <w:rPr>
          <w:rFonts w:ascii="Garamond" w:eastAsia="Times New Roman" w:hAnsi="Garamond"/>
          <w:sz w:val="24"/>
          <w:szCs w:val="24"/>
        </w:rPr>
        <w:br w:type="page"/>
      </w:r>
    </w:p>
    <w:p w:rsidR="009B6A39" w:rsidRPr="008E77AE" w:rsidRDefault="009B6A39" w:rsidP="009B6A39">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tabs>
          <w:tab w:val="left" w:pos="1080"/>
        </w:tabs>
        <w:rPr>
          <w:rFonts w:ascii="Garamond" w:hAnsi="Garamond" w:cs="Tahoma"/>
          <w:sz w:val="24"/>
        </w:rPr>
      </w:pPr>
    </w:p>
    <w:p w:rsidR="009B6A39" w:rsidRPr="008E77AE" w:rsidRDefault="009B6A39" w:rsidP="009B6A39">
      <w:pPr>
        <w:pStyle w:val="Body"/>
        <w:tabs>
          <w:tab w:val="left" w:pos="1080"/>
        </w:tabs>
        <w:rPr>
          <w:rFonts w:ascii="Garamond" w:hAnsi="Garamond" w:cs="Tahoma"/>
          <w:sz w:val="24"/>
        </w:rPr>
      </w:pPr>
    </w:p>
    <w:p w:rsidR="009B6A39" w:rsidRPr="008E77AE" w:rsidRDefault="009B6A39" w:rsidP="009B6A39">
      <w:pPr>
        <w:pStyle w:val="Body"/>
        <w:jc w:val="center"/>
        <w:rPr>
          <w:rFonts w:ascii="Garamond" w:hAnsi="Garamond" w:cs="Tahoma"/>
          <w:sz w:val="24"/>
        </w:rPr>
      </w:pPr>
      <w:r w:rsidRPr="008E77AE">
        <w:rPr>
          <w:rFonts w:ascii="Garamond" w:hAnsi="Garamond" w:cs="Tahoma"/>
          <w:b/>
          <w:sz w:val="24"/>
        </w:rPr>
        <w:t>SUMITOMO MITSUI BANKING CORPORATION</w:t>
      </w:r>
    </w:p>
    <w:p w:rsidR="009B6A39" w:rsidRPr="008E77AE" w:rsidRDefault="009B6A39" w:rsidP="009B6A39">
      <w:pPr>
        <w:pStyle w:val="Body"/>
        <w:spacing w:after="0" w:line="300" w:lineRule="exact"/>
        <w:jc w:val="center"/>
        <w:rPr>
          <w:rFonts w:ascii="Garamond" w:hAnsi="Garamond" w:cs="Tahoma"/>
          <w:i/>
          <w:sz w:val="24"/>
        </w:rPr>
      </w:pPr>
      <w:r w:rsidRPr="008E77AE">
        <w:rPr>
          <w:rFonts w:ascii="Garamond" w:hAnsi="Garamond" w:cs="Tahoma"/>
          <w:i/>
          <w:sz w:val="24"/>
        </w:rPr>
        <w:t xml:space="preserve">na qualidade de </w:t>
      </w:r>
      <w:proofErr w:type="spellStart"/>
      <w:r w:rsidRPr="008E77AE">
        <w:rPr>
          <w:rFonts w:ascii="Garamond" w:hAnsi="Garamond" w:cs="Tahoma"/>
          <w:i/>
          <w:sz w:val="24"/>
        </w:rPr>
        <w:t>Intercreditor</w:t>
      </w:r>
      <w:proofErr w:type="spellEnd"/>
      <w:r w:rsidRPr="008E77AE">
        <w:rPr>
          <w:rFonts w:ascii="Garamond" w:hAnsi="Garamond" w:cs="Tahoma"/>
          <w:i/>
          <w:sz w:val="24"/>
        </w:rPr>
        <w:t xml:space="preserve"> Agent</w:t>
      </w:r>
    </w:p>
    <w:p w:rsidR="009B6A39" w:rsidRPr="008E77AE" w:rsidRDefault="009B6A39" w:rsidP="009B6A39">
      <w:pPr>
        <w:pStyle w:val="Body"/>
        <w:rPr>
          <w:rFonts w:ascii="Garamond" w:hAnsi="Garamond" w:cs="Tahoma"/>
          <w:sz w:val="24"/>
        </w:rPr>
      </w:pPr>
    </w:p>
    <w:p w:rsidR="009B6A39" w:rsidRPr="008E77AE" w:rsidRDefault="009B6A39" w:rsidP="009B6A39">
      <w:pPr>
        <w:pStyle w:val="Body"/>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rPr>
          <w:rFonts w:ascii="Garamond" w:hAnsi="Garamond" w:cs="Tahoma"/>
          <w:kern w:val="20"/>
          <w:sz w:val="24"/>
          <w:szCs w:val="24"/>
        </w:rPr>
      </w:pPr>
      <w:r w:rsidRPr="008E77AE">
        <w:rPr>
          <w:rFonts w:ascii="Garamond" w:hAnsi="Garamond" w:cs="Tahoma"/>
          <w:sz w:val="24"/>
          <w:szCs w:val="24"/>
        </w:rPr>
        <w:br w:type="page"/>
      </w:r>
    </w:p>
    <w:p w:rsidR="009B6A39" w:rsidRPr="008E77AE" w:rsidRDefault="009B6A39" w:rsidP="009B6A39">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sz w:val="24"/>
        </w:rPr>
      </w:pPr>
      <w:r w:rsidRPr="008E77AE">
        <w:rPr>
          <w:rFonts w:ascii="Garamond" w:hAnsi="Garamond" w:cs="Tahoma"/>
          <w:b/>
          <w:sz w:val="24"/>
        </w:rPr>
        <w:t>BANCO BNP PARIBAS BRASIL S.A.</w:t>
      </w:r>
      <w:r w:rsidRPr="008E77AE" w:rsidDel="001D410C">
        <w:rPr>
          <w:rFonts w:ascii="Garamond" w:hAnsi="Garamond" w:cs="Tahoma"/>
          <w:b/>
          <w:sz w:val="24"/>
        </w:rPr>
        <w:t xml:space="preserve"> </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spacing w:after="0" w:line="320" w:lineRule="exact"/>
        <w:jc w:val="center"/>
        <w:rPr>
          <w:rFonts w:ascii="Garamond" w:eastAsia="Times New Roman" w:hAnsi="Garamond"/>
          <w:sz w:val="24"/>
          <w:szCs w:val="24"/>
        </w:rPr>
      </w:pPr>
      <w:r w:rsidRPr="008E77AE">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jc w:val="center"/>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sz w:val="24"/>
        </w:rPr>
      </w:pPr>
      <w:r w:rsidRPr="008E77AE">
        <w:rPr>
          <w:rFonts w:ascii="Garamond" w:hAnsi="Garamond" w:cs="Tahoma"/>
          <w:b/>
          <w:sz w:val="24"/>
        </w:rPr>
        <w:t>BANCO CRÉDIT AGRICOLE BRASIL S.A</w:t>
      </w:r>
      <w:r w:rsidRPr="008E77AE">
        <w:rPr>
          <w:rFonts w:ascii="Garamond" w:hAnsi="Garamond" w:cs="Tahoma"/>
          <w:sz w:val="24"/>
        </w:rPr>
        <w:t>.</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rPr>
          <w:rFonts w:ascii="Garamond" w:hAnsi="Garamond" w:cs="Tahoma"/>
          <w:kern w:val="20"/>
          <w:sz w:val="24"/>
          <w:szCs w:val="24"/>
        </w:rPr>
      </w:pPr>
      <w:r w:rsidRPr="008E77AE">
        <w:rPr>
          <w:rFonts w:ascii="Garamond" w:hAnsi="Garamond" w:cs="Tahoma"/>
          <w:sz w:val="24"/>
          <w:szCs w:val="24"/>
        </w:rPr>
        <w:br w:type="page"/>
      </w:r>
    </w:p>
    <w:p w:rsidR="009B6A39" w:rsidRPr="008E77AE" w:rsidRDefault="009B6A39" w:rsidP="009B6A39">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w:t>
      </w:r>
      <w:r w:rsidRPr="008E77AE">
        <w:rPr>
          <w:rFonts w:ascii="Garamond" w:eastAsia="Times New Roman" w:hAnsi="Garamond"/>
          <w:i/>
          <w:sz w:val="24"/>
          <w:szCs w:val="24"/>
          <w:highlight w:val="yellow"/>
        </w:rPr>
        <w:t>=</w:t>
      </w:r>
      <w:r w:rsidRPr="008E77AE">
        <w:rPr>
          <w:rFonts w:ascii="Garamond" w:eastAsia="Times New Roman" w:hAnsi="Garamond"/>
          <w:i/>
          <w:sz w:val="24"/>
          <w:szCs w:val="24"/>
        </w:rPr>
        <w:t>] de 2019</w:t>
      </w:r>
      <w:r w:rsidRPr="008E77AE">
        <w:rPr>
          <w:rFonts w:ascii="Garamond" w:eastAsia="Times New Roman" w:hAnsi="Garamond"/>
          <w:sz w:val="24"/>
          <w:szCs w:val="24"/>
        </w:rPr>
        <w:t>]</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jc w:val="center"/>
        <w:rPr>
          <w:rFonts w:ascii="Garamond" w:hAnsi="Garamond" w:cs="Tahoma"/>
          <w:b/>
          <w:sz w:val="24"/>
        </w:rPr>
      </w:pPr>
      <w:r w:rsidRPr="008E77AE">
        <w:rPr>
          <w:rFonts w:ascii="Garamond" w:hAnsi="Garamond" w:cs="Tahoma"/>
          <w:b/>
          <w:sz w:val="24"/>
        </w:rPr>
        <w:t>ITAÚ UNIBANCO S.A.</w:t>
      </w:r>
    </w:p>
    <w:p w:rsidR="009B6A39" w:rsidRPr="008E77AE" w:rsidRDefault="009B6A39" w:rsidP="009B6A39">
      <w:pPr>
        <w:pStyle w:val="Body"/>
        <w:spacing w:after="0" w:line="300" w:lineRule="exact"/>
        <w:rPr>
          <w:rFonts w:ascii="Garamond" w:hAnsi="Garamond" w:cs="Tahoma"/>
          <w:sz w:val="24"/>
        </w:rPr>
      </w:pPr>
    </w:p>
    <w:p w:rsidR="009B6A39" w:rsidRPr="008E77AE" w:rsidRDefault="009B6A39" w:rsidP="009B6A39">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B6A39" w:rsidRPr="008E77AE" w:rsidTr="008E77AE">
        <w:tc>
          <w:tcPr>
            <w:tcW w:w="4360" w:type="dxa"/>
          </w:tcPr>
          <w:p w:rsidR="009B6A39" w:rsidRPr="00CF3059"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c>
          <w:tcPr>
            <w:tcW w:w="4360" w:type="dxa"/>
          </w:tcPr>
          <w:p w:rsidR="009B6A39" w:rsidRPr="008E77AE" w:rsidRDefault="009B6A39" w:rsidP="008E77AE">
            <w:pPr>
              <w:spacing w:line="320" w:lineRule="exact"/>
              <w:rPr>
                <w:rFonts w:ascii="Garamond" w:eastAsia="Times New Roman" w:hAnsi="Garamond"/>
                <w:sz w:val="24"/>
                <w:szCs w:val="24"/>
              </w:rPr>
            </w:pP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_________________________________</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Nome:</w:t>
            </w:r>
          </w:p>
          <w:p w:rsidR="009B6A39" w:rsidRPr="008E77AE" w:rsidRDefault="009B6A39" w:rsidP="008E77AE">
            <w:pPr>
              <w:spacing w:line="320" w:lineRule="exact"/>
              <w:rPr>
                <w:rFonts w:ascii="Garamond" w:eastAsia="Times New Roman" w:hAnsi="Garamond"/>
                <w:sz w:val="24"/>
                <w:szCs w:val="24"/>
              </w:rPr>
            </w:pPr>
            <w:r w:rsidRPr="008E77AE">
              <w:rPr>
                <w:rFonts w:ascii="Garamond" w:eastAsia="Times New Roman" w:hAnsi="Garamond"/>
                <w:sz w:val="24"/>
                <w:szCs w:val="24"/>
              </w:rPr>
              <w:t>Cargo:</w:t>
            </w:r>
          </w:p>
        </w:tc>
      </w:tr>
    </w:tbl>
    <w:p w:rsidR="009B6A39" w:rsidRPr="008E77AE" w:rsidRDefault="009B6A39" w:rsidP="009B6A39">
      <w:pPr>
        <w:pStyle w:val="Body"/>
        <w:spacing w:after="0" w:line="300" w:lineRule="exact"/>
        <w:rPr>
          <w:rFonts w:ascii="Garamond" w:hAnsi="Garamond" w:cs="Tahoma"/>
          <w:sz w:val="24"/>
        </w:rPr>
      </w:pPr>
    </w:p>
    <w:p w:rsidR="009B6A39" w:rsidRDefault="009B6A39">
      <w:pPr>
        <w:rPr>
          <w:rFonts w:ascii="Garamond" w:eastAsia="Times New Roman" w:hAnsi="Garamond"/>
          <w:sz w:val="24"/>
          <w:szCs w:val="24"/>
        </w:rPr>
      </w:pPr>
      <w:r>
        <w:rPr>
          <w:rFonts w:ascii="Garamond" w:eastAsia="Times New Roman" w:hAnsi="Garamond"/>
          <w:sz w:val="24"/>
          <w:szCs w:val="24"/>
        </w:rPr>
        <w:br w:type="page"/>
      </w:r>
    </w:p>
    <w:p w:rsidR="00E05EAC" w:rsidRDefault="00E05EAC">
      <w:pPr>
        <w:rPr>
          <w:rFonts w:ascii="Garamond" w:eastAsia="Times New Roman" w:hAnsi="Garamond"/>
          <w:sz w:val="24"/>
          <w:szCs w:val="24"/>
        </w:rPr>
      </w:pPr>
    </w:p>
    <w:p w:rsidR="00E05EAC" w:rsidRPr="007A085A" w:rsidRDefault="00E05EAC" w:rsidP="00E05EAC">
      <w:pPr>
        <w:spacing w:after="0" w:line="320" w:lineRule="exact"/>
        <w:jc w:val="center"/>
        <w:rPr>
          <w:rFonts w:ascii="Garamond" w:eastAsia="Times New Roman" w:hAnsi="Garamond"/>
          <w:sz w:val="24"/>
          <w:szCs w:val="24"/>
        </w:rPr>
      </w:pPr>
      <w:r w:rsidRPr="007A085A">
        <w:rPr>
          <w:rFonts w:ascii="Garamond" w:eastAsia="Times New Roman" w:hAnsi="Garamond"/>
          <w:sz w:val="24"/>
          <w:szCs w:val="24"/>
        </w:rPr>
        <w:t>[</w:t>
      </w:r>
      <w:r w:rsidRPr="007A085A">
        <w:rPr>
          <w:rFonts w:ascii="Garamond" w:eastAsia="Times New Roman" w:hAnsi="Garamond"/>
          <w:i/>
          <w:sz w:val="24"/>
          <w:szCs w:val="24"/>
        </w:rPr>
        <w:t xml:space="preserve">Página de assinaturas do Termo de Liberação de Garantias datado </w:t>
      </w:r>
      <w:r w:rsidRPr="00286C14">
        <w:rPr>
          <w:rFonts w:ascii="Garamond" w:eastAsia="Times New Roman" w:hAnsi="Garamond"/>
          <w:i/>
          <w:sz w:val="24"/>
          <w:szCs w:val="24"/>
        </w:rPr>
        <w:t>de [</w:t>
      </w:r>
      <w:r w:rsidRPr="00286C14">
        <w:rPr>
          <w:rFonts w:ascii="Garamond" w:eastAsia="Times New Roman" w:hAnsi="Garamond"/>
          <w:i/>
          <w:sz w:val="24"/>
          <w:szCs w:val="24"/>
          <w:highlight w:val="yellow"/>
        </w:rPr>
        <w:t>=</w:t>
      </w:r>
      <w:r w:rsidRPr="00286C14">
        <w:rPr>
          <w:rFonts w:ascii="Garamond" w:eastAsia="Times New Roman" w:hAnsi="Garamond"/>
          <w:i/>
          <w:sz w:val="24"/>
          <w:szCs w:val="24"/>
        </w:rPr>
        <w:t>] de [</w:t>
      </w:r>
      <w:r w:rsidRPr="00286C14">
        <w:rPr>
          <w:rFonts w:ascii="Garamond" w:eastAsia="Times New Roman" w:hAnsi="Garamond"/>
          <w:i/>
          <w:sz w:val="24"/>
          <w:szCs w:val="24"/>
          <w:highlight w:val="yellow"/>
        </w:rPr>
        <w:t>=</w:t>
      </w:r>
      <w:r w:rsidRPr="00286C14">
        <w:rPr>
          <w:rFonts w:ascii="Garamond" w:eastAsia="Times New Roman" w:hAnsi="Garamond"/>
          <w:i/>
          <w:sz w:val="24"/>
          <w:szCs w:val="24"/>
        </w:rPr>
        <w:t>] de 2019</w:t>
      </w:r>
      <w:r w:rsidRPr="007A085A">
        <w:rPr>
          <w:rFonts w:ascii="Garamond" w:eastAsia="Times New Roman" w:hAnsi="Garamond"/>
          <w:sz w:val="24"/>
          <w:szCs w:val="24"/>
        </w:rPr>
        <w:t>]</w:t>
      </w:r>
    </w:p>
    <w:p w:rsidR="00E05EAC" w:rsidRDefault="00E05EAC" w:rsidP="00E05EAC">
      <w:pPr>
        <w:spacing w:after="0" w:line="320" w:lineRule="exact"/>
        <w:jc w:val="center"/>
        <w:rPr>
          <w:rFonts w:ascii="Garamond" w:eastAsia="Times New Roman" w:hAnsi="Garamond"/>
          <w:sz w:val="24"/>
          <w:szCs w:val="24"/>
        </w:rPr>
      </w:pPr>
    </w:p>
    <w:p w:rsidR="00FC7899" w:rsidRPr="007A085A" w:rsidRDefault="00FC7899" w:rsidP="00E05EAC">
      <w:pPr>
        <w:spacing w:after="0" w:line="320" w:lineRule="exact"/>
        <w:jc w:val="center"/>
        <w:rPr>
          <w:rFonts w:ascii="Garamond" w:eastAsia="Times New Roman" w:hAnsi="Garamond"/>
          <w:sz w:val="24"/>
          <w:szCs w:val="24"/>
        </w:rPr>
      </w:pPr>
      <w:bookmarkStart w:id="0" w:name="_GoBack"/>
      <w:bookmarkEnd w:id="0"/>
    </w:p>
    <w:p w:rsidR="00E05EAC" w:rsidRPr="007A085A" w:rsidRDefault="00E05EAC" w:rsidP="00E05EAC">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05EAC" w:rsidRPr="007A085A" w:rsidTr="00BA21C0">
        <w:tc>
          <w:tcPr>
            <w:tcW w:w="8720" w:type="dxa"/>
            <w:gridSpan w:val="2"/>
          </w:tcPr>
          <w:p w:rsidR="00E05EAC" w:rsidRPr="007A085A" w:rsidRDefault="00E05EAC" w:rsidP="00BA21C0">
            <w:pPr>
              <w:spacing w:line="320" w:lineRule="exact"/>
              <w:jc w:val="center"/>
              <w:rPr>
                <w:rFonts w:ascii="Garamond" w:eastAsia="Times New Roman" w:hAnsi="Garamond"/>
                <w:b/>
                <w:sz w:val="24"/>
                <w:szCs w:val="24"/>
              </w:rPr>
            </w:pPr>
            <w:r w:rsidRPr="007A085A">
              <w:rPr>
                <w:rFonts w:ascii="Garamond" w:hAnsi="Garamond"/>
                <w:b/>
                <w:bCs/>
                <w:sz w:val="24"/>
                <w:szCs w:val="24"/>
              </w:rPr>
              <w:t>TMF BRASIL ADMINISTRAÇÃO E GESTÃO DE ATIVOS LTDA.</w:t>
            </w:r>
          </w:p>
          <w:p w:rsidR="00E05EAC" w:rsidRPr="007A085A" w:rsidRDefault="00E05EAC" w:rsidP="00BA21C0">
            <w:pPr>
              <w:spacing w:line="320" w:lineRule="exact"/>
              <w:jc w:val="center"/>
              <w:rPr>
                <w:rFonts w:ascii="Garamond" w:eastAsia="Times New Roman" w:hAnsi="Garamond"/>
                <w:sz w:val="24"/>
                <w:szCs w:val="24"/>
              </w:rPr>
            </w:pPr>
          </w:p>
        </w:tc>
      </w:tr>
      <w:tr w:rsidR="00E05EAC" w:rsidRPr="007A085A" w:rsidTr="00BA21C0">
        <w:tc>
          <w:tcPr>
            <w:tcW w:w="4360" w:type="dxa"/>
          </w:tcPr>
          <w:p w:rsidR="00E05EAC" w:rsidRPr="007A085A" w:rsidRDefault="00E05EAC" w:rsidP="00BA21C0">
            <w:pPr>
              <w:spacing w:line="320" w:lineRule="exact"/>
              <w:rPr>
                <w:rFonts w:ascii="Garamond" w:eastAsia="Times New Roman" w:hAnsi="Garamond"/>
                <w:sz w:val="24"/>
                <w:szCs w:val="24"/>
              </w:rPr>
            </w:pP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_________________________________</w:t>
            </w: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Nome:</w:t>
            </w: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Cargo:</w:t>
            </w:r>
          </w:p>
        </w:tc>
        <w:tc>
          <w:tcPr>
            <w:tcW w:w="4360" w:type="dxa"/>
          </w:tcPr>
          <w:p w:rsidR="00E05EAC" w:rsidRPr="007A085A" w:rsidRDefault="00E05EAC" w:rsidP="00BA21C0">
            <w:pPr>
              <w:spacing w:line="320" w:lineRule="exact"/>
              <w:rPr>
                <w:rFonts w:ascii="Garamond" w:eastAsia="Times New Roman" w:hAnsi="Garamond"/>
                <w:sz w:val="24"/>
                <w:szCs w:val="24"/>
              </w:rPr>
            </w:pP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_________________________________</w:t>
            </w: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Nome:</w:t>
            </w:r>
          </w:p>
          <w:p w:rsidR="00E05EAC" w:rsidRPr="007A085A" w:rsidRDefault="00E05EAC" w:rsidP="00BA21C0">
            <w:pPr>
              <w:spacing w:line="320" w:lineRule="exact"/>
              <w:rPr>
                <w:rFonts w:ascii="Garamond" w:eastAsia="Times New Roman" w:hAnsi="Garamond"/>
                <w:sz w:val="24"/>
                <w:szCs w:val="24"/>
              </w:rPr>
            </w:pPr>
            <w:r w:rsidRPr="007A085A">
              <w:rPr>
                <w:rFonts w:ascii="Garamond" w:eastAsia="Times New Roman" w:hAnsi="Garamond"/>
                <w:sz w:val="24"/>
                <w:szCs w:val="24"/>
              </w:rPr>
              <w:t>Cargo:</w:t>
            </w:r>
          </w:p>
        </w:tc>
      </w:tr>
    </w:tbl>
    <w:p w:rsidR="006F039D" w:rsidRPr="007A085A" w:rsidRDefault="006F039D" w:rsidP="007A085A">
      <w:pPr>
        <w:spacing w:after="0" w:line="320" w:lineRule="exact"/>
        <w:jc w:val="both"/>
        <w:rPr>
          <w:rFonts w:ascii="Garamond" w:eastAsia="Times New Roman" w:hAnsi="Garamond"/>
          <w:sz w:val="24"/>
          <w:szCs w:val="24"/>
        </w:rPr>
      </w:pPr>
    </w:p>
    <w:p w:rsidR="00891E6A" w:rsidRPr="007A085A" w:rsidRDefault="00891E6A" w:rsidP="007A085A">
      <w:pPr>
        <w:spacing w:after="0" w:line="320" w:lineRule="exact"/>
        <w:rPr>
          <w:rFonts w:ascii="Garamond" w:hAnsi="Garamond"/>
          <w:sz w:val="24"/>
          <w:szCs w:val="24"/>
        </w:rPr>
      </w:pPr>
    </w:p>
    <w:sectPr w:rsidR="00891E6A" w:rsidRPr="007A085A" w:rsidSect="00B565C5">
      <w:foot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D8A" w:rsidRDefault="00E05EAC">
      <w:pPr>
        <w:spacing w:after="0" w:line="240" w:lineRule="auto"/>
      </w:pPr>
      <w:r>
        <w:separator/>
      </w:r>
    </w:p>
  </w:endnote>
  <w:endnote w:type="continuationSeparator" w:id="0">
    <w:p w:rsidR="00D82D8A" w:rsidRDefault="00E0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236164470"/>
      <w:docPartObj>
        <w:docPartGallery w:val="Page Numbers (Bottom of Page)"/>
        <w:docPartUnique/>
      </w:docPartObj>
    </w:sdtPr>
    <w:sdtEndPr/>
    <w:sdtContent>
      <w:p w:rsidR="00BA5151" w:rsidRPr="00BA5151" w:rsidRDefault="00FB5267">
        <w:pPr>
          <w:pStyle w:val="Rodap"/>
          <w:jc w:val="right"/>
          <w:rPr>
            <w:rFonts w:ascii="Garamond" w:hAnsi="Garamond"/>
          </w:rPr>
        </w:pPr>
        <w:r w:rsidRPr="00BA5151">
          <w:rPr>
            <w:rFonts w:ascii="Garamond" w:hAnsi="Garamond"/>
          </w:rPr>
          <w:fldChar w:fldCharType="begin"/>
        </w:r>
        <w:r w:rsidRPr="00BA5151">
          <w:rPr>
            <w:rFonts w:ascii="Garamond" w:hAnsi="Garamond"/>
          </w:rPr>
          <w:instrText>PAGE   \* MERGEFORMAT</w:instrText>
        </w:r>
        <w:r w:rsidRPr="00BA5151">
          <w:rPr>
            <w:rFonts w:ascii="Garamond" w:hAnsi="Garamond"/>
          </w:rPr>
          <w:fldChar w:fldCharType="separate"/>
        </w:r>
        <w:r w:rsidR="00286C14">
          <w:rPr>
            <w:rFonts w:ascii="Garamond" w:hAnsi="Garamond"/>
            <w:noProof/>
          </w:rPr>
          <w:t>6</w:t>
        </w:r>
        <w:r w:rsidRPr="00BA5151">
          <w:rPr>
            <w:rFonts w:ascii="Garamond" w:hAnsi="Garamond"/>
          </w:rPr>
          <w:fldChar w:fldCharType="end"/>
        </w:r>
      </w:p>
    </w:sdtContent>
  </w:sdt>
  <w:p w:rsidR="00BA5151" w:rsidRDefault="00FC78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D8A" w:rsidRDefault="00E05EAC">
      <w:pPr>
        <w:spacing w:after="0" w:line="240" w:lineRule="auto"/>
      </w:pPr>
      <w:r>
        <w:separator/>
      </w:r>
    </w:p>
  </w:footnote>
  <w:footnote w:type="continuationSeparator" w:id="0">
    <w:p w:rsidR="00D82D8A" w:rsidRDefault="00E05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A3ECD"/>
    <w:multiLevelType w:val="hybridMultilevel"/>
    <w:tmpl w:val="F9F02070"/>
    <w:lvl w:ilvl="0" w:tplc="E82EEB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CB4379"/>
    <w:multiLevelType w:val="hybridMultilevel"/>
    <w:tmpl w:val="F716A030"/>
    <w:lvl w:ilvl="0" w:tplc="F1D643E0">
      <w:start w:val="1"/>
      <w:numFmt w:val="upperLetter"/>
      <w:pStyle w:val="Recitals"/>
      <w:lvlText w:val="(%1)"/>
      <w:lvlJc w:val="left"/>
      <w:pPr>
        <w:tabs>
          <w:tab w:val="num" w:pos="567"/>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9D"/>
    <w:rsid w:val="001338F7"/>
    <w:rsid w:val="00220FA7"/>
    <w:rsid w:val="002311D6"/>
    <w:rsid w:val="0023324E"/>
    <w:rsid w:val="002752FC"/>
    <w:rsid w:val="00286C14"/>
    <w:rsid w:val="002E01E8"/>
    <w:rsid w:val="003A2F5C"/>
    <w:rsid w:val="004E3B5F"/>
    <w:rsid w:val="006F039D"/>
    <w:rsid w:val="0074335C"/>
    <w:rsid w:val="007A085A"/>
    <w:rsid w:val="007C47DC"/>
    <w:rsid w:val="00872681"/>
    <w:rsid w:val="00891E6A"/>
    <w:rsid w:val="0094588B"/>
    <w:rsid w:val="009B6A39"/>
    <w:rsid w:val="009E6A01"/>
    <w:rsid w:val="00A21A9A"/>
    <w:rsid w:val="00A719E5"/>
    <w:rsid w:val="00C5090A"/>
    <w:rsid w:val="00CE1CA2"/>
    <w:rsid w:val="00D82D8A"/>
    <w:rsid w:val="00E05EAC"/>
    <w:rsid w:val="00E43A17"/>
    <w:rsid w:val="00F0563C"/>
    <w:rsid w:val="00F24457"/>
    <w:rsid w:val="00FB5267"/>
    <w:rsid w:val="00FC7899"/>
    <w:rsid w:val="00FD1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E69A"/>
  <w15:chartTrackingRefBased/>
  <w15:docId w15:val="{D652D743-624C-4DFC-9FCC-34BC811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F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6F039D"/>
    <w:pPr>
      <w:tabs>
        <w:tab w:val="center" w:pos="4252"/>
        <w:tab w:val="right" w:pos="8504"/>
      </w:tabs>
      <w:spacing w:after="0" w:line="240" w:lineRule="auto"/>
    </w:pPr>
  </w:style>
  <w:style w:type="character" w:customStyle="1" w:styleId="RodapChar">
    <w:name w:val="Rodapé Char"/>
    <w:basedOn w:val="Fontepargpadro"/>
    <w:link w:val="Rodap"/>
    <w:uiPriority w:val="99"/>
    <w:rsid w:val="006F039D"/>
  </w:style>
  <w:style w:type="paragraph" w:styleId="PargrafodaLista">
    <w:name w:val="List Paragraph"/>
    <w:basedOn w:val="Normal"/>
    <w:uiPriority w:val="34"/>
    <w:qFormat/>
    <w:rsid w:val="00E43A17"/>
    <w:pPr>
      <w:ind w:left="720"/>
      <w:contextualSpacing/>
    </w:pPr>
  </w:style>
  <w:style w:type="paragraph" w:customStyle="1" w:styleId="Recitals">
    <w:name w:val="Recitals"/>
    <w:basedOn w:val="Normal"/>
    <w:rsid w:val="009E6A01"/>
    <w:pPr>
      <w:numPr>
        <w:numId w:val="2"/>
      </w:numPr>
      <w:spacing w:after="140" w:line="290" w:lineRule="auto"/>
      <w:jc w:val="both"/>
    </w:pPr>
    <w:rPr>
      <w:rFonts w:ascii="Tahoma" w:eastAsia="Times New Roman" w:hAnsi="Tahoma" w:cs="Times New Roman"/>
      <w:kern w:val="20"/>
      <w:sz w:val="20"/>
      <w:szCs w:val="24"/>
    </w:rPr>
  </w:style>
  <w:style w:type="paragraph" w:styleId="Textodebalo">
    <w:name w:val="Balloon Text"/>
    <w:basedOn w:val="Normal"/>
    <w:link w:val="TextodebaloChar"/>
    <w:uiPriority w:val="99"/>
    <w:semiHidden/>
    <w:unhideWhenUsed/>
    <w:rsid w:val="009B6A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A39"/>
    <w:rPr>
      <w:rFonts w:ascii="Segoe UI" w:hAnsi="Segoe UI" w:cs="Segoe UI"/>
      <w:sz w:val="18"/>
      <w:szCs w:val="18"/>
    </w:rPr>
  </w:style>
  <w:style w:type="paragraph" w:customStyle="1" w:styleId="Body">
    <w:name w:val="Body"/>
    <w:basedOn w:val="Normal"/>
    <w:link w:val="BodyCharChar"/>
    <w:rsid w:val="009B6A39"/>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9B6A39"/>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2418</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c:creator>
  <cp:keywords/>
  <dc:description/>
  <cp:lastModifiedBy>Bruno Gandolfo</cp:lastModifiedBy>
  <cp:revision>2</cp:revision>
  <dcterms:created xsi:type="dcterms:W3CDTF">2019-09-20T18:22:00Z</dcterms:created>
  <dcterms:modified xsi:type="dcterms:W3CDTF">2019-09-20T18:22:00Z</dcterms:modified>
</cp:coreProperties>
</file>