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913221">
        <w:rPr>
          <w:rFonts w:ascii="Garamond" w:hAnsi="Garamond"/>
          <w:sz w:val="24"/>
          <w:szCs w:val="24"/>
        </w:rPr>
        <w:t>outubro</w:t>
      </w:r>
      <w:r w:rsidR="00913221"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w:t>
      </w:r>
      <w:r w:rsidR="00913221">
        <w:rPr>
          <w:rFonts w:ascii="Garamond" w:hAnsi="Garamond" w:cs="Tahoma"/>
          <w:sz w:val="24"/>
          <w:szCs w:val="24"/>
        </w:rPr>
        <w:t xml:space="preserve">o </w:t>
      </w:r>
      <w:r w:rsidRPr="00450B2C">
        <w:rPr>
          <w:rFonts w:ascii="Garamond" w:hAnsi="Garamond" w:cs="Tahoma"/>
          <w:sz w:val="24"/>
          <w:szCs w:val="24"/>
        </w:rPr>
        <w:t xml:space="preserve">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xml:space="preserve">, na </w:t>
      </w:r>
      <w:r w:rsidRPr="00450B2C">
        <w:rPr>
          <w:rFonts w:ascii="Garamond" w:hAnsi="Garamond"/>
          <w:sz w:val="24"/>
          <w:szCs w:val="24"/>
        </w:rPr>
        <w:lastRenderedPageBreak/>
        <w:t>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r w:rsidRPr="0083407F">
        <w:rPr>
          <w:rFonts w:ascii="Garamond" w:hAnsi="Garamond" w:cs="Tahoma"/>
          <w:sz w:val="24"/>
          <w:szCs w:val="24"/>
          <w:u w:val="single"/>
        </w:rPr>
        <w:t>Duane</w:t>
      </w:r>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w:t>
      </w:r>
      <w:r w:rsidR="00781744">
        <w:rPr>
          <w:rFonts w:ascii="Garamond" w:hAnsi="Garamond" w:cs="Verdana"/>
          <w:color w:val="000000" w:themeColor="text1"/>
          <w:sz w:val="24"/>
          <w:szCs w:val="24"/>
        </w:rPr>
        <w:t> </w:t>
      </w:r>
      <w:r w:rsidR="00DE5CCE" w:rsidRPr="0083407F">
        <w:rPr>
          <w:rFonts w:ascii="Garamond" w:hAnsi="Garamond" w:cs="Verdana"/>
          <w:color w:val="000000" w:themeColor="text1"/>
          <w:sz w:val="24"/>
          <w:szCs w:val="24"/>
        </w:rPr>
        <w:t>(duas)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“Notisul” (“</w:t>
      </w:r>
      <w:r w:rsidR="00786557" w:rsidRPr="0083407F">
        <w:rPr>
          <w:rFonts w:ascii="Garamond" w:eastAsia="MS Mincho" w:hAnsi="Garamond" w:cs="Verdana"/>
          <w:sz w:val="24"/>
          <w:szCs w:val="24"/>
          <w:u w:val="single"/>
        </w:rPr>
        <w:t>Notisul</w:t>
      </w:r>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e, em conjunto com o Notisul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Duane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Duane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lastRenderedPageBreak/>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Jornais de Publicação da Duane</w:t>
      </w:r>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C32BF2">
        <w:rPr>
          <w:rFonts w:ascii="Garamond" w:hAnsi="Garamond"/>
          <w:bCs/>
          <w:sz w:val="24"/>
          <w:szCs w:val="24"/>
        </w:rPr>
        <w:t>outubro</w:t>
      </w:r>
      <w:r w:rsidR="00C32BF2"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w:t>
      </w:r>
      <w:r w:rsidR="0031188F">
        <w:rPr>
          <w:rFonts w:ascii="Garamond" w:hAnsi="Garamond"/>
          <w:bCs/>
          <w:sz w:val="24"/>
          <w:szCs w:val="24"/>
        </w:rPr>
        <w:t>na forma do disposto na Cláusula 4.20 da Escritura de Emissão</w:t>
      </w:r>
      <w:r w:rsidRPr="0083407F">
        <w:rPr>
          <w:rFonts w:ascii="Garamond" w:hAnsi="Garamond"/>
          <w:bCs/>
          <w:sz w:val="24"/>
          <w:szCs w:val="24"/>
        </w:rPr>
        <w:t>;</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w:t>
      </w:r>
      <w:r w:rsidR="00781744">
        <w:rPr>
          <w:rFonts w:ascii="Garamond" w:hAnsi="Garamond"/>
          <w:sz w:val="24"/>
          <w:szCs w:val="24"/>
        </w:rPr>
        <w:t> </w:t>
      </w:r>
      <w:r w:rsidR="00FC7F01" w:rsidRPr="0083407F">
        <w:rPr>
          <w:rFonts w:ascii="Garamond" w:hAnsi="Garamond"/>
          <w:sz w:val="24"/>
          <w:szCs w:val="24"/>
        </w:rPr>
        <w:t xml:space="preserve">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as garantias da Emissão de modo a prever apenas as garantias fidejussórias prestadas pela Iguá e pela Duane</w:t>
      </w:r>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C32BF2">
        <w:rPr>
          <w:rFonts w:ascii="Garamond" w:hAnsi="Garamond" w:cs="Verdana"/>
          <w:sz w:val="24"/>
          <w:szCs w:val="24"/>
        </w:rPr>
        <w:t xml:space="preserve">; </w:t>
      </w:r>
      <w:bookmarkStart w:id="4" w:name="_Hlk21097544"/>
      <w:r w:rsidR="00C32BF2">
        <w:rPr>
          <w:rFonts w:ascii="Garamond" w:hAnsi="Garamond" w:cs="Verdana"/>
          <w:sz w:val="24"/>
          <w:szCs w:val="24"/>
        </w:rPr>
        <w:t>(b.12) o modo de realização de pagamentos em decorrência de Evento de Vencimento Antecipado</w:t>
      </w:r>
      <w:bookmarkEnd w:id="4"/>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xml:space="preserve">) </w:t>
      </w:r>
      <w:r w:rsidR="00030412">
        <w:rPr>
          <w:rFonts w:ascii="Garamond" w:hAnsi="Garamond" w:cs="Verdana"/>
          <w:sz w:val="24"/>
          <w:szCs w:val="24"/>
        </w:rPr>
        <w:t>alterar a cláusula 4.20 da Escritura de Emissão, em razão do início da operação da Central de Balanços do Sistema Público de Escrituração Digital (SPED);</w:t>
      </w:r>
      <w:r w:rsidR="00030412" w:rsidRPr="0083407F">
        <w:rPr>
          <w:rFonts w:ascii="Garamond" w:hAnsi="Garamond" w:cs="Verdana"/>
          <w:sz w:val="24"/>
          <w:szCs w:val="24"/>
        </w:rPr>
        <w:t xml:space="preserve"> </w:t>
      </w:r>
      <w:r w:rsidR="00AF6AD6">
        <w:rPr>
          <w:rFonts w:ascii="Garamond" w:hAnsi="Garamond" w:cs="Verdana"/>
          <w:sz w:val="24"/>
          <w:szCs w:val="24"/>
        </w:rPr>
        <w:t xml:space="preserve">(d) </w:t>
      </w:r>
      <w:r w:rsidR="00030412" w:rsidRPr="00FD53B4">
        <w:rPr>
          <w:rFonts w:ascii="Garamond" w:hAnsi="Garamond" w:cs="Verdana"/>
          <w:sz w:val="24"/>
          <w:szCs w:val="24"/>
        </w:rPr>
        <w:lastRenderedPageBreak/>
        <w:t>excluir a cláusula 3.5.12 da Escritura de Emissão, em razão da obtenção da autorização do Poder Concedente para a realização da Emissão;</w:t>
      </w:r>
      <w:r w:rsidR="00030412">
        <w:rPr>
          <w:rFonts w:ascii="Garamond" w:hAnsi="Garamond" w:cs="Verdana"/>
          <w:sz w:val="24"/>
          <w:szCs w:val="24"/>
        </w:rPr>
        <w:t xml:space="preserve"> </w:t>
      </w:r>
      <w:r w:rsidR="00786557" w:rsidRPr="00317AE2">
        <w:rPr>
          <w:rFonts w:ascii="Garamond" w:hAnsi="Garamond" w:cs="Verdana"/>
          <w:sz w:val="24"/>
          <w:szCs w:val="24"/>
        </w:rPr>
        <w:t>(</w:t>
      </w:r>
      <w:r w:rsidR="00030412">
        <w:rPr>
          <w:rFonts w:ascii="Garamond" w:hAnsi="Garamond" w:cs="Verdana"/>
          <w:sz w:val="24"/>
          <w:szCs w:val="24"/>
        </w:rPr>
        <w:t>e</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ao Banco Depositário e à Integral – Trust Serviços Financeiros Ltda</w:t>
      </w:r>
      <w:r w:rsidR="00781744">
        <w:rPr>
          <w:rFonts w:ascii="Garamond" w:hAnsi="Garamond" w:cs="Verdana"/>
          <w:sz w:val="24"/>
          <w:szCs w:val="24"/>
        </w:rPr>
        <w:t>.</w:t>
      </w:r>
      <w:r w:rsidR="00437071">
        <w:rPr>
          <w:rFonts w:ascii="Garamond" w:hAnsi="Garamond" w:cs="Verdana"/>
          <w:sz w:val="24"/>
          <w:szCs w:val="24"/>
        </w:rPr>
        <w:t xml:space="preserve"> na Escritura de Emissão</w:t>
      </w:r>
      <w:r w:rsidR="000D10CF">
        <w:rPr>
          <w:rFonts w:ascii="Garamond" w:hAnsi="Garamond" w:cs="Verdana"/>
          <w:sz w:val="24"/>
          <w:szCs w:val="24"/>
        </w:rPr>
        <w:t>; (</w:t>
      </w:r>
      <w:r w:rsidR="00030412">
        <w:rPr>
          <w:rFonts w:ascii="Garamond" w:hAnsi="Garamond" w:cs="Verdana"/>
          <w:sz w:val="24"/>
          <w:szCs w:val="24"/>
        </w:rPr>
        <w:t>f</w:t>
      </w:r>
      <w:r w:rsidR="000D10CF">
        <w:rPr>
          <w:rFonts w:ascii="Garamond" w:hAnsi="Garamond" w:cs="Verdana"/>
          <w:sz w:val="24"/>
          <w:szCs w:val="24"/>
        </w:rPr>
        <w:t>)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30412">
        <w:rPr>
          <w:rFonts w:ascii="Garamond" w:hAnsi="Garamond" w:cs="Verdana"/>
          <w:sz w:val="24"/>
          <w:szCs w:val="24"/>
        </w:rPr>
        <w:t>g</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30412">
        <w:rPr>
          <w:rFonts w:ascii="Garamond" w:hAnsi="Garamond" w:cs="Tahoma"/>
          <w:sz w:val="24"/>
          <w:szCs w:val="24"/>
        </w:rPr>
        <w:t>h</w:t>
      </w:r>
      <w:r w:rsidR="007E46EA" w:rsidRPr="0083407F">
        <w:rPr>
          <w:rFonts w:ascii="Garamond" w:hAnsi="Garamond" w:cs="Tahoma"/>
          <w:sz w:val="24"/>
          <w:szCs w:val="24"/>
        </w:rPr>
        <w:t xml:space="preserve">) </w:t>
      </w:r>
      <w:bookmarkStart w:id="5"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5"/>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w:t>
      </w:r>
      <w:r w:rsidR="0031188F">
        <w:rPr>
          <w:rFonts w:ascii="Garamond" w:hAnsi="Garamond" w:cs="Tahoma"/>
          <w:sz w:val="24"/>
          <w:szCs w:val="24"/>
        </w:rPr>
        <w:t>na forma do disposto na Cláusula 4.20 da Escritura de Emissão</w:t>
      </w:r>
      <w:r w:rsidRPr="0083407F">
        <w:rPr>
          <w:rFonts w:ascii="Garamond" w:hAnsi="Garamond" w:cs="Tahoma"/>
          <w:sz w:val="24"/>
          <w:szCs w:val="24"/>
        </w:rPr>
        <w:t xml:space="preserve">.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913221">
        <w:rPr>
          <w:rFonts w:ascii="Garamond" w:hAnsi="Garamond" w:cs="Verdana"/>
          <w:i/>
          <w:iCs/>
          <w:sz w:val="24"/>
          <w:szCs w:val="24"/>
          <w:lang w:val="pt-BR"/>
        </w:rPr>
        <w:t>outubro</w:t>
      </w:r>
      <w:r w:rsidR="00913221"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xml:space="preserve">, cuja ata será registrada </w:t>
      </w:r>
      <w:r w:rsidR="003662E8" w:rsidRPr="0083407F">
        <w:rPr>
          <w:rFonts w:ascii="Garamond" w:hAnsi="Garamond" w:cs="Verdana"/>
          <w:i/>
          <w:iCs/>
          <w:sz w:val="24"/>
          <w:szCs w:val="24"/>
          <w:lang w:val="pt-BR"/>
        </w:rPr>
        <w:lastRenderedPageBreak/>
        <w:t>perante a JUCESC</w:t>
      </w:r>
      <w:r w:rsidRPr="0083407F">
        <w:rPr>
          <w:rFonts w:ascii="Garamond" w:hAnsi="Garamond" w:cs="Verdana"/>
          <w:i/>
          <w:iCs/>
          <w:sz w:val="24"/>
          <w:szCs w:val="24"/>
          <w:lang w:val="pt-BR"/>
        </w:rPr>
        <w:t>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(ii)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“Notisul”</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Notisul</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e, em conjunto com o Notisul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 xml:space="preserve">devidamente arquivada na JUCESC e publicada </w:t>
      </w:r>
      <w:r w:rsidR="0031188F" w:rsidRPr="0031188F">
        <w:rPr>
          <w:rFonts w:ascii="Garamond" w:hAnsi="Garamond" w:cs="Times New Roman"/>
          <w:i/>
          <w:sz w:val="24"/>
          <w:szCs w:val="24"/>
          <w:lang w:val="pt-BR"/>
        </w:rPr>
        <w:t xml:space="preserve">na forma do disposto na Cláusula 4.20 </w:t>
      </w:r>
      <w:r w:rsidR="0031188F">
        <w:rPr>
          <w:rFonts w:ascii="Garamond" w:hAnsi="Garamond" w:cs="Times New Roman"/>
          <w:i/>
          <w:sz w:val="24"/>
          <w:szCs w:val="24"/>
          <w:lang w:val="pt-BR"/>
        </w:rPr>
        <w:t>desta Escritura de Emissão</w:t>
      </w:r>
      <w:r w:rsidRPr="0083407F">
        <w:rPr>
          <w:rStyle w:val="CabealhoChar"/>
          <w:rFonts w:ascii="Garamond" w:eastAsia="MS Mincho" w:hAnsi="Garamond"/>
          <w:i/>
          <w:sz w:val="24"/>
          <w:szCs w:val="24"/>
        </w:rPr>
        <w:t>.</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pdf.) de seus </w:t>
      </w:r>
      <w:r w:rsidRPr="0083407F">
        <w:rPr>
          <w:rFonts w:ascii="Garamond" w:hAnsi="Garamond" w:cs="Times New Roman"/>
          <w:i/>
          <w:sz w:val="24"/>
          <w:szCs w:val="24"/>
          <w:lang w:val="pt-BR"/>
        </w:rPr>
        <w:lastRenderedPageBreak/>
        <w:t>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lastRenderedPageBreak/>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357334">
      <w:pPr>
        <w:pStyle w:val="Switzerland"/>
        <w:keepNext/>
        <w:keepLines/>
        <w:widowControl/>
        <w:spacing w:line="320" w:lineRule="exact"/>
        <w:ind w:left="851"/>
        <w:rPr>
          <w:rFonts w:ascii="Garamond" w:hAnsi="Garamond" w:cs="Verdana"/>
          <w:i/>
          <w:sz w:val="24"/>
          <w:szCs w:val="24"/>
          <w:lang w:val="pt-BR"/>
        </w:rPr>
      </w:pPr>
      <w:bookmarkStart w:id="8" w:name="_GoBack"/>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w:t>
      </w:r>
      <w:r w:rsidR="00603F67" w:rsidRPr="00983474">
        <w:rPr>
          <w:rFonts w:ascii="Garamond" w:hAnsi="Garamond" w:cs="Verdana"/>
          <w:i/>
          <w:sz w:val="24"/>
          <w:szCs w:val="24"/>
          <w:lang w:val="pt-BR"/>
        </w:rPr>
        <w:t>Cidade de São Paulo, Estado de São Paulo, na Avenida Brigadeiro Faria Lima, nº 3.311, 15º andar, Itaim Bibi, CEP 04.538-133, inscrita no CNPJ/ME sob o nº 15.114.366/0003-20</w:t>
      </w:r>
      <w:r w:rsidR="004F707F" w:rsidRPr="00502E14">
        <w:rPr>
          <w:rFonts w:ascii="Garamond" w:hAnsi="Garamond" w:cs="Verdana"/>
          <w:i/>
          <w:sz w:val="24"/>
          <w:szCs w:val="24"/>
          <w:lang w:val="pt-BR"/>
        </w:rPr>
        <w:t>,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bookmarkEnd w:id="8"/>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9" w:name="_Hlk13493905"/>
      <w:r w:rsidR="00694678" w:rsidRPr="00502E14">
        <w:rPr>
          <w:rFonts w:ascii="Garamond" w:hAnsi="Garamond" w:cs="Verdana"/>
          <w:sz w:val="24"/>
          <w:szCs w:val="24"/>
          <w:lang w:val="pt-BR"/>
        </w:rPr>
        <w:t>Tendo em vista a quitação da dívida da Emissora decorrente da Cédula de Crédito Bancário nº 00102/2013 celebrada em 2 de agosto de 2013, entre a Emissora e o Haitong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9"/>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781744">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lastRenderedPageBreak/>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781744">
      <w:pPr>
        <w:tabs>
          <w:tab w:val="left" w:pos="851"/>
        </w:tabs>
        <w:suppressAutoHyphens/>
        <w:spacing w:line="320" w:lineRule="exact"/>
        <w:ind w:left="851"/>
        <w:rPr>
          <w:rFonts w:ascii="Garamond" w:hAnsi="Garamond"/>
          <w:b/>
          <w:i/>
          <w:iCs/>
          <w:sz w:val="24"/>
          <w:szCs w:val="24"/>
        </w:rPr>
      </w:pPr>
    </w:p>
    <w:p w:rsidR="00835892" w:rsidRDefault="00835892" w:rsidP="00983474">
      <w:pPr>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98347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Garantias Fidejussórias</w:t>
      </w:r>
    </w:p>
    <w:p w:rsidR="00835892" w:rsidRPr="00835696" w:rsidRDefault="00835892" w:rsidP="0078174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10"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Duane, no preâmbulo qualificada, aceita a presente Escritura, na qualidade de Fiadora e principal pagadora do valor das Obrigações Garantidas da Segunda Série, renunciando expressamente aos benefícios dos artigos 364, 366, 368,821, 824, 827, 834, 835, 836, 837, 838, 839 e </w:t>
      </w:r>
      <w:r w:rsidRPr="00835696">
        <w:rPr>
          <w:rFonts w:ascii="Garamond" w:hAnsi="Garamond"/>
          <w:bCs/>
          <w:i/>
          <w:iCs/>
          <w:sz w:val="24"/>
          <w:szCs w:val="24"/>
        </w:rPr>
        <w:lastRenderedPageBreak/>
        <w:t>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1"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1"/>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2"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3"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4"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4"/>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lastRenderedPageBreak/>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10"/>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44927">
        <w:rPr>
          <w:rFonts w:ascii="Garamond" w:hAnsi="Garamond" w:cs="Verdana"/>
          <w:iCs/>
          <w:sz w:val="24"/>
          <w:szCs w:val="24"/>
          <w:lang w:val="pt-BR"/>
        </w:rPr>
        <w:t xml:space="preserve">de 60 (sessenta) meses contados da Data de Emissão para </w:t>
      </w:r>
      <w:r w:rsidR="000436D9" w:rsidRPr="00E44927">
        <w:rPr>
          <w:rFonts w:ascii="Garamond" w:hAnsi="Garamond" w:cs="Verdana"/>
          <w:iCs/>
          <w:sz w:val="24"/>
          <w:szCs w:val="24"/>
          <w:lang w:val="pt-BR"/>
        </w:rPr>
        <w:t>70</w:t>
      </w:r>
      <w:r w:rsidR="00026F0C" w:rsidRPr="00E44927">
        <w:rPr>
          <w:rFonts w:ascii="Garamond" w:hAnsi="Garamond" w:cs="Verdana"/>
          <w:iCs/>
          <w:sz w:val="24"/>
          <w:szCs w:val="24"/>
          <w:lang w:val="pt-BR"/>
        </w:rPr>
        <w:t xml:space="preserve"> (</w:t>
      </w:r>
      <w:r w:rsidR="000436D9" w:rsidRPr="00E44927">
        <w:rPr>
          <w:rFonts w:ascii="Garamond" w:hAnsi="Garamond" w:cs="Verdana"/>
          <w:iCs/>
          <w:sz w:val="24"/>
          <w:szCs w:val="24"/>
          <w:lang w:val="pt-BR"/>
        </w:rPr>
        <w:t>setenta</w:t>
      </w:r>
      <w:r w:rsidR="00026F0C" w:rsidRPr="00E44927">
        <w:rPr>
          <w:rFonts w:ascii="Garamond" w:hAnsi="Garamond" w:cs="Verdana"/>
          <w:iCs/>
          <w:sz w:val="24"/>
          <w:szCs w:val="24"/>
          <w:lang w:val="pt-BR"/>
        </w:rPr>
        <w:t>) meses da Data de Emissão e</w:t>
      </w:r>
      <w:r w:rsidR="00FE7634" w:rsidRPr="00E44927">
        <w:rPr>
          <w:rFonts w:ascii="Garamond" w:hAnsi="Garamond" w:cs="Verdana"/>
          <w:iCs/>
          <w:sz w:val="24"/>
          <w:szCs w:val="24"/>
          <w:lang w:val="pt-BR"/>
        </w:rPr>
        <w:t>, consequentemente,</w:t>
      </w:r>
      <w:r w:rsidR="00026F0C" w:rsidRPr="00E44927">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r w:rsidR="0095681D">
        <w:rPr>
          <w:rFonts w:ascii="Garamond" w:hAnsi="Garamond" w:cs="Verdana"/>
          <w:sz w:val="24"/>
          <w:szCs w:val="24"/>
          <w:lang w:val="pt-BR"/>
        </w:rPr>
        <w:t xml:space="preserve">outubro </w:t>
      </w:r>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sidR="0095681D">
        <w:rPr>
          <w:rFonts w:ascii="Garamond" w:hAnsi="Garamond" w:cs="Verdana"/>
          <w:i/>
          <w:sz w:val="24"/>
          <w:szCs w:val="24"/>
          <w:lang w:val="pt-BR"/>
        </w:rPr>
        <w:t>outubro</w:t>
      </w:r>
      <w:r w:rsidR="0095681D" w:rsidRPr="00CF22BD">
        <w:rPr>
          <w:rFonts w:ascii="Garamond" w:hAnsi="Garamond" w:cs="Verdana"/>
          <w:i/>
          <w:sz w:val="24"/>
          <w:szCs w:val="24"/>
          <w:lang w:val="pt-BR"/>
        </w:rPr>
        <w:t xml:space="preserve"> </w:t>
      </w:r>
      <w:r w:rsidRPr="00CF22BD">
        <w:rPr>
          <w:rFonts w:ascii="Garamond" w:hAnsi="Garamond" w:cs="Verdana"/>
          <w:i/>
          <w:sz w:val="24"/>
          <w:szCs w:val="24"/>
          <w:lang w:val="pt-BR"/>
        </w:rPr>
        <w:t>de 202</w:t>
      </w:r>
      <w:r w:rsidR="002E6782">
        <w:rPr>
          <w:rFonts w:ascii="Garamond" w:hAnsi="Garamond" w:cs="Verdana"/>
          <w:i/>
          <w:sz w:val="24"/>
          <w:szCs w:val="24"/>
          <w:lang w:val="pt-BR"/>
        </w:rPr>
        <w:t>4</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xml:space="preserve">: As Debêntures serão integralizadas à vista, no ato da subscrição e em moeda corrente nacional, durante o prazo de distribuição das Debêntures na forma dos artigos 7º-A e 8° da Instrução CVM 476, sendo </w:t>
      </w:r>
      <w:r w:rsidRPr="00B67DF8">
        <w:rPr>
          <w:rFonts w:ascii="Garamond" w:hAnsi="Garamond" w:cs="Verdana"/>
          <w:i/>
          <w:sz w:val="24"/>
          <w:szCs w:val="24"/>
          <w:lang w:val="pt-BR"/>
        </w:rPr>
        <w:lastRenderedPageBreak/>
        <w:t>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temporis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28 de outubro de 2019</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 xml:space="preserve">(ii)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2E6782">
        <w:rPr>
          <w:rFonts w:ascii="Garamond" w:hAnsi="Garamond" w:cs="Verdana"/>
          <w:i/>
          <w:sz w:val="24"/>
          <w:szCs w:val="24"/>
          <w:lang w:val="pt-BR"/>
        </w:rPr>
        <w:t xml:space="preserve"> </w:t>
      </w:r>
      <w:r w:rsidR="00026F0C" w:rsidRPr="00CF22BD">
        <w:rPr>
          <w:rFonts w:ascii="Garamond" w:hAnsi="Garamond" w:cs="Verdana"/>
          <w:i/>
          <w:sz w:val="24"/>
          <w:szCs w:val="24"/>
          <w:lang w:val="pt-BR"/>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do: (i)</w:t>
      </w:r>
      <w:r w:rsidR="00781744">
        <w:rPr>
          <w:rStyle w:val="CabealhoChar"/>
          <w:rFonts w:ascii="Garamond" w:hAnsi="Garamond"/>
          <w:i/>
          <w:sz w:val="24"/>
          <w:szCs w:val="24"/>
        </w:rPr>
        <w:t> </w:t>
      </w:r>
      <w:r w:rsidRPr="00CF22BD">
        <w:rPr>
          <w:rStyle w:val="CabealhoChar"/>
          <w:rFonts w:ascii="Garamond" w:hAnsi="Garamond"/>
          <w:i/>
          <w:sz w:val="24"/>
          <w:szCs w:val="24"/>
        </w:rPr>
        <w:t xml:space="preserve">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 xml:space="preserve">(ii) </w:t>
      </w:r>
      <w:r w:rsidRPr="00CF22BD">
        <w:rPr>
          <w:rFonts w:ascii="Garamond" w:hAnsi="Garamond"/>
          <w:bCs/>
          <w:i/>
          <w:sz w:val="24"/>
          <w:szCs w:val="24"/>
        </w:rPr>
        <w:t>vencimento antecipado das obrigações decorrentes das Debêntures, nos termos da Cláusula 6 desta Escritura, o Valor Nominal Unitário das Debêntures</w:t>
      </w:r>
      <w:r w:rsidR="00E13A87">
        <w:rPr>
          <w:rFonts w:ascii="Garamond" w:hAnsi="Garamond"/>
          <w:bCs/>
          <w:i/>
          <w:sz w:val="24"/>
          <w:szCs w:val="24"/>
        </w:rPr>
        <w:t xml:space="preserve"> </w:t>
      </w:r>
      <w:r w:rsidRPr="00CF22BD">
        <w:rPr>
          <w:rFonts w:ascii="Garamond" w:hAnsi="Garamond"/>
          <w:bCs/>
          <w:i/>
          <w:sz w:val="24"/>
          <w:szCs w:val="24"/>
        </w:rPr>
        <w:t xml:space="preserve">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275"/>
        <w:gridCol w:w="3607"/>
      </w:tblGrid>
      <w:tr w:rsidR="007E0D9A" w:rsidRPr="00CF22BD" w:rsidTr="0095681D">
        <w:trPr>
          <w:tblHeader/>
          <w:jc w:val="center"/>
        </w:trPr>
        <w:tc>
          <w:tcPr>
            <w:tcW w:w="757"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4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03" w:type="pct"/>
            <w:shd w:val="clear" w:color="auto" w:fill="E6E6E6"/>
            <w:vAlign w:val="center"/>
          </w:tcPr>
          <w:p w:rsidR="003D5D85" w:rsidRPr="00CF22BD" w:rsidRDefault="003D5D85" w:rsidP="009F320A">
            <w:pPr>
              <w:spacing w:after="0" w:line="320" w:lineRule="exact"/>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95681D">
        <w:trPr>
          <w:jc w:val="center"/>
        </w:trPr>
        <w:tc>
          <w:tcPr>
            <w:tcW w:w="757"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4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03" w:type="pct"/>
          </w:tcPr>
          <w:p w:rsidR="003D5D85" w:rsidRPr="00CF22BD" w:rsidRDefault="0095681D" w:rsidP="00CF22BD">
            <w:pPr>
              <w:spacing w:after="0" w:line="320" w:lineRule="exact"/>
              <w:ind w:left="851"/>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lastRenderedPageBreak/>
              <w:t>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42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48</w:t>
            </w:r>
          </w:p>
        </w:tc>
        <w:tc>
          <w:tcPr>
            <w:tcW w:w="1641" w:type="pct"/>
            <w:vAlign w:val="bottom"/>
          </w:tcPr>
          <w:p w:rsidR="0095681D" w:rsidRPr="00046CD8" w:rsidRDefault="0095681D" w:rsidP="0095681D">
            <w:pPr>
              <w:spacing w:after="0" w:line="320" w:lineRule="exact"/>
              <w:ind w:left="43"/>
              <w:jc w:val="center"/>
              <w:rPr>
                <w:rFonts w:ascii="Garamond" w:hAnsi="Garamond"/>
                <w:i/>
                <w:color w:val="000000"/>
                <w:sz w:val="24"/>
                <w:szCs w:val="24"/>
              </w:rPr>
            </w:pPr>
            <w:r>
              <w:rPr>
                <w:rFonts w:ascii="Garamond" w:hAnsi="Garamond" w:cs="Garamond"/>
                <w:i/>
                <w:color w:val="000000"/>
                <w:sz w:val="24"/>
                <w:szCs w:val="24"/>
              </w:rPr>
              <w:t>28 de setembro de 2024</w:t>
            </w:r>
          </w:p>
        </w:tc>
        <w:tc>
          <w:tcPr>
            <w:tcW w:w="2603" w:type="pct"/>
            <w:vAlign w:val="center"/>
          </w:tcPr>
          <w:p w:rsidR="0095681D" w:rsidRPr="00C14EBD" w:rsidRDefault="0095681D" w:rsidP="0095681D">
            <w:pPr>
              <w:spacing w:after="0" w:line="320" w:lineRule="exact"/>
              <w:ind w:left="58"/>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r>
              <w:rPr>
                <w:rFonts w:ascii="Garamond" w:hAnsi="Garamond"/>
                <w:i/>
                <w:color w:val="000000"/>
                <w:sz w:val="24"/>
                <w:szCs w:val="24"/>
              </w:rPr>
              <w:t>9</w:t>
            </w:r>
          </w:p>
        </w:tc>
        <w:tc>
          <w:tcPr>
            <w:tcW w:w="1641" w:type="pct"/>
            <w:vAlign w:val="bottom"/>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32BF2">
              <w:rPr>
                <w:rFonts w:ascii="Garamond" w:hAnsi="Garamond"/>
                <w:i/>
                <w:color w:val="000000"/>
                <w:sz w:val="24"/>
                <w:szCs w:val="24"/>
              </w:rPr>
              <w:t>2,04</w:t>
            </w:r>
            <w:r w:rsidR="00B57D2A" w:rsidRPr="00C32BF2">
              <w:rPr>
                <w:rFonts w:ascii="Garamond" w:hAnsi="Garamond"/>
                <w:i/>
                <w:color w:val="000000"/>
                <w:sz w:val="24"/>
                <w:szCs w:val="24"/>
              </w:rPr>
              <w:t>16</w:t>
            </w:r>
            <w:r w:rsidRPr="00C14EBD">
              <w:rPr>
                <w:rFonts w:ascii="Garamond" w:hAnsi="Garamond"/>
                <w:i/>
                <w:color w:val="000000"/>
                <w:sz w:val="24"/>
                <w:szCs w:val="24"/>
              </w:rPr>
              <w:t xml:space="preserve">% </w:t>
            </w:r>
          </w:p>
        </w:tc>
      </w:tr>
    </w:tbl>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Default="008E2B24"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030412" w:rsidRDefault="00030412" w:rsidP="00CF22BD">
      <w:pPr>
        <w:pStyle w:val="Switzerland"/>
        <w:widowControl/>
        <w:spacing w:line="320" w:lineRule="exact"/>
        <w:ind w:left="851"/>
        <w:rPr>
          <w:rFonts w:ascii="Garamond" w:hAnsi="Garamond" w:cs="Verdana"/>
          <w:i/>
          <w:sz w:val="24"/>
          <w:szCs w:val="24"/>
          <w:lang w:val="pt-BR"/>
        </w:rPr>
      </w:pPr>
    </w:p>
    <w:p w:rsidR="00030412" w:rsidRDefault="00030412" w:rsidP="005F6347">
      <w:pPr>
        <w:pStyle w:val="Switzerland"/>
        <w:widowControl/>
        <w:spacing w:line="320" w:lineRule="exact"/>
        <w:rPr>
          <w:rFonts w:ascii="Garamond" w:hAnsi="Garamond" w:cs="Verdana"/>
          <w:sz w:val="24"/>
          <w:szCs w:val="24"/>
          <w:lang w:val="pt-BR"/>
        </w:rPr>
      </w:pPr>
      <w:r w:rsidRPr="005F6347">
        <w:rPr>
          <w:rFonts w:ascii="Garamond" w:hAnsi="Garamond" w:cs="Verdana"/>
          <w:sz w:val="24"/>
          <w:szCs w:val="24"/>
          <w:lang w:val="pt-BR"/>
        </w:rPr>
        <w:t>2.1</w:t>
      </w:r>
      <w:r w:rsidR="005434E1" w:rsidRPr="005F6347">
        <w:rPr>
          <w:rFonts w:ascii="Garamond" w:hAnsi="Garamond" w:cs="Verdana"/>
          <w:sz w:val="24"/>
          <w:szCs w:val="24"/>
          <w:lang w:val="pt-BR"/>
        </w:rPr>
        <w:t>4.</w:t>
      </w:r>
      <w:r w:rsidR="005434E1">
        <w:rPr>
          <w:rFonts w:ascii="Garamond" w:hAnsi="Garamond" w:cs="Verdana"/>
          <w:sz w:val="24"/>
          <w:szCs w:val="24"/>
          <w:lang w:val="pt-BR"/>
        </w:rPr>
        <w:tab/>
        <w:t>As Partes resolvem alterar a redação da Cláusula 4.20 da Escritura de Emissão, em razão do início de operação da Central de Balanços do Sistema Público de Escrituração Digital (SPED), de modo que a referida cláusula passa a vigorar com a seguinte redação:</w:t>
      </w:r>
    </w:p>
    <w:p w:rsidR="005434E1" w:rsidRDefault="005434E1" w:rsidP="005F6347">
      <w:pPr>
        <w:pStyle w:val="Switzerland"/>
        <w:widowControl/>
        <w:spacing w:line="320" w:lineRule="exact"/>
        <w:rPr>
          <w:rFonts w:ascii="Garamond" w:hAnsi="Garamond" w:cs="Verdana"/>
          <w:sz w:val="24"/>
          <w:szCs w:val="24"/>
          <w:lang w:val="pt-BR"/>
        </w:rPr>
      </w:pPr>
    </w:p>
    <w:p w:rsidR="001563AD" w:rsidRDefault="005434E1">
      <w:pPr>
        <w:pStyle w:val="Switzerland"/>
        <w:widowControl/>
        <w:spacing w:line="320" w:lineRule="exact"/>
        <w:ind w:left="851"/>
        <w:rPr>
          <w:rFonts w:ascii="Garamond" w:hAnsi="Garamond" w:cs="Verdana"/>
          <w:i/>
          <w:sz w:val="24"/>
          <w:szCs w:val="24"/>
          <w:lang w:val="pt-BR"/>
        </w:rPr>
      </w:pPr>
      <w:r>
        <w:rPr>
          <w:rFonts w:ascii="Garamond" w:hAnsi="Garamond" w:cs="Verdana"/>
          <w:bCs/>
          <w:sz w:val="24"/>
          <w:szCs w:val="24"/>
          <w:lang w:val="pt-BR"/>
        </w:rPr>
        <w:t>“</w:t>
      </w:r>
      <w:r w:rsidR="004168F3" w:rsidRPr="005F6347">
        <w:rPr>
          <w:rFonts w:ascii="Garamond" w:hAnsi="Garamond" w:cs="Verdana"/>
          <w:i/>
          <w:sz w:val="24"/>
          <w:szCs w:val="24"/>
          <w:lang w:val="pt-BR"/>
        </w:rPr>
        <w:t>4.20</w:t>
      </w:r>
      <w:r w:rsidR="001563AD">
        <w:rPr>
          <w:rFonts w:ascii="Garamond" w:hAnsi="Garamond" w:cs="Verdana"/>
          <w:i/>
          <w:sz w:val="24"/>
          <w:szCs w:val="24"/>
          <w:lang w:val="pt-BR"/>
        </w:rPr>
        <w:t>.</w:t>
      </w:r>
      <w:r w:rsidR="004168F3" w:rsidRPr="005F6347">
        <w:rPr>
          <w:rFonts w:ascii="Garamond" w:hAnsi="Garamond" w:cs="Verdana"/>
          <w:i/>
          <w:sz w:val="24"/>
          <w:szCs w:val="24"/>
          <w:lang w:val="pt-BR"/>
        </w:rPr>
        <w:tab/>
      </w:r>
      <w:r w:rsidR="004168F3" w:rsidRPr="005F6347">
        <w:rPr>
          <w:rFonts w:ascii="Garamond" w:hAnsi="Garamond" w:cs="Verdana"/>
          <w:b/>
          <w:i/>
          <w:sz w:val="24"/>
          <w:szCs w:val="24"/>
          <w:lang w:val="pt-BR"/>
        </w:rPr>
        <w:t>Publicidade:</w:t>
      </w:r>
      <w:r w:rsidR="004168F3">
        <w:rPr>
          <w:rFonts w:ascii="Garamond" w:hAnsi="Garamond" w:cs="Verdana"/>
          <w:i/>
          <w:sz w:val="24"/>
          <w:szCs w:val="24"/>
          <w:lang w:val="pt-BR"/>
        </w:rPr>
        <w:t xml:space="preserve"> </w:t>
      </w:r>
    </w:p>
    <w:p w:rsidR="001563AD" w:rsidRDefault="001563AD">
      <w:pPr>
        <w:pStyle w:val="Switzerland"/>
        <w:widowControl/>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1. Até o início de operação da Central de Balanços do Sistema Público de Escrituração Digital (SPED) (“</w:t>
      </w:r>
      <w:r w:rsidRPr="005F6347">
        <w:rPr>
          <w:rFonts w:ascii="Garamond" w:hAnsi="Garamond" w:cs="Verdana"/>
          <w:i/>
          <w:sz w:val="24"/>
          <w:szCs w:val="24"/>
          <w:u w:val="single"/>
          <w:lang w:val="pt-BR"/>
        </w:rPr>
        <w:t>Central de Balanços</w:t>
      </w:r>
      <w:r w:rsidRPr="00A6465C">
        <w:rPr>
          <w:rFonts w:ascii="Garamond" w:hAnsi="Garamond" w:cs="Verdana"/>
          <w:i/>
          <w:sz w:val="24"/>
          <w:szCs w:val="24"/>
          <w:lang w:val="pt-BR"/>
        </w:rPr>
        <w:t>”), nos termos da Portaria do Ministério da Economia nº 529, de 26 de setembro de 2019 (“</w:t>
      </w:r>
      <w:r w:rsidRPr="005F6347">
        <w:rPr>
          <w:rFonts w:ascii="Garamond" w:hAnsi="Garamond" w:cs="Verdana"/>
          <w:i/>
          <w:sz w:val="24"/>
          <w:szCs w:val="24"/>
          <w:u w:val="single"/>
          <w:lang w:val="pt-BR"/>
        </w:rPr>
        <w:t>Portaria ME nº 529/19</w:t>
      </w:r>
      <w:r w:rsidRPr="005F6347">
        <w:rPr>
          <w:rFonts w:ascii="Garamond" w:hAnsi="Garamond" w:cs="Verdana"/>
          <w:i/>
          <w:sz w:val="24"/>
          <w:szCs w:val="24"/>
          <w:lang w:val="pt-BR"/>
        </w:rPr>
        <w:t>”), que regulamentou o disposto no artigo 289, § 4º da Lei das Sociedades por Ações, conforme redação que lhe foi conferida pela Medida Provisória nº 892, de 5 de agosto de 2019 (“</w:t>
      </w:r>
      <w:r w:rsidRPr="005F6347">
        <w:rPr>
          <w:rFonts w:ascii="Garamond" w:hAnsi="Garamond" w:cs="Verdana"/>
          <w:i/>
          <w:sz w:val="24"/>
          <w:szCs w:val="24"/>
          <w:u w:val="single"/>
          <w:lang w:val="pt-BR"/>
        </w:rPr>
        <w:t>Medida Provisória 892</w:t>
      </w:r>
      <w:r w:rsidRPr="005F6347">
        <w:rPr>
          <w:rFonts w:ascii="Garamond" w:hAnsi="Garamond" w:cs="Verdana"/>
          <w:i/>
          <w:sz w:val="24"/>
          <w:szCs w:val="24"/>
          <w:lang w:val="pt-BR"/>
        </w:rPr>
        <w:t>”), todos os atos e decisões a serem tomados decorrentes desta Emissão que, de qualquer forma, vierem a envolver interesses dos Debenturistas, deverão ser obrigatoriamente comunicados</w:t>
      </w:r>
      <w:r w:rsidRPr="00A6465C">
        <w:rPr>
          <w:rFonts w:ascii="Garamond" w:hAnsi="Garamond" w:cs="Verdana"/>
          <w:i/>
          <w:sz w:val="24"/>
          <w:szCs w:val="24"/>
          <w:lang w:val="pt-BR"/>
        </w:rPr>
        <w:t xml:space="preserve"> na forma de avisos (“</w:t>
      </w:r>
      <w:r w:rsidRPr="005F6347">
        <w:rPr>
          <w:rFonts w:ascii="Garamond" w:hAnsi="Garamond" w:cs="Verdana"/>
          <w:i/>
          <w:sz w:val="24"/>
          <w:szCs w:val="24"/>
          <w:u w:val="single"/>
          <w:lang w:val="pt-BR"/>
        </w:rPr>
        <w:t>Aviso aos Debenturistas</w:t>
      </w:r>
      <w:r w:rsidRPr="00A6465C">
        <w:rPr>
          <w:rFonts w:ascii="Garamond" w:hAnsi="Garamond" w:cs="Verdana"/>
          <w:i/>
          <w:sz w:val="24"/>
          <w:szCs w:val="24"/>
          <w:lang w:val="pt-BR"/>
        </w:rPr>
        <w:t>”) no</w:t>
      </w:r>
      <w:r>
        <w:rPr>
          <w:rFonts w:ascii="Garamond" w:hAnsi="Garamond" w:cs="Verdana"/>
          <w:i/>
          <w:sz w:val="24"/>
          <w:szCs w:val="24"/>
          <w:lang w:val="pt-BR"/>
        </w:rPr>
        <w:t>s Jornais de Publicação da Emissora</w:t>
      </w:r>
      <w:r w:rsidRPr="00A6465C">
        <w:rPr>
          <w:rFonts w:ascii="Garamond" w:hAnsi="Garamond" w:cs="Verdana"/>
          <w:i/>
          <w:sz w:val="24"/>
          <w:szCs w:val="24"/>
          <w:lang w:val="pt-BR"/>
        </w:rPr>
        <w:t>, bem como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xml:space="preserve">), sendo certo que, caso a Emissora altere seu jornal de publicação após a Data de Emissão, deverá enviar notificação ao Agente Fiduciário </w:t>
      </w:r>
      <w:r w:rsidRPr="00A6465C">
        <w:rPr>
          <w:rFonts w:ascii="Garamond" w:hAnsi="Garamond" w:cs="Verdana"/>
          <w:i/>
          <w:sz w:val="24"/>
          <w:szCs w:val="24"/>
          <w:lang w:val="pt-BR"/>
        </w:rPr>
        <w:lastRenderedPageBreak/>
        <w:t>informando o novo veículo para divulgação de suas informações.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 xml:space="preserve">.2. Após o início de operação da Central de </w:t>
      </w:r>
      <w:r w:rsidRPr="005F6347">
        <w:rPr>
          <w:rFonts w:ascii="Garamond" w:hAnsi="Garamond" w:cs="Verdana"/>
          <w:i/>
          <w:sz w:val="24"/>
          <w:szCs w:val="24"/>
          <w:lang w:val="pt-BR"/>
        </w:rPr>
        <w:t>Balanços e enquanto a Medida Provisória 892 estiver em vigor e/ou for convertida em lei, todos os atos e decisões a serem tomados decorrentes desta Emissão que, de qualquer forma, vierem</w:t>
      </w:r>
      <w:r w:rsidRPr="00A6465C">
        <w:rPr>
          <w:rFonts w:ascii="Garamond" w:hAnsi="Garamond" w:cs="Verdana"/>
          <w:i/>
          <w:sz w:val="24"/>
          <w:szCs w:val="24"/>
          <w:lang w:val="pt-BR"/>
        </w:rPr>
        <w:t xml:space="preserve"> a envolver interesses dos Debenturistas, deverão ser comunicados na forma de Aviso aos Debenturistas, exclusivamente na referida Central de Balanços e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5434E1" w:rsidRPr="005F6347" w:rsidRDefault="00A6465C" w:rsidP="005F6347">
      <w:pPr>
        <w:pStyle w:val="Switzerland"/>
        <w:widowControl/>
        <w:tabs>
          <w:tab w:val="left" w:pos="1560"/>
        </w:tabs>
        <w:spacing w:line="320" w:lineRule="exact"/>
        <w:ind w:left="851"/>
        <w:rPr>
          <w:rFonts w:ascii="Garamond" w:hAnsi="Garamond" w:cs="Verdana"/>
          <w:bCs/>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.3. Sem prejuízo do disposto nas Cláusulas 4.</w:t>
      </w:r>
      <w:r>
        <w:rPr>
          <w:rFonts w:ascii="Garamond" w:hAnsi="Garamond" w:cs="Verdana"/>
          <w:i/>
          <w:sz w:val="24"/>
          <w:szCs w:val="24"/>
          <w:lang w:val="pt-BR"/>
        </w:rPr>
        <w:t>20</w:t>
      </w:r>
      <w:r w:rsidRPr="00A6465C">
        <w:rPr>
          <w:rFonts w:ascii="Garamond" w:hAnsi="Garamond" w:cs="Verdana"/>
          <w:i/>
          <w:sz w:val="24"/>
          <w:szCs w:val="24"/>
          <w:lang w:val="pt-BR"/>
        </w:rPr>
        <w:t>.1 e 4.</w:t>
      </w:r>
      <w:r>
        <w:rPr>
          <w:rFonts w:ascii="Garamond" w:hAnsi="Garamond" w:cs="Verdana"/>
          <w:i/>
          <w:sz w:val="24"/>
          <w:szCs w:val="24"/>
          <w:lang w:val="pt-BR"/>
        </w:rPr>
        <w:t>20</w:t>
      </w:r>
      <w:r w:rsidRPr="00A6465C">
        <w:rPr>
          <w:rFonts w:ascii="Garamond" w:hAnsi="Garamond" w:cs="Verdana"/>
          <w:i/>
          <w:sz w:val="24"/>
          <w:szCs w:val="24"/>
          <w:lang w:val="pt-BR"/>
        </w:rPr>
        <w:t>.2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004168F3">
        <w:rPr>
          <w:rFonts w:ascii="Garamond" w:hAnsi="Garamond" w:cs="Verdana"/>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9C11B6"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sidR="00B5277E" w:rsidRPr="0083407F">
        <w:rPr>
          <w:rFonts w:ascii="Garamond" w:hAnsi="Garamond" w:cs="Verdana"/>
          <w:sz w:val="24"/>
          <w:szCs w:val="24"/>
          <w:lang w:val="pt-BR"/>
        </w:rPr>
        <w:t xml:space="preserve">As Partes resolvem alterar </w:t>
      </w:r>
      <w:bookmarkStart w:id="15" w:name="_Hlk21097590"/>
      <w:r w:rsidR="00B5277E" w:rsidRPr="0083407F">
        <w:rPr>
          <w:rFonts w:ascii="Garamond" w:hAnsi="Garamond" w:cs="Verdana"/>
          <w:sz w:val="24"/>
          <w:szCs w:val="24"/>
          <w:lang w:val="pt-BR"/>
        </w:rPr>
        <w:t>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6.1 e 6.6</w:t>
      </w:r>
      <w:r w:rsidR="00B5277E" w:rsidRPr="0083407F">
        <w:rPr>
          <w:rFonts w:ascii="Garamond" w:hAnsi="Garamond" w:cs="Verdana"/>
          <w:sz w:val="24"/>
          <w:szCs w:val="24"/>
          <w:lang w:val="pt-BR"/>
        </w:rPr>
        <w:t xml:space="preserve"> da Escritura de Emissão</w:t>
      </w:r>
      <w:r w:rsidR="00B5277E">
        <w:rPr>
          <w:rFonts w:ascii="Garamond" w:hAnsi="Garamond" w:cs="Verdana"/>
          <w:sz w:val="24"/>
          <w:szCs w:val="24"/>
          <w:lang w:val="pt-BR"/>
        </w:rPr>
        <w:t xml:space="preserve"> para prever que </w:t>
      </w:r>
      <w:r w:rsidR="00C32BF2">
        <w:rPr>
          <w:rFonts w:ascii="Garamond" w:hAnsi="Garamond" w:cs="Verdana"/>
          <w:sz w:val="24"/>
          <w:szCs w:val="24"/>
          <w:lang w:val="pt-BR"/>
        </w:rPr>
        <w:t>qualquer</w:t>
      </w:r>
      <w:r w:rsidR="00B5277E">
        <w:rPr>
          <w:rFonts w:ascii="Garamond" w:hAnsi="Garamond" w:cs="Verdana"/>
          <w:sz w:val="24"/>
          <w:szCs w:val="24"/>
          <w:lang w:val="pt-BR"/>
        </w:rPr>
        <w:t xml:space="preserve"> pagamento e</w:t>
      </w:r>
      <w:r w:rsidR="00B5277E" w:rsidRPr="00983474">
        <w:rPr>
          <w:rFonts w:ascii="Garamond" w:hAnsi="Garamond"/>
          <w:sz w:val="24"/>
          <w:szCs w:val="24"/>
          <w:lang w:val="pt-BR"/>
        </w:rPr>
        <w:t>m decorrência de Evento de Vencimento Antecipado, automático ou não</w:t>
      </w:r>
      <w:r w:rsidR="00913221">
        <w:rPr>
          <w:rFonts w:ascii="Garamond" w:hAnsi="Garamond"/>
          <w:sz w:val="24"/>
          <w:szCs w:val="24"/>
          <w:lang w:val="pt-BR"/>
        </w:rPr>
        <w:t>,</w:t>
      </w:r>
      <w:r w:rsidR="00B5277E" w:rsidRPr="00983474">
        <w:rPr>
          <w:rFonts w:ascii="Garamond" w:hAnsi="Garamond"/>
          <w:sz w:val="24"/>
          <w:szCs w:val="24"/>
          <w:lang w:val="pt-BR"/>
        </w:rPr>
        <w:t xml:space="preserve"> deverá ocorrer no ambiente B3</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passando</w:t>
      </w:r>
      <w:r w:rsidR="00B5277E" w:rsidRPr="0083407F">
        <w:rPr>
          <w:rFonts w:ascii="Garamond" w:hAnsi="Garamond" w:cs="Verdana"/>
          <w:sz w:val="24"/>
          <w:szCs w:val="24"/>
          <w:lang w:val="pt-BR"/>
        </w:rPr>
        <w:t xml:space="preserve"> 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referida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 a vigorar com a seguinte redação</w:t>
      </w:r>
      <w:bookmarkEnd w:id="15"/>
      <w:r w:rsidR="00B5277E" w:rsidRPr="0083407F">
        <w:rPr>
          <w:rFonts w:ascii="Garamond" w:hAnsi="Garamond" w:cs="Verdana"/>
          <w:sz w:val="24"/>
          <w:szCs w:val="24"/>
          <w:lang w:val="pt-BR"/>
        </w:rPr>
        <w:t>:</w:t>
      </w:r>
    </w:p>
    <w:p w:rsidR="00B5277E" w:rsidRDefault="00B5277E" w:rsidP="00CF22BD">
      <w:pPr>
        <w:pStyle w:val="Switzerland"/>
        <w:widowControl/>
        <w:spacing w:line="320" w:lineRule="exact"/>
        <w:rPr>
          <w:rFonts w:ascii="Garamond" w:hAnsi="Garamond" w:cs="Verdana"/>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bookmarkStart w:id="16" w:name="_Hlk21097601"/>
      <w:r>
        <w:rPr>
          <w:rFonts w:ascii="Garamond" w:hAnsi="Garamond" w:cs="Verdana"/>
          <w:i/>
          <w:sz w:val="24"/>
          <w:szCs w:val="24"/>
          <w:lang w:val="pt-BR"/>
        </w:rPr>
        <w:t>“</w:t>
      </w:r>
      <w:r w:rsidRPr="00E44927">
        <w:rPr>
          <w:rFonts w:ascii="Garamond" w:hAnsi="Garamond" w:cs="Verdana"/>
          <w:i/>
          <w:sz w:val="24"/>
          <w:szCs w:val="24"/>
          <w:lang w:val="pt-BR"/>
        </w:rPr>
        <w:t>6.1.</w:t>
      </w:r>
      <w:r w:rsidRPr="00E44927">
        <w:rPr>
          <w:rFonts w:ascii="Garamond" w:hAnsi="Garamond" w:cs="Verdana"/>
          <w:i/>
          <w:sz w:val="24"/>
          <w:szCs w:val="24"/>
          <w:lang w:val="pt-BR"/>
        </w:rPr>
        <w:tab/>
        <w:t>Sujeito ao disposto nas Cláusulas 6.1.1. e 6.1.2. abaixo, mediante ciência da ocorrência de uma das seguintes hipóteses (cada uma, um “Evento de Inadimplemento”),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pro rata temporis 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no âmbito da B3.</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Pr="00E44927" w:rsidRDefault="00B5277E" w:rsidP="00E44927">
      <w:pPr>
        <w:pStyle w:val="Switzerland"/>
        <w:widowControl/>
        <w:spacing w:line="320" w:lineRule="exact"/>
        <w:ind w:left="851"/>
        <w:rPr>
          <w:rFonts w:ascii="Garamond" w:hAnsi="Garamond" w:cs="Verdana"/>
          <w:i/>
          <w:sz w:val="24"/>
          <w:szCs w:val="24"/>
          <w:lang w:val="pt-BR"/>
        </w:rPr>
      </w:pPr>
      <w:r w:rsidRPr="00E44927">
        <w:rPr>
          <w:rFonts w:ascii="Garamond" w:hAnsi="Garamond" w:cs="Verdana"/>
          <w:i/>
          <w:sz w:val="24"/>
          <w:szCs w:val="24"/>
          <w:lang w:val="pt-BR"/>
        </w:rPr>
        <w:t>6.6.</w:t>
      </w:r>
      <w:r w:rsidRPr="00E44927">
        <w:rPr>
          <w:rFonts w:ascii="Garamond" w:hAnsi="Garamond" w:cs="Verdana"/>
          <w:i/>
          <w:sz w:val="24"/>
          <w:szCs w:val="24"/>
          <w:lang w:val="pt-BR"/>
        </w:rPr>
        <w:tab/>
        <w:t>O pagamento dos valores devidos pela Emissora e Fiadoras em decorrência de Evento de Vencimento Antecipado, automático ou não</w:t>
      </w:r>
      <w:r w:rsidR="00913221">
        <w:rPr>
          <w:rFonts w:ascii="Garamond" w:hAnsi="Garamond" w:cs="Verdana"/>
          <w:i/>
          <w:sz w:val="24"/>
          <w:szCs w:val="24"/>
          <w:lang w:val="pt-BR"/>
        </w:rPr>
        <w:t>,</w:t>
      </w:r>
      <w:r w:rsidRPr="00E44927">
        <w:rPr>
          <w:rFonts w:ascii="Garamond" w:hAnsi="Garamond" w:cs="Verdana"/>
          <w:i/>
          <w:sz w:val="24"/>
          <w:szCs w:val="24"/>
          <w:lang w:val="pt-BR"/>
        </w:rPr>
        <w:t xml:space="preserve"> dever</w:t>
      </w:r>
      <w:r>
        <w:rPr>
          <w:rFonts w:ascii="Garamond" w:hAnsi="Garamond" w:cs="Verdana"/>
          <w:i/>
          <w:sz w:val="24"/>
          <w:szCs w:val="24"/>
          <w:lang w:val="pt-BR"/>
        </w:rPr>
        <w:t>á</w:t>
      </w:r>
      <w:r w:rsidRPr="00E44927">
        <w:rPr>
          <w:rFonts w:ascii="Garamond" w:hAnsi="Garamond" w:cs="Verdana"/>
          <w:i/>
          <w:sz w:val="24"/>
          <w:szCs w:val="24"/>
          <w:lang w:val="pt-BR"/>
        </w:rPr>
        <w:t xml:space="preserve"> ocorrer no ambiente B3. A B3 deverá ser comunicada imediatamente após a declaração do vencimento antecipado e com antecedência mínima de 3 (três) Dias Úteis contados da data de realização do pagamento em decorrência de Evento de Vencimento Antecipado</w:t>
      </w:r>
      <w:r>
        <w:rPr>
          <w:rFonts w:ascii="Garamond" w:hAnsi="Garamond" w:cs="Verdana"/>
          <w:i/>
          <w:sz w:val="24"/>
          <w:szCs w:val="24"/>
          <w:lang w:val="pt-BR"/>
        </w:rPr>
        <w:t>.”</w:t>
      </w:r>
      <w:bookmarkEnd w:id="16"/>
    </w:p>
    <w:p w:rsidR="00B5277E" w:rsidRDefault="00B5277E" w:rsidP="00CF22BD">
      <w:pPr>
        <w:pStyle w:val="Switzerland"/>
        <w:widowControl/>
        <w:spacing w:line="320" w:lineRule="exact"/>
        <w:rPr>
          <w:rFonts w:ascii="Garamond" w:hAnsi="Garamond" w:cs="Verdana"/>
          <w:sz w:val="24"/>
          <w:szCs w:val="24"/>
          <w:lang w:val="pt-BR"/>
        </w:rPr>
      </w:pPr>
    </w:p>
    <w:p w:rsidR="003E3F5C" w:rsidRPr="009A4DCA" w:rsidRDefault="009C11B6"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2.15</w:t>
      </w:r>
      <w:r>
        <w:rPr>
          <w:rFonts w:ascii="Garamond" w:hAnsi="Garamond" w:cs="Verdana"/>
          <w:sz w:val="24"/>
          <w:szCs w:val="24"/>
          <w:lang w:val="pt-BR"/>
        </w:rPr>
        <w:tab/>
      </w:r>
      <w:r w:rsidR="003E3F5C">
        <w:rPr>
          <w:rFonts w:ascii="Garamond" w:hAnsi="Garamond" w:cs="Verdana"/>
          <w:sz w:val="24"/>
          <w:szCs w:val="24"/>
          <w:lang w:val="pt-BR"/>
        </w:rPr>
        <w:t>Em razão da desconstituição da Cessão Fiduciária, a</w:t>
      </w:r>
      <w:r w:rsidR="003E3F5C" w:rsidRPr="0083407F">
        <w:rPr>
          <w:rFonts w:ascii="Garamond" w:hAnsi="Garamond" w:cs="Verdana"/>
          <w:sz w:val="24"/>
          <w:szCs w:val="24"/>
          <w:lang w:val="pt-BR"/>
        </w:rPr>
        <w:t xml:space="preserve">s Partes resolvem </w:t>
      </w:r>
      <w:r w:rsidR="003E3F5C">
        <w:rPr>
          <w:rFonts w:ascii="Garamond" w:hAnsi="Garamond" w:cs="Verdana"/>
          <w:sz w:val="24"/>
          <w:szCs w:val="24"/>
          <w:lang w:val="pt-BR"/>
        </w:rPr>
        <w:t xml:space="preserve">excluir todas as menções à Cessão Fiduciária e Contrato de Cessão Fiduciária previstas na Cláusula 6.1.1, alíneas (vii), (viii) e </w:t>
      </w:r>
      <w:r w:rsidR="00037011">
        <w:rPr>
          <w:rFonts w:ascii="Garamond" w:hAnsi="Garamond" w:cs="Verdana"/>
          <w:sz w:val="24"/>
          <w:szCs w:val="24"/>
          <w:lang w:val="pt-BR"/>
        </w:rPr>
        <w:t xml:space="preserve">antiga alínea </w:t>
      </w:r>
      <w:r w:rsidR="003E3F5C">
        <w:rPr>
          <w:rFonts w:ascii="Garamond" w:hAnsi="Garamond" w:cs="Verdana"/>
          <w:sz w:val="24"/>
          <w:szCs w:val="24"/>
          <w:lang w:val="pt-BR"/>
        </w:rPr>
        <w:t>(xiii) da Escritura de Emissão, excluir a hipótese de vencimento antecipado automático previsto na Cláusula 6.1.1, alínea (xii) e renumerar as alíneas subsequentes, que passam</w:t>
      </w:r>
      <w:r w:rsidR="003E3F5C" w:rsidRPr="0083407F">
        <w:rPr>
          <w:rFonts w:ascii="Garamond" w:hAnsi="Garamond" w:cs="Verdana"/>
          <w:sz w:val="24"/>
          <w:szCs w:val="24"/>
          <w:lang w:val="pt-BR"/>
        </w:rPr>
        <w:t xml:space="preserve"> a vigorar com a seguinte redação:</w:t>
      </w:r>
      <w:r w:rsidR="003E3F5C">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(viii)</w:t>
      </w:r>
      <w:r w:rsidRPr="003E3F5C">
        <w:rPr>
          <w:rFonts w:ascii="Garamond" w:hAnsi="Garamond" w:cs="Verdana"/>
          <w:i/>
          <w:sz w:val="24"/>
          <w:szCs w:val="24"/>
          <w:lang w:val="pt-BR"/>
        </w:rPr>
        <w:tab/>
      </w:r>
      <w:bookmarkStart w:id="17"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7"/>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 xml:space="preserve">(xii)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8" w:name="_Hlk532994768"/>
      <w:r w:rsidRPr="00835696">
        <w:rPr>
          <w:rFonts w:ascii="Garamond" w:hAnsi="Garamond" w:cs="Verdana"/>
          <w:i/>
          <w:sz w:val="24"/>
          <w:szCs w:val="24"/>
          <w:lang w:val="pt-BR"/>
        </w:rPr>
        <w:t>exceto (i)</w:t>
      </w:r>
      <w:r w:rsidR="00781744">
        <w:rPr>
          <w:rFonts w:ascii="Garamond" w:hAnsi="Garamond" w:cs="Verdana"/>
          <w:i/>
          <w:sz w:val="24"/>
          <w:szCs w:val="24"/>
          <w:lang w:val="pt-BR"/>
        </w:rPr>
        <w:t> </w:t>
      </w:r>
      <w:r w:rsidRPr="00835696">
        <w:rPr>
          <w:rFonts w:ascii="Garamond" w:hAnsi="Garamond" w:cs="Verdana"/>
          <w:i/>
          <w:sz w:val="24"/>
          <w:szCs w:val="24"/>
          <w:lang w:val="pt-BR"/>
        </w:rPr>
        <w:t>se não for revertida no prazo máximo de 15 (quinze) Dias Úteis contado da sua ocorrência</w:t>
      </w:r>
      <w:bookmarkEnd w:id="18"/>
      <w:r w:rsidRPr="00835696">
        <w:rPr>
          <w:rFonts w:ascii="Garamond" w:hAnsi="Garamond" w:cs="Verdana"/>
          <w:i/>
          <w:sz w:val="24"/>
          <w:szCs w:val="24"/>
          <w:lang w:val="pt-BR"/>
        </w:rPr>
        <w:t>; ou (ii)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(xiii)</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9" w:name="_Hlk528857223"/>
      <w:r w:rsidR="00C413EB" w:rsidRPr="00C413EB">
        <w:rPr>
          <w:rFonts w:ascii="Garamond" w:hAnsi="Garamond" w:cs="Verdana"/>
          <w:i/>
          <w:sz w:val="24"/>
          <w:szCs w:val="24"/>
          <w:lang w:val="pt-BR"/>
        </w:rPr>
        <w:t xml:space="preserve">Prestação de Serviço Público de Abastecimento de Água e Esgoto </w:t>
      </w:r>
      <w:bookmarkEnd w:id="19"/>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 xml:space="preserve">excluir todas as menções à Cessão Fiduciária e Contrato de Cessão Fiduciária previstas na Cláusula 6.1.2, alíneas (iii) e (xv);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(ii)</w:t>
      </w:r>
      <w:r w:rsidR="00781744">
        <w:rPr>
          <w:rFonts w:ascii="Garamond" w:hAnsi="Garamond" w:cs="Verdana"/>
          <w:sz w:val="24"/>
          <w:szCs w:val="24"/>
          <w:lang w:val="pt-BR"/>
        </w:rPr>
        <w:t> </w:t>
      </w:r>
      <w:r w:rsidR="005A368E">
        <w:rPr>
          <w:rFonts w:ascii="Garamond" w:hAnsi="Garamond" w:cs="Verdana"/>
          <w:sz w:val="24"/>
          <w:szCs w:val="24"/>
          <w:lang w:val="pt-BR"/>
        </w:rPr>
        <w:t xml:space="preserve">ajustar a obrigação prevista na Cláusula 7.1.1, alínea (j) para excluir a obrigação de manter contratados o Banco Depositário e a Integral – Trust Serviços Financeiros Ltda, </w:t>
      </w:r>
      <w:r w:rsidR="005A368E">
        <w:rPr>
          <w:rFonts w:ascii="Garamond" w:hAnsi="Garamond" w:cs="Verdana"/>
          <w:sz w:val="24"/>
          <w:szCs w:val="24"/>
          <w:lang w:val="pt-BR"/>
        </w:rPr>
        <w:lastRenderedPageBreak/>
        <w:t xml:space="preserve">na qualidade de agente de garantia; e </w:t>
      </w:r>
      <w:r w:rsidR="0090616E">
        <w:rPr>
          <w:rFonts w:ascii="Garamond" w:hAnsi="Garamond" w:cs="Verdana"/>
          <w:sz w:val="24"/>
          <w:szCs w:val="24"/>
          <w:lang w:val="pt-BR"/>
        </w:rPr>
        <w:t>(</w:t>
      </w:r>
      <w:r w:rsidR="005A368E">
        <w:rPr>
          <w:rFonts w:ascii="Garamond" w:hAnsi="Garamond" w:cs="Verdana"/>
          <w:sz w:val="24"/>
          <w:szCs w:val="24"/>
          <w:lang w:val="pt-BR"/>
        </w:rPr>
        <w:t>i</w:t>
      </w:r>
      <w:r w:rsidR="0090616E">
        <w:rPr>
          <w:rFonts w:ascii="Garamond" w:hAnsi="Garamond" w:cs="Verdana"/>
          <w:sz w:val="24"/>
          <w:szCs w:val="24"/>
          <w:lang w:val="pt-BR"/>
        </w:rPr>
        <w:t xml:space="preserve">ii)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r>
        <w:rPr>
          <w:rFonts w:ascii="Garamond" w:hAnsi="Garamond" w:cs="Verdana"/>
          <w:i/>
          <w:sz w:val="24"/>
          <w:szCs w:val="24"/>
          <w:lang w:val="pt-BR"/>
        </w:rPr>
        <w:t>i</w:t>
      </w:r>
      <w:r w:rsidRPr="003E3F5C">
        <w:rPr>
          <w:rFonts w:ascii="Garamond" w:hAnsi="Garamond" w:cs="Verdana"/>
          <w:i/>
          <w:sz w:val="24"/>
          <w:szCs w:val="24"/>
          <w:lang w:val="pt-BR"/>
        </w:rPr>
        <w:t>ii)</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(xv)</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Agente de Liquidação e o Escriturador</w:t>
      </w:r>
      <w:r w:rsidRPr="0090616E">
        <w:rPr>
          <w:rFonts w:ascii="Garamond" w:hAnsi="Garamond" w:cs="Verdana"/>
          <w:i/>
          <w:sz w:val="24"/>
          <w:szCs w:val="24"/>
          <w:lang w:val="pt-BR"/>
        </w:rPr>
        <w:t xml:space="preserve">; (ii)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 xml:space="preserve">(iii)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 xml:space="preserve">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lastRenderedPageBreak/>
        <w:t>bb</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xml:space="preserve">, conforme o caso, dos investidores procurados no âmbito da Oferta, bem como (ii)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dd</w:t>
      </w:r>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ee</w:t>
      </w:r>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20" w:name="_Hlk19543349"/>
      <w:r w:rsidRPr="0090616E">
        <w:rPr>
          <w:rFonts w:ascii="Garamond" w:hAnsi="Garamond" w:cs="Verdana"/>
          <w:i/>
          <w:sz w:val="24"/>
          <w:szCs w:val="24"/>
          <w:lang w:val="pt-BR"/>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w:t>
      </w:r>
      <w:r w:rsidRPr="0090616E">
        <w:rPr>
          <w:rFonts w:ascii="Garamond" w:hAnsi="Garamond" w:cs="Verdana"/>
          <w:i/>
          <w:sz w:val="24"/>
          <w:szCs w:val="24"/>
          <w:lang w:val="pt-BR"/>
        </w:rPr>
        <w:lastRenderedPageBreak/>
        <w:t>atividades lesivas à administração pública, nacional ou estrangeira; e (iii) caso tenha conhecimento de qualquer ato ou fato que viole aludidas normas, a comunicação imediata ao Agente Fiduciário, que poderá tomar todas as providências que entender necessárias</w:t>
      </w:r>
      <w:bookmarkEnd w:id="20"/>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gg</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hh</w:t>
      </w:r>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r>
        <w:rPr>
          <w:rFonts w:ascii="Garamond" w:hAnsi="Garamond" w:cs="Verdana"/>
          <w:i/>
          <w:sz w:val="24"/>
          <w:szCs w:val="24"/>
          <w:lang w:val="pt-BR"/>
        </w:rPr>
        <w:t>ii</w:t>
      </w:r>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44927"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44927">
        <w:rPr>
          <w:rFonts w:ascii="Garamond" w:hAnsi="Garamond" w:cs="Verdana"/>
          <w:i/>
          <w:iCs/>
          <w:sz w:val="24"/>
          <w:szCs w:val="24"/>
          <w:lang w:val="pt-BR"/>
        </w:rPr>
        <w:t>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E44927">
        <w:rPr>
          <w:rFonts w:ascii="Garamond" w:hAnsi="Garamond" w:cs="Verdana"/>
          <w:i/>
          <w:iCs/>
          <w:sz w:val="24"/>
          <w:szCs w:val="24"/>
          <w:u w:val="single"/>
          <w:lang w:val="pt-BR"/>
        </w:rPr>
        <w:t>Valor do Resgate Antecipado Facultativo</w:t>
      </w:r>
      <w:r w:rsidR="009B41AF" w:rsidRPr="00E44927">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18</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pPr>
        <w:pStyle w:val="Switzerland"/>
        <w:widowControl/>
        <w:spacing w:line="320" w:lineRule="exact"/>
        <w:rPr>
          <w:rFonts w:ascii="Garamond" w:hAnsi="Garamond" w:cs="Verdana"/>
          <w:b/>
          <w:bCs/>
          <w:iCs/>
          <w:sz w:val="24"/>
          <w:szCs w:val="24"/>
          <w:lang w:val="pt-BR"/>
        </w:rPr>
      </w:pP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983474">
      <w:pPr>
        <w:pStyle w:val="Switzerland"/>
        <w:widowControl/>
        <w:spacing w:line="320" w:lineRule="exact"/>
        <w:rPr>
          <w:rFonts w:ascii="Garamond" w:hAnsi="Garamond" w:cs="Verdana"/>
          <w:sz w:val="24"/>
          <w:szCs w:val="24"/>
          <w:lang w:val="pt-BR"/>
        </w:rPr>
      </w:pPr>
    </w:p>
    <w:p w:rsidR="00C07964" w:rsidRPr="006B003B" w:rsidRDefault="00BA2DF2" w:rsidP="00983474">
      <w:pPr>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(ii)</w:t>
      </w:r>
      <w:r w:rsidR="00B245E0">
        <w:rPr>
          <w:rFonts w:ascii="Garamond" w:hAnsi="Garamond"/>
          <w:sz w:val="24"/>
          <w:szCs w:val="24"/>
        </w:rPr>
        <w:t xml:space="preserve">, </w:t>
      </w:r>
      <w:r w:rsidR="00D8296B">
        <w:rPr>
          <w:rFonts w:ascii="Garamond" w:hAnsi="Garamond"/>
          <w:sz w:val="24"/>
          <w:szCs w:val="24"/>
        </w:rPr>
        <w:t>(iii)</w:t>
      </w:r>
      <w:r w:rsidR="00B245E0">
        <w:rPr>
          <w:rFonts w:ascii="Garamond" w:hAnsi="Garamond"/>
          <w:sz w:val="24"/>
          <w:szCs w:val="24"/>
        </w:rPr>
        <w:t>, (iv), (v), (vi), (xix) e (xx)</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(ii)</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(iii)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 xml:space="preserve">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w:t>
      </w:r>
      <w:r w:rsidRPr="00FD53B4">
        <w:rPr>
          <w:rFonts w:ascii="Garamond" w:hAnsi="Garamond"/>
          <w:bCs/>
          <w:i/>
          <w:iCs/>
          <w:sz w:val="24"/>
          <w:szCs w:val="24"/>
        </w:rPr>
        <w:lastRenderedPageBreak/>
        <w:t xml:space="preserve">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(iv)</w:t>
      </w:r>
      <w:r w:rsidRPr="00B245E0">
        <w:rPr>
          <w:rFonts w:ascii="Garamond" w:hAnsi="Garamond"/>
          <w:bCs/>
          <w:i/>
          <w:iCs/>
          <w:sz w:val="24"/>
          <w:szCs w:val="24"/>
        </w:rPr>
        <w:tab/>
      </w:r>
      <w:bookmarkStart w:id="21"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21"/>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22"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22"/>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(xix)</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(xx)</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deverá enviar 1 (uma) cópia eletrônica (em arquivo pdf</w:t>
      </w:r>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 xml:space="preserve">e </w:t>
      </w:r>
      <w:r w:rsidR="00C07964" w:rsidRPr="006B003B">
        <w:rPr>
          <w:rFonts w:ascii="Garamond" w:hAnsi="Garamond"/>
          <w:sz w:val="24"/>
          <w:szCs w:val="24"/>
        </w:rPr>
        <w:lastRenderedPageBreak/>
        <w:t>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12</w:t>
      </w:r>
      <w:r w:rsidR="00913221">
        <w:rPr>
          <w:rFonts w:ascii="Garamond" w:hAnsi="Garamond"/>
          <w:sz w:val="24"/>
          <w:szCs w:val="24"/>
        </w:rPr>
        <w:t>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3" w:name="_DV_M760"/>
      <w:bookmarkEnd w:id="23"/>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4" w:name="_DV_M761"/>
      <w:bookmarkEnd w:id="24"/>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5" w:name="_DV_M762"/>
      <w:bookmarkEnd w:id="25"/>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6" w:name="_DV_M763"/>
      <w:bookmarkEnd w:id="26"/>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7" w:name="_DV_M777"/>
      <w:bookmarkEnd w:id="27"/>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8" w:name="_DV_M778"/>
      <w:bookmarkStart w:id="29" w:name="_DV_M779"/>
      <w:bookmarkStart w:id="30" w:name="_DV_M780"/>
      <w:bookmarkStart w:id="31" w:name="_DV_M781"/>
      <w:bookmarkStart w:id="32" w:name="_DV_M782"/>
      <w:bookmarkStart w:id="33" w:name="_DV_M783"/>
      <w:bookmarkStart w:id="34" w:name="_DV_M784"/>
      <w:bookmarkStart w:id="35" w:name="_DV_M785"/>
      <w:bookmarkStart w:id="36" w:name="_DV_M786"/>
      <w:bookmarkStart w:id="37" w:name="_DV_M787"/>
      <w:bookmarkStart w:id="38" w:name="_DV_M788"/>
      <w:bookmarkStart w:id="39" w:name="_DV_M789"/>
      <w:bookmarkStart w:id="40" w:name="_DV_M790"/>
      <w:bookmarkStart w:id="41" w:name="_DV_M791"/>
      <w:bookmarkStart w:id="42" w:name="_DV_M792"/>
      <w:bookmarkStart w:id="43" w:name="_DV_M793"/>
      <w:bookmarkStart w:id="44" w:name="_DV_M794"/>
      <w:bookmarkStart w:id="45" w:name="_DV_M795"/>
      <w:bookmarkStart w:id="46" w:name="_DV_M796"/>
      <w:bookmarkStart w:id="47" w:name="_DV_M797"/>
      <w:bookmarkStart w:id="48" w:name="_DV_M798"/>
      <w:bookmarkStart w:id="49" w:name="_DV_M799"/>
      <w:bookmarkStart w:id="50" w:name="_DV_M800"/>
      <w:bookmarkStart w:id="51" w:name="_DV_M801"/>
      <w:bookmarkStart w:id="52" w:name="_DV_M802"/>
      <w:bookmarkStart w:id="53" w:name="_DV_M803"/>
      <w:bookmarkStart w:id="54" w:name="_DV_M804"/>
      <w:bookmarkStart w:id="55" w:name="_DV_M80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w:t>
      </w:r>
      <w:r w:rsidR="00781744">
        <w:rPr>
          <w:rFonts w:ascii="Garamond" w:hAnsi="Garamond" w:cs="Tahoma"/>
          <w:sz w:val="24"/>
          <w:szCs w:val="24"/>
        </w:rPr>
        <w:t> </w:t>
      </w:r>
      <w:r w:rsidRPr="00FD53B4">
        <w:rPr>
          <w:rFonts w:ascii="Garamond" w:hAnsi="Garamond" w:cs="Tahoma"/>
          <w:sz w:val="24"/>
          <w:szCs w:val="24"/>
        </w:rPr>
        <w:t>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e</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r w:rsidRPr="00FD53B4">
        <w:rPr>
          <w:rFonts w:ascii="Garamond" w:hAnsi="Garamond" w:cs="Tahoma"/>
          <w:sz w:val="24"/>
          <w:szCs w:val="24"/>
          <w:u w:val="single"/>
        </w:rPr>
        <w:t>Duane</w:t>
      </w:r>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w:t>
      </w:r>
      <w:r w:rsidRPr="00983474">
        <w:rPr>
          <w:rFonts w:ascii="Garamond" w:hAnsi="Garamond"/>
          <w:sz w:val="24"/>
          <w:szCs w:val="24"/>
          <w:u w:val="single"/>
        </w:rPr>
        <w:t>AGE da Emissora</w:t>
      </w:r>
      <w:r w:rsidRPr="00402E48">
        <w:rPr>
          <w:rFonts w:ascii="Garamond" w:hAnsi="Garamond"/>
          <w:sz w:val="24"/>
          <w:szCs w:val="24"/>
        </w:rPr>
        <w:t>”) e da Assembleia Geral Extraordinária de Acionistas da Emissora realizada em [</w:t>
      </w:r>
      <w:r w:rsidRPr="00983474">
        <w:rPr>
          <w:rFonts w:ascii="Garamond" w:hAnsi="Garamond"/>
          <w:sz w:val="24"/>
          <w:szCs w:val="24"/>
          <w:highlight w:val="yellow"/>
        </w:rPr>
        <w:t>=]</w:t>
      </w:r>
      <w:r w:rsidRPr="00402E48">
        <w:rPr>
          <w:rFonts w:ascii="Garamond" w:hAnsi="Garamond"/>
          <w:sz w:val="24"/>
          <w:szCs w:val="24"/>
        </w:rPr>
        <w:t xml:space="preserve"> </w:t>
      </w:r>
      <w:r w:rsidRPr="005F6347">
        <w:rPr>
          <w:rFonts w:ascii="Garamond" w:hAnsi="Garamond"/>
          <w:sz w:val="24"/>
          <w:szCs w:val="24"/>
        </w:rPr>
        <w:t xml:space="preserve">de </w:t>
      </w:r>
      <w:r w:rsidR="00781744" w:rsidRPr="005F6347">
        <w:rPr>
          <w:rFonts w:ascii="Garamond" w:hAnsi="Garamond"/>
          <w:sz w:val="24"/>
          <w:szCs w:val="24"/>
        </w:rPr>
        <w:t>outubro</w:t>
      </w:r>
      <w:r w:rsidRPr="005F6347">
        <w:rPr>
          <w:rFonts w:ascii="Garamond" w:hAnsi="Garamond"/>
          <w:sz w:val="24"/>
          <w:szCs w:val="24"/>
        </w:rPr>
        <w:t xml:space="preserve"> de 2019, cuja ata será registrada perante a JUCESC (“</w:t>
      </w:r>
      <w:r w:rsidRPr="005F6347">
        <w:rPr>
          <w:rFonts w:ascii="Garamond" w:hAnsi="Garamond"/>
          <w:sz w:val="24"/>
          <w:szCs w:val="24"/>
          <w:u w:val="single"/>
        </w:rPr>
        <w:t>Nova AGE da Emissora</w:t>
      </w:r>
      <w:r w:rsidRPr="005F6347">
        <w:rPr>
          <w:rFonts w:ascii="Garamond" w:hAnsi="Garamond"/>
          <w:sz w:val="24"/>
          <w:szCs w:val="24"/>
        </w:rPr>
        <w:t>” e, em conjunto com</w:t>
      </w:r>
      <w:r w:rsidRPr="00402E48">
        <w:rPr>
          <w:rFonts w:ascii="Garamond" w:hAnsi="Garamond"/>
          <w:sz w:val="24"/>
          <w:szCs w:val="24"/>
        </w:rPr>
        <w:t xml:space="preserve"> a AGE da Emissora, “</w:t>
      </w:r>
      <w:r w:rsidRPr="00983474">
        <w:rPr>
          <w:rFonts w:ascii="Garamond" w:hAnsi="Garamond"/>
          <w:sz w:val="24"/>
          <w:szCs w:val="24"/>
          <w:u w:val="single"/>
        </w:rPr>
        <w:t>Aprovações Societárias da Emissora</w:t>
      </w:r>
      <w:r w:rsidRPr="00402E48">
        <w:rPr>
          <w:rFonts w:ascii="Garamond" w:hAnsi="Garamond"/>
          <w:sz w:val="24"/>
          <w:szCs w:val="24"/>
        </w:rPr>
        <w:t>”), na qual: (i) foram aprovados os termos e condições da 2ª (segunda) emissão de debêntures simples, não conversíveis em ações, da espécie quirografária, com garantia adicional real e fidejussória, em duas séries, da Emissora (“</w:t>
      </w:r>
      <w:r w:rsidRPr="00983474">
        <w:rPr>
          <w:rFonts w:ascii="Garamond" w:hAnsi="Garamond"/>
          <w:sz w:val="24"/>
          <w:szCs w:val="24"/>
          <w:u w:val="single"/>
        </w:rPr>
        <w:t>Debêntures</w:t>
      </w:r>
      <w:r w:rsidRPr="00402E48">
        <w:rPr>
          <w:rFonts w:ascii="Garamond" w:hAnsi="Garamond"/>
          <w:sz w:val="24"/>
          <w:szCs w:val="24"/>
        </w:rPr>
        <w:t>” e “</w:t>
      </w:r>
      <w:r w:rsidRPr="00983474">
        <w:rPr>
          <w:rFonts w:ascii="Garamond" w:hAnsi="Garamond"/>
          <w:sz w:val="24"/>
          <w:szCs w:val="24"/>
          <w:u w:val="single"/>
        </w:rPr>
        <w:t>Emissão</w:t>
      </w:r>
      <w:r w:rsidRPr="00402E48">
        <w:rPr>
          <w:rFonts w:ascii="Garamond" w:hAnsi="Garamond"/>
          <w:sz w:val="24"/>
          <w:szCs w:val="24"/>
        </w:rPr>
        <w:t>”, respectivamente), para distribuição pública, com esforços restritos, nos termos da Instrução da CVM nº 476, de 16 de janeiro de 2009, conforme alterada (“</w:t>
      </w:r>
      <w:r w:rsidRPr="00983474">
        <w:rPr>
          <w:rFonts w:ascii="Garamond" w:hAnsi="Garamond"/>
          <w:sz w:val="24"/>
          <w:szCs w:val="24"/>
          <w:u w:val="single"/>
        </w:rPr>
        <w:t>Instrução CVM 476</w:t>
      </w:r>
      <w:r w:rsidRPr="00402E48">
        <w:rPr>
          <w:rFonts w:ascii="Garamond" w:hAnsi="Garamond"/>
          <w:sz w:val="24"/>
          <w:szCs w:val="24"/>
        </w:rPr>
        <w:t>” e “</w:t>
      </w:r>
      <w:r w:rsidRPr="00983474">
        <w:rPr>
          <w:rFonts w:ascii="Garamond" w:hAnsi="Garamond"/>
          <w:sz w:val="24"/>
          <w:szCs w:val="24"/>
          <w:u w:val="single"/>
        </w:rPr>
        <w:t>Oferta</w:t>
      </w:r>
      <w:r w:rsidRPr="00402E48">
        <w:rPr>
          <w:rFonts w:ascii="Garamond" w:hAnsi="Garamond"/>
          <w:sz w:val="24"/>
          <w:szCs w:val="24"/>
        </w:rPr>
        <w:t>”, respectivamente), nos termos do artigo 59 da Lei nº 6.404 de 15 de dezembro de 1976, conforme alterada (“</w:t>
      </w:r>
      <w:r w:rsidRPr="00983474">
        <w:rPr>
          <w:rFonts w:ascii="Garamond" w:hAnsi="Garamond"/>
          <w:sz w:val="24"/>
          <w:szCs w:val="24"/>
          <w:u w:val="single"/>
        </w:rPr>
        <w:t>Lei das Sociedades por Ações</w:t>
      </w:r>
      <w:r w:rsidRPr="00402E48">
        <w:rPr>
          <w:rFonts w:ascii="Garamond" w:hAnsi="Garamond"/>
          <w:sz w:val="24"/>
          <w:szCs w:val="24"/>
        </w:rPr>
        <w:t>”); e (ii)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A prestação da Fiança da Segunda Série (conforme definido abaixo) e a assunção, pela Duane, das demais obrigações previstas na presente Escritura foram aprovadas pela Duane com base nas deliberações da Assembleia Geral Extraordinária de Acionistas da Duane realizada em 28 de novembro de 2018, cuja ata foi devidamente registrada perante a JUCERJA (“</w:t>
      </w:r>
      <w:r w:rsidRPr="00FD53B4">
        <w:rPr>
          <w:rFonts w:ascii="Garamond" w:hAnsi="Garamond"/>
          <w:sz w:val="24"/>
          <w:szCs w:val="24"/>
          <w:u w:val="single"/>
        </w:rPr>
        <w:t>Aprovação Societária da Duane</w:t>
      </w:r>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“Notisul” (“</w:t>
      </w:r>
      <w:r w:rsidR="00402E48" w:rsidRPr="00CF22BD">
        <w:rPr>
          <w:rStyle w:val="CabealhoChar"/>
          <w:rFonts w:ascii="Garamond" w:eastAsia="MS Mincho" w:hAnsi="Garamond"/>
          <w:iCs/>
          <w:sz w:val="24"/>
          <w:szCs w:val="24"/>
          <w:u w:val="single"/>
        </w:rPr>
        <w:t>Notisul</w:t>
      </w:r>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e, em conjunto com o Notisul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 xml:space="preserve">A ata da Nova AGE da Emissora será devidamente arquivada na JUCESC e publicada </w:t>
      </w:r>
      <w:r w:rsidR="0031188F">
        <w:rPr>
          <w:rStyle w:val="CabealhoChar"/>
          <w:rFonts w:ascii="Garamond" w:eastAsia="MS Mincho" w:hAnsi="Garamond"/>
          <w:iCs/>
          <w:sz w:val="24"/>
          <w:szCs w:val="24"/>
        </w:rPr>
        <w:t>na forma do disposto na Cláusula 4.20 desta Escritura de Emissão</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w:t>
      </w:r>
      <w:r w:rsidR="00781744">
        <w:rPr>
          <w:rFonts w:ascii="Garamond" w:hAnsi="Garamond" w:cs="Tahoma"/>
          <w:sz w:val="24"/>
          <w:szCs w:val="24"/>
        </w:rPr>
        <w:t> </w:t>
      </w:r>
      <w:r w:rsidRPr="00FD53B4">
        <w:rPr>
          <w:rFonts w:ascii="Garamond" w:hAnsi="Garamond" w:cs="Tahoma"/>
          <w:sz w:val="24"/>
          <w:szCs w:val="24"/>
        </w:rPr>
        <w:t xml:space="preserve">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A ata da Aprovação Societária da Duane</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Jornais de Publicação da Duane</w:t>
      </w:r>
      <w:r w:rsidRPr="00FD53B4">
        <w:rPr>
          <w:rFonts w:ascii="Garamond" w:hAnsi="Garamond"/>
          <w:bCs/>
          <w:sz w:val="24"/>
          <w:szCs w:val="24"/>
        </w:rPr>
        <w:t>” e, em conjunto com os Jornais de Publicação da Igu</w:t>
      </w:r>
      <w:r w:rsidR="00781744">
        <w:rPr>
          <w:rFonts w:ascii="Garamond" w:hAnsi="Garamond"/>
          <w:bCs/>
          <w:sz w:val="24"/>
          <w:szCs w:val="24"/>
        </w:rPr>
        <w:t>á</w:t>
      </w:r>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pStyle w:val="Ttulo6"/>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lastRenderedPageBreak/>
        <w:t>Registro das Garantias</w:t>
      </w:r>
    </w:p>
    <w:p w:rsidR="004C045E" w:rsidRPr="00FD53B4" w:rsidRDefault="004C045E" w:rsidP="00983474">
      <w:pPr>
        <w:keepNext/>
        <w:spacing w:after="0" w:line="320" w:lineRule="exact"/>
        <w:rPr>
          <w:rFonts w:ascii="Garamond" w:hAnsi="Garamond"/>
          <w:sz w:val="24"/>
          <w:szCs w:val="24"/>
        </w:rPr>
      </w:pPr>
    </w:p>
    <w:p w:rsidR="004C045E" w:rsidRPr="00CF22BD" w:rsidRDefault="00402E48" w:rsidP="00983474">
      <w:pPr>
        <w:pStyle w:val="Ttulo6"/>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w:t>
      </w:r>
      <w:r w:rsidR="00781744">
        <w:rPr>
          <w:rFonts w:ascii="Garamond" w:hAnsi="Garamond"/>
          <w:iCs/>
          <w:smallCaps w:val="0"/>
          <w:sz w:val="24"/>
          <w:szCs w:val="24"/>
          <w:u w:val="none"/>
        </w:rPr>
        <w:t> </w:t>
      </w:r>
      <w:r w:rsidRPr="00CF22BD">
        <w:rPr>
          <w:rFonts w:ascii="Garamond" w:hAnsi="Garamond"/>
          <w:iCs/>
          <w:smallCaps w:val="0"/>
          <w:sz w:val="24"/>
          <w:szCs w:val="24"/>
          <w:u w:val="none"/>
        </w:rPr>
        <w:t>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w:t>
      </w:r>
      <w:r w:rsidR="00D319F0">
        <w:rPr>
          <w:rFonts w:ascii="Garamond" w:hAnsi="Garamond"/>
          <w:iCs/>
          <w:smallCaps w:val="0"/>
          <w:sz w:val="24"/>
          <w:szCs w:val="24"/>
          <w:u w:val="none"/>
        </w:rPr>
        <w:t> </w:t>
      </w:r>
      <w:r w:rsidRPr="00CF22BD">
        <w:rPr>
          <w:rFonts w:ascii="Garamond" w:hAnsi="Garamond"/>
          <w:iCs/>
          <w:smallCaps w:val="0"/>
          <w:sz w:val="24"/>
          <w:szCs w:val="24"/>
          <w:u w:val="none"/>
        </w:rPr>
        <w:t>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xml:space="preserve">”), administrado e operacionalizado pela B3, sendo as </w:t>
      </w:r>
      <w:r w:rsidRPr="00FD53B4">
        <w:rPr>
          <w:rFonts w:ascii="Garamond" w:hAnsi="Garamond"/>
          <w:sz w:val="24"/>
          <w:szCs w:val="24"/>
        </w:rPr>
        <w:lastRenderedPageBreak/>
        <w:t>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983474">
      <w:pPr>
        <w:pStyle w:val="PargrafodaLista"/>
        <w:keepNext/>
        <w:tabs>
          <w:tab w:val="left" w:pos="851"/>
        </w:tabs>
        <w:suppressAutoHyphens/>
        <w:spacing w:after="0" w:line="320" w:lineRule="exact"/>
        <w:ind w:left="0"/>
        <w:rPr>
          <w:rFonts w:ascii="Garamond" w:hAnsi="Garamond"/>
          <w:sz w:val="24"/>
          <w:szCs w:val="24"/>
        </w:rPr>
      </w:pPr>
    </w:p>
    <w:p w:rsidR="004C045E" w:rsidRPr="00FD53B4" w:rsidRDefault="004C045E" w:rsidP="00983474">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983474">
      <w:pPr>
        <w:pStyle w:val="PargrafodaLista"/>
        <w:keepNext/>
        <w:tabs>
          <w:tab w:val="left" w:pos="851"/>
        </w:tabs>
        <w:suppressAutoHyphens/>
        <w:spacing w:after="0" w:line="320" w:lineRule="exact"/>
        <w:ind w:left="851"/>
        <w:rPr>
          <w:rFonts w:ascii="Garamond" w:hAnsi="Garamond"/>
          <w:b/>
          <w:sz w:val="24"/>
          <w:szCs w:val="24"/>
        </w:rPr>
      </w:pPr>
    </w:p>
    <w:p w:rsidR="004C045E" w:rsidRPr="00FD53B4" w:rsidRDefault="004C045E" w:rsidP="00983474">
      <w:pPr>
        <w:pStyle w:val="PargrafodaLista"/>
        <w:keepNext/>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983474">
      <w:pPr>
        <w:suppressAutoHyphens/>
        <w:spacing w:after="0" w:line="320" w:lineRule="exact"/>
        <w:rPr>
          <w:rFonts w:ascii="Garamond" w:hAnsi="Garamond"/>
          <w:sz w:val="24"/>
          <w:szCs w:val="24"/>
        </w:rPr>
      </w:pPr>
    </w:p>
    <w:p w:rsidR="004C045E" w:rsidRPr="00FD53B4" w:rsidRDefault="004C045E" w:rsidP="00983474">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983474">
      <w:pPr>
        <w:pStyle w:val="PargrafodaLista"/>
        <w:suppressAutoHyphens/>
        <w:spacing w:after="0" w:line="320" w:lineRule="exact"/>
        <w:ind w:left="851"/>
        <w:rPr>
          <w:rFonts w:ascii="Garamond" w:hAnsi="Garamond"/>
          <w:b/>
          <w:sz w:val="24"/>
          <w:szCs w:val="24"/>
        </w:rPr>
      </w:pPr>
    </w:p>
    <w:p w:rsidR="004C045E" w:rsidRPr="00CF22BD" w:rsidRDefault="004C045E" w:rsidP="00983474">
      <w:pPr>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w:t>
      </w:r>
      <w:r w:rsidRPr="00FD53B4">
        <w:rPr>
          <w:rFonts w:ascii="Garamond" w:hAnsi="Garamond"/>
          <w:sz w:val="24"/>
          <w:szCs w:val="24"/>
        </w:rPr>
        <w:lastRenderedPageBreak/>
        <w:t xml:space="preserve">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lastRenderedPageBreak/>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w:t>
      </w:r>
      <w:r w:rsidR="00781744">
        <w:rPr>
          <w:rFonts w:ascii="Garamond" w:hAnsi="Garamond"/>
          <w:sz w:val="24"/>
          <w:szCs w:val="24"/>
        </w:rPr>
        <w:t> </w:t>
      </w:r>
      <w:r w:rsidRPr="00FD53B4">
        <w:rPr>
          <w:rFonts w:ascii="Garamond" w:hAnsi="Garamond"/>
          <w:sz w:val="24"/>
          <w:szCs w:val="24"/>
        </w:rPr>
        <w:t>(vinte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lastRenderedPageBreak/>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Agente de Liquidação e Escriturador</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r w:rsidRPr="00FD53B4">
        <w:rPr>
          <w:rFonts w:ascii="Garamond" w:hAnsi="Garamond"/>
          <w:sz w:val="24"/>
          <w:szCs w:val="24"/>
          <w:u w:val="single"/>
        </w:rPr>
        <w:t>Escriturador</w:t>
      </w:r>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Escriturador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Escriturador poderão ser substituídos a qualquer tempo, mediante aprovação dos Debenturistas reunidos em Assembleia Geral de Debenturistas, nos termos da Cláusula IX abaixo. </w:t>
      </w:r>
      <w:r w:rsidRPr="00FD53B4">
        <w:rPr>
          <w:rFonts w:ascii="Garamond" w:hAnsi="Garamond" w:cs="Tahoma"/>
          <w:sz w:val="24"/>
          <w:szCs w:val="24"/>
        </w:rPr>
        <w:t>O Escriturador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 xml:space="preserve">Em garantia do fiel, pontual e integral pagamento e cumprimento de todas as obrigações, principais, acessórias, presentes e futuras, assumidas ou que venham a ser assumidas pela Emissora quando devidas (seja na data de vencimento acordada, em caso </w:t>
      </w:r>
      <w:r w:rsidR="00750314" w:rsidRPr="00CF22BD">
        <w:rPr>
          <w:rFonts w:ascii="Garamond" w:hAnsi="Garamond"/>
          <w:bCs/>
          <w:sz w:val="24"/>
          <w:szCs w:val="24"/>
        </w:rPr>
        <w:lastRenderedPageBreak/>
        <w:t>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w:t>
      </w:r>
      <w:r w:rsidR="00750314" w:rsidRPr="00750314">
        <w:rPr>
          <w:rFonts w:ascii="Garamond" w:hAnsi="Garamond"/>
          <w:smallCaps w:val="0"/>
          <w:sz w:val="24"/>
          <w:szCs w:val="24"/>
          <w:u w:val="none"/>
        </w:rPr>
        <w:lastRenderedPageBreak/>
        <w:t>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 fé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r w:rsidR="0095681D">
        <w:rPr>
          <w:rFonts w:ascii="Garamond" w:hAnsi="Garamond"/>
          <w:sz w:val="24"/>
          <w:szCs w:val="24"/>
        </w:rPr>
        <w:t>outubro</w:t>
      </w:r>
      <w:r w:rsidR="0095681D" w:rsidRPr="00750314">
        <w:rPr>
          <w:rFonts w:ascii="Garamond" w:hAnsi="Garamond"/>
          <w:sz w:val="24"/>
          <w:szCs w:val="24"/>
        </w:rPr>
        <w:t xml:space="preserve"> </w:t>
      </w:r>
      <w:r w:rsidR="00750314" w:rsidRPr="00750314">
        <w:rPr>
          <w:rFonts w:ascii="Garamond" w:hAnsi="Garamond"/>
          <w:sz w:val="24"/>
          <w:szCs w:val="24"/>
        </w:rPr>
        <w:t xml:space="preserve">de </w:t>
      </w:r>
      <w:r w:rsidR="0095681D" w:rsidRPr="00750314">
        <w:rPr>
          <w:rFonts w:ascii="Garamond" w:hAnsi="Garamond"/>
          <w:sz w:val="24"/>
          <w:szCs w:val="24"/>
        </w:rPr>
        <w:t>202</w:t>
      </w:r>
      <w:r w:rsidR="0095681D">
        <w:rPr>
          <w:rFonts w:ascii="Garamond" w:hAnsi="Garamond"/>
          <w:sz w:val="24"/>
          <w:szCs w:val="24"/>
        </w:rPr>
        <w:t>4</w:t>
      </w:r>
      <w:r w:rsidR="0095681D"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 xml:space="preserve">As Debêntures serão integralizadas à vista, no ato da subscrição e em moeda corrente nacional, durante o prazo de distribuição das Debêntures na forma dos artigos 7º-A e 8° da Instrução CVM </w:t>
      </w:r>
      <w:r w:rsidR="00750314" w:rsidRPr="00750314">
        <w:rPr>
          <w:rFonts w:ascii="Garamond" w:hAnsi="Garamond"/>
          <w:sz w:val="24"/>
          <w:szCs w:val="24"/>
        </w:rPr>
        <w:lastRenderedPageBreak/>
        <w:t>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pro rata temporis</w:t>
      </w:r>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pro rata temporis</w:t>
      </w:r>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J = VNe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lastRenderedPageBreak/>
        <w:t>VNe</w:t>
      </w:r>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r w:rsidRPr="00FD53B4">
        <w:rPr>
          <w:rFonts w:ascii="Garamond" w:hAnsi="Garamond"/>
          <w:i/>
          <w:sz w:val="24"/>
          <w:szCs w:val="24"/>
        </w:rPr>
        <w:t>FatorJuros = FatorDI x FatorSpread</w:t>
      </w:r>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t xml:space="preserve">produtório das Taxas DI, com uso de percentual aplicado, da data de início de cada Período de Capitalização (conforme abaixo definido), inclusive, até o final de cada Pedíodo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TDIk</w:t>
      </w:r>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4384" behindDoc="0" locked="0" layoutInCell="1" allowOverlap="1" wp14:anchorId="52108015" wp14:editId="5E0E7726">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5BCA" w:rsidRPr="00A423FE" w:rsidRDefault="00357334"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" filled="f" stroked="f">
                <v:path arrowok="t"/>
                <v:textbox>
                  <w:txbxContent>
                    <w:p w:rsidR="009A5BCA" w:rsidRPr="00A423FE" w:rsidRDefault="009A5BC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DIk</w:t>
      </w:r>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FatorSpread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5408" behindDoc="0" locked="0" layoutInCell="1" allowOverlap="1" wp14:anchorId="6BFDDE9E" wp14:editId="0552503C">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5BCA" w:rsidRPr="00A423FE" w:rsidRDefault="009A5BC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" filled="f" stroked="f">
                <v:path arrowok="t"/>
                <v:textbox>
                  <w:txbxContent>
                    <w:p w:rsidR="009A5BCA" w:rsidRPr="00A423FE" w:rsidRDefault="009A5BC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lang w:val="en-US" w:eastAsia="en-US"/>
        </w:rPr>
        <mc:AlternateContent>
          <mc:Choice Requires="wps">
            <w:drawing>
              <wp:anchor distT="0" distB="0" distL="114300" distR="114300" simplePos="0" relativeHeight="251666432" behindDoc="0" locked="0" layoutInCell="1" allowOverlap="1" wp14:anchorId="41DCB270" wp14:editId="4AB645B5">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BCA" w:rsidRPr="00A423FE" w:rsidRDefault="00357334"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9A5BCA" w:rsidRPr="00A423FE" w:rsidRDefault="009A5BC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produtório.</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7456" behindDoc="0" locked="0" layoutInCell="1" allowOverlap="1" wp14:anchorId="4D9D147C" wp14:editId="1E27A9D2">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A5BCA" w:rsidRPr="00A423FE" w:rsidRDefault="00357334"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" filled="f" stroked="f">
                <v:path arrowok="t"/>
                <v:textbox style="mso-fit-shape-to-text:t">
                  <w:txbxContent>
                    <w:p w:rsidR="009A5BCA" w:rsidRPr="00A423FE" w:rsidRDefault="009A5BC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Efetua-se o produtório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 xml:space="preserve">Caso a Taxa DI venha a ser divulgada antes da realização da Assembleia Geral de Debenturistas, a referida assembleia não será mais realizada, e a Taxa DI, a partir da data de sua validade, passará a ser utilizada para o cálculo da Remuneração, permanecendo a última Taxa DI </w:t>
      </w:r>
      <w:r w:rsidRPr="00FD53B4">
        <w:rPr>
          <w:rFonts w:ascii="Garamond" w:eastAsia="Arial Unicode MS" w:hAnsi="Garamond"/>
          <w:sz w:val="24"/>
          <w:szCs w:val="24"/>
        </w:rPr>
        <w:lastRenderedPageBreak/>
        <w:t>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pro rata temporis</w:t>
      </w:r>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(ii) vencimento antecipado das obrigações decorrentes das Debêntures, nos termos da Cláusula 6 desta Escritura, a Remuneração será paga pela Emissora mensalmente, no dia 28 de cada mês, sendo a primeira parcela devida em 28 de</w:t>
      </w:r>
      <w:r w:rsidR="00421F1C">
        <w:rPr>
          <w:rFonts w:ascii="Garamond" w:hAnsi="Garamond" w:cs="Verdana"/>
          <w:iCs/>
          <w:sz w:val="24"/>
          <w:szCs w:val="24"/>
        </w:rPr>
        <w:t xml:space="preserve"> </w:t>
      </w:r>
      <w:r w:rsidR="001D0DC8" w:rsidRPr="00CF22BD">
        <w:rPr>
          <w:rFonts w:ascii="Garamond" w:hAnsi="Garamond" w:cs="Verdana"/>
          <w:iCs/>
          <w:sz w:val="24"/>
          <w:szCs w:val="24"/>
        </w:rPr>
        <w:t>outubro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 xml:space="preserve">do: (i) Resgate Antecipado Facultativo (conforme abaixo definido), nos termos da Cláusula 5.1 abaixo; ou (ii) </w:t>
      </w:r>
      <w:r w:rsidR="001D0DC8" w:rsidRPr="00CF22BD">
        <w:rPr>
          <w:rFonts w:ascii="Garamond" w:hAnsi="Garamond"/>
          <w:bCs/>
          <w:iCs/>
          <w:sz w:val="24"/>
          <w:szCs w:val="24"/>
        </w:rPr>
        <w:t xml:space="preserve">vencimento antecipado das obrigações decorrentes das Debêntures, nos termos da Cláusula 6 desta Escritura, o Valor Nominal Unitário das Debêntures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25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95681D" w:rsidRDefault="0095681D" w:rsidP="0095681D">
            <w:pPr>
              <w:tabs>
                <w:tab w:val="left" w:pos="-109"/>
              </w:tabs>
              <w:spacing w:after="0" w:line="320" w:lineRule="exact"/>
              <w:jc w:val="center"/>
              <w:rPr>
                <w:rFonts w:ascii="Garamond" w:hAnsi="Garamond"/>
                <w:iCs/>
                <w:color w:val="000000"/>
                <w:sz w:val="24"/>
                <w:szCs w:val="24"/>
              </w:rPr>
            </w:pPr>
            <w:r w:rsidRPr="009F320A">
              <w:rPr>
                <w:rFonts w:ascii="Garamond" w:hAnsi="Garamond"/>
                <w:iCs/>
                <w:color w:val="000000"/>
                <w:sz w:val="24"/>
                <w:szCs w:val="24"/>
              </w:rPr>
              <w:t>48</w:t>
            </w:r>
          </w:p>
        </w:tc>
        <w:tc>
          <w:tcPr>
            <w:tcW w:w="1744" w:type="pct"/>
            <w:vAlign w:val="bottom"/>
          </w:tcPr>
          <w:p w:rsidR="0095681D" w:rsidRPr="0095681D" w:rsidRDefault="0095681D" w:rsidP="0095681D">
            <w:pPr>
              <w:spacing w:after="0" w:line="320" w:lineRule="exact"/>
              <w:jc w:val="center"/>
              <w:rPr>
                <w:rFonts w:ascii="Garamond" w:hAnsi="Garamond" w:cs="Garamond"/>
                <w:iCs/>
                <w:color w:val="000000"/>
                <w:sz w:val="24"/>
                <w:szCs w:val="24"/>
              </w:rPr>
            </w:pPr>
            <w:r w:rsidRPr="009F320A">
              <w:rPr>
                <w:rFonts w:ascii="Garamond" w:hAnsi="Garamond" w:cs="Garamond"/>
                <w:iCs/>
                <w:color w:val="000000"/>
                <w:sz w:val="24"/>
                <w:szCs w:val="24"/>
              </w:rPr>
              <w:t>28 de setembro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29320C"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r>
              <w:rPr>
                <w:rFonts w:ascii="Garamond" w:hAnsi="Garamond"/>
                <w:color w:val="000000"/>
                <w:sz w:val="24"/>
                <w:szCs w:val="24"/>
              </w:rPr>
              <w:t>9</w:t>
            </w:r>
          </w:p>
        </w:tc>
        <w:tc>
          <w:tcPr>
            <w:tcW w:w="1744" w:type="pct"/>
            <w:vAlign w:val="bottom"/>
          </w:tcPr>
          <w:p w:rsidR="0095681D" w:rsidRPr="0029320C" w:rsidRDefault="0095681D" w:rsidP="0095681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tcPr>
          <w:p w:rsidR="0095681D" w:rsidRPr="0095681D" w:rsidRDefault="003D3FC7" w:rsidP="0095681D">
            <w:pPr>
              <w:spacing w:after="0" w:line="320" w:lineRule="exact"/>
              <w:jc w:val="center"/>
              <w:rPr>
                <w:rFonts w:ascii="Garamond" w:hAnsi="Garamond"/>
                <w:iCs/>
                <w:color w:val="000000"/>
                <w:sz w:val="24"/>
                <w:szCs w:val="24"/>
              </w:rPr>
            </w:pPr>
            <w:r w:rsidRPr="003D3FC7">
              <w:rPr>
                <w:rFonts w:ascii="Garamond" w:hAnsi="Garamond"/>
                <w:iCs/>
                <w:color w:val="000000"/>
                <w:sz w:val="24"/>
                <w:szCs w:val="24"/>
              </w:rPr>
              <w:t>2,0416%</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 xml:space="preserve">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FD53B4">
        <w:rPr>
          <w:rStyle w:val="CabealhoChar"/>
          <w:rFonts w:ascii="Garamond" w:hAnsi="Garamond"/>
          <w:i/>
          <w:sz w:val="24"/>
          <w:szCs w:val="24"/>
        </w:rPr>
        <w:t>pro rata temporis</w:t>
      </w:r>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1563AD" w:rsidRDefault="004C045E" w:rsidP="005F6347">
      <w:pPr>
        <w:tabs>
          <w:tab w:val="left" w:pos="851"/>
          <w:tab w:val="left" w:pos="1134"/>
        </w:tabs>
        <w:suppressAutoHyphens/>
        <w:spacing w:after="0" w:line="320" w:lineRule="exact"/>
        <w:rPr>
          <w:rFonts w:ascii="Garamond" w:hAnsi="Garamond"/>
          <w:sz w:val="24"/>
          <w:szCs w:val="24"/>
        </w:rPr>
      </w:pPr>
      <w:r w:rsidRPr="00A6465C">
        <w:rPr>
          <w:rFonts w:ascii="Garamond" w:hAnsi="Garamond"/>
          <w:b/>
          <w:sz w:val="24"/>
          <w:szCs w:val="24"/>
        </w:rPr>
        <w:t>4.20.</w:t>
      </w:r>
      <w:r w:rsidRPr="004168F3">
        <w:rPr>
          <w:rFonts w:ascii="Garamond" w:hAnsi="Garamond"/>
          <w:sz w:val="24"/>
          <w:szCs w:val="24"/>
        </w:rPr>
        <w:tab/>
      </w:r>
      <w:r w:rsidRPr="004168F3">
        <w:rPr>
          <w:rFonts w:ascii="Garamond" w:hAnsi="Garamond"/>
          <w:b/>
          <w:sz w:val="24"/>
          <w:szCs w:val="24"/>
        </w:rPr>
        <w:t>Publicidade</w:t>
      </w:r>
      <w:r w:rsidRPr="004168F3">
        <w:rPr>
          <w:rFonts w:ascii="Garamond" w:hAnsi="Garamond"/>
          <w:sz w:val="24"/>
          <w:szCs w:val="24"/>
        </w:rPr>
        <w:t xml:space="preserve">: </w:t>
      </w:r>
    </w:p>
    <w:p w:rsidR="001563AD" w:rsidRDefault="001563AD" w:rsidP="005F6347">
      <w:pPr>
        <w:tabs>
          <w:tab w:val="left" w:pos="851"/>
          <w:tab w:val="left" w:pos="1134"/>
        </w:tabs>
        <w:suppressAutoHyphens/>
        <w:spacing w:after="0" w:line="320" w:lineRule="exact"/>
        <w:rPr>
          <w:rFonts w:ascii="Garamond" w:hAnsi="Garamond"/>
          <w:sz w:val="24"/>
          <w:szCs w:val="24"/>
        </w:rPr>
      </w:pPr>
    </w:p>
    <w:p w:rsidR="00A6465C" w:rsidRPr="005F6347" w:rsidRDefault="001563AD" w:rsidP="00A6465C">
      <w:pPr>
        <w:tabs>
          <w:tab w:val="left" w:pos="851"/>
          <w:tab w:val="left" w:pos="1134"/>
        </w:tabs>
        <w:suppressAutoHyphens/>
        <w:spacing w:after="0" w:line="320" w:lineRule="exact"/>
        <w:rPr>
          <w:rFonts w:ascii="Garamond" w:hAnsi="Garamond"/>
          <w:sz w:val="24"/>
          <w:szCs w:val="24"/>
        </w:rPr>
      </w:pPr>
      <w:r>
        <w:rPr>
          <w:rFonts w:ascii="Garamond" w:hAnsi="Garamond"/>
          <w:sz w:val="24"/>
          <w:szCs w:val="24"/>
        </w:rPr>
        <w:t>4.20.1.</w:t>
      </w:r>
      <w:r>
        <w:rPr>
          <w:rFonts w:ascii="Garamond" w:hAnsi="Garamond"/>
          <w:sz w:val="24"/>
          <w:szCs w:val="24"/>
        </w:rPr>
        <w:tab/>
      </w:r>
      <w:r w:rsidR="00A6465C" w:rsidRPr="00A6465C">
        <w:rPr>
          <w:rFonts w:ascii="Garamond" w:hAnsi="Garamond"/>
          <w:sz w:val="24"/>
          <w:szCs w:val="24"/>
        </w:rPr>
        <w:t xml:space="preserve">4.20.1. Até o início de operação da Central de Balanços do Sistema Público de Escrituração Digital (SPED) (“Central de Balanços”), nos termos da Portaria do Ministério da Economia nº 529, de 26 de setembro de 2019 (“Portaria ME nº 529/19”), que regulamentou o disposto no artigo 289, § 4º da Lei das Sociedades por Ações, conforme </w:t>
      </w:r>
      <w:r w:rsidR="00A6465C" w:rsidRPr="005F6347">
        <w:rPr>
          <w:rFonts w:ascii="Garamond" w:hAnsi="Garamond"/>
          <w:sz w:val="24"/>
          <w:szCs w:val="24"/>
        </w:rPr>
        <w:t xml:space="preserve">redação que lhe foi conferida pela Medida Provisória nº 892, de 5 de agosto de 2019 </w:t>
      </w:r>
      <w:r w:rsidR="00A6465C" w:rsidRPr="00357334">
        <w:rPr>
          <w:rFonts w:ascii="Garamond" w:hAnsi="Garamond"/>
          <w:sz w:val="24"/>
          <w:szCs w:val="24"/>
        </w:rPr>
        <w:t>(“Medida Provisória 892”)</w:t>
      </w:r>
      <w:r w:rsidR="00A6465C" w:rsidRPr="005F6347">
        <w:rPr>
          <w:rFonts w:ascii="Garamond" w:hAnsi="Garamond"/>
          <w:sz w:val="24"/>
          <w:szCs w:val="24"/>
        </w:rPr>
        <w:t>, todos</w:t>
      </w:r>
      <w:r w:rsidR="00A6465C" w:rsidRPr="00A6465C">
        <w:rPr>
          <w:rFonts w:ascii="Garamond" w:hAnsi="Garamond"/>
          <w:sz w:val="24"/>
          <w:szCs w:val="24"/>
        </w:rPr>
        <w:t xml:space="preserve"> os atos e decisões a serem tomados decorrentes desta Emissão que, de qualquer forma, vierem a envolver interesses dos Debenturistas, </w:t>
      </w:r>
      <w:r w:rsidR="00A6465C" w:rsidRPr="00A6465C">
        <w:rPr>
          <w:rFonts w:ascii="Garamond" w:hAnsi="Garamond"/>
          <w:sz w:val="24"/>
          <w:szCs w:val="24"/>
        </w:rPr>
        <w:lastRenderedPageBreak/>
        <w:t xml:space="preserve">deverão ser obrigatoriamente comunicados na forma de avisos (“Aviso aos Debenturistas”) nos Jornais de Publicação da Emissora, bem como na página da Emissora na rede mundial de computadores (www.tubaraosaneamento.com.br), sendo certo que, caso a Emissora altere seu jornal de publicação após a Data de Emissão, deverá enviar notificação ao Agente Fiduciário informando o novo veículo </w:t>
      </w:r>
      <w:r w:rsidR="00A6465C" w:rsidRPr="005F6347">
        <w:rPr>
          <w:rFonts w:ascii="Garamond" w:hAnsi="Garamond"/>
          <w:sz w:val="24"/>
          <w:szCs w:val="24"/>
        </w:rPr>
        <w:t>para divulgação de suas informações.</w:t>
      </w:r>
    </w:p>
    <w:p w:rsidR="00A6465C" w:rsidRPr="005F6347" w:rsidRDefault="00A6465C" w:rsidP="00A6465C">
      <w:pPr>
        <w:tabs>
          <w:tab w:val="left" w:pos="851"/>
          <w:tab w:val="left" w:pos="1134"/>
        </w:tabs>
        <w:suppressAutoHyphens/>
        <w:spacing w:after="0" w:line="320" w:lineRule="exact"/>
        <w:rPr>
          <w:rFonts w:ascii="Garamond" w:hAnsi="Garamond"/>
          <w:sz w:val="24"/>
          <w:szCs w:val="24"/>
        </w:rPr>
      </w:pPr>
    </w:p>
    <w:p w:rsidR="00A6465C" w:rsidRPr="00A6465C" w:rsidRDefault="00A6465C" w:rsidP="00A6465C">
      <w:pPr>
        <w:tabs>
          <w:tab w:val="left" w:pos="851"/>
          <w:tab w:val="left" w:pos="1134"/>
        </w:tabs>
        <w:suppressAutoHyphens/>
        <w:spacing w:after="0" w:line="320" w:lineRule="exact"/>
        <w:rPr>
          <w:rFonts w:ascii="Garamond" w:hAnsi="Garamond"/>
          <w:sz w:val="24"/>
          <w:szCs w:val="24"/>
        </w:rPr>
      </w:pPr>
      <w:r w:rsidRPr="005F6347">
        <w:rPr>
          <w:rFonts w:ascii="Garamond" w:hAnsi="Garamond"/>
          <w:sz w:val="24"/>
          <w:szCs w:val="24"/>
        </w:rPr>
        <w:t xml:space="preserve">4.20.2. Após o início de operação da Central de Balanços </w:t>
      </w:r>
      <w:r w:rsidRPr="00357334">
        <w:rPr>
          <w:rFonts w:ascii="Garamond" w:hAnsi="Garamond"/>
          <w:sz w:val="24"/>
          <w:szCs w:val="24"/>
        </w:rPr>
        <w:t>e enquanto a Medida Provisória 892 estiver em vigor e/ou for convertida em lei</w:t>
      </w:r>
      <w:r w:rsidRPr="005F6347">
        <w:rPr>
          <w:rFonts w:ascii="Garamond" w:hAnsi="Garamond"/>
          <w:sz w:val="24"/>
          <w:szCs w:val="24"/>
        </w:rPr>
        <w:t>, todos os atos e decisões a serem tomados decorrentes desta Emissão que, de qualquer forma</w:t>
      </w:r>
      <w:r w:rsidRPr="00A6465C">
        <w:rPr>
          <w:rFonts w:ascii="Garamond" w:hAnsi="Garamond"/>
          <w:sz w:val="24"/>
          <w:szCs w:val="24"/>
        </w:rPr>
        <w:t>, vierem a envolver interesses dos Debenturistas, deverão ser comunicados na forma de Aviso aos Debenturistas, exclusivamente na referida Central de Balanços e na página da Emissora na rede mundial de computadores (www.tubaraosaneamento.com.br),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tabs>
          <w:tab w:val="left" w:pos="851"/>
          <w:tab w:val="left" w:pos="1134"/>
        </w:tabs>
        <w:suppressAutoHyphens/>
        <w:spacing w:after="0" w:line="320" w:lineRule="exact"/>
        <w:rPr>
          <w:rFonts w:ascii="Garamond" w:hAnsi="Garamond"/>
          <w:sz w:val="24"/>
          <w:szCs w:val="24"/>
        </w:rPr>
      </w:pPr>
    </w:p>
    <w:p w:rsidR="004C045E" w:rsidRPr="00FD53B4" w:rsidRDefault="00A6465C" w:rsidP="00A6465C">
      <w:pPr>
        <w:tabs>
          <w:tab w:val="left" w:pos="851"/>
          <w:tab w:val="left" w:pos="1134"/>
        </w:tabs>
        <w:suppressAutoHyphens/>
        <w:spacing w:after="0" w:line="320" w:lineRule="exact"/>
        <w:rPr>
          <w:rFonts w:ascii="Garamond" w:hAnsi="Garamond"/>
          <w:b/>
          <w:sz w:val="24"/>
          <w:szCs w:val="24"/>
        </w:rPr>
      </w:pPr>
      <w:r w:rsidRPr="00A6465C">
        <w:rPr>
          <w:rFonts w:ascii="Garamond" w:hAnsi="Garamond"/>
          <w:sz w:val="24"/>
          <w:szCs w:val="24"/>
        </w:rPr>
        <w:t>4.20.3. Sem prejuízo do disposto nas Cláusulas 4.20.1 e 4.20.2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Pr="00A6465C" w:rsidDel="004168F3">
        <w:rPr>
          <w:rFonts w:ascii="Garamond" w:hAnsi="Garamond"/>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5F6347">
      <w:pPr>
        <w:keepNext/>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357334">
      <w:pPr>
        <w:keepNext/>
        <w:keepLines/>
        <w:tabs>
          <w:tab w:val="left" w:pos="851"/>
        </w:tabs>
        <w:suppressAutoHyphens/>
        <w:spacing w:after="0" w:line="320" w:lineRule="exact"/>
        <w:rPr>
          <w:rFonts w:ascii="Garamond" w:hAnsi="Garamond"/>
          <w:sz w:val="24"/>
          <w:szCs w:val="24"/>
        </w:rPr>
      </w:pPr>
    </w:p>
    <w:p w:rsidR="004C045E" w:rsidRPr="00FD53B4" w:rsidRDefault="004C045E" w:rsidP="0035733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357334">
      <w:pPr>
        <w:keepNext/>
        <w:keepLines/>
        <w:suppressAutoHyphens/>
        <w:spacing w:after="0" w:line="320" w:lineRule="exact"/>
        <w:rPr>
          <w:rFonts w:ascii="Garamond" w:hAnsi="Garamond"/>
          <w:b/>
          <w:sz w:val="24"/>
          <w:szCs w:val="24"/>
        </w:rPr>
      </w:pPr>
    </w:p>
    <w:p w:rsidR="004C045E" w:rsidRPr="00FD53B4" w:rsidRDefault="004C045E" w:rsidP="00357334">
      <w:pPr>
        <w:keepNext/>
        <w:keepLines/>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357334">
      <w:pPr>
        <w:keepNext/>
        <w:keepLines/>
        <w:suppressAutoHyphens/>
        <w:spacing w:after="0" w:line="320" w:lineRule="exact"/>
        <w:rPr>
          <w:rFonts w:ascii="Garamond" w:hAnsi="Garamond"/>
          <w:b/>
          <w:sz w:val="24"/>
          <w:szCs w:val="24"/>
        </w:rPr>
      </w:pPr>
    </w:p>
    <w:p w:rsidR="004C045E" w:rsidRPr="00FD53B4" w:rsidRDefault="004C045E" w:rsidP="00357334">
      <w:pPr>
        <w:keepNext/>
        <w:keepLines/>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(ii) a quantidade de Debêntures objeto do Resgate Antecipado Facultativo; (iii) a forma de cálculo do valor aproximado do Resgate Antecipado Facultativo; e (iv)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w:t>
      </w:r>
      <w:r w:rsidR="00D319F0">
        <w:rPr>
          <w:rFonts w:ascii="Garamond" w:hAnsi="Garamond"/>
          <w:sz w:val="24"/>
          <w:szCs w:val="24"/>
        </w:rPr>
        <w:t> </w:t>
      </w:r>
      <w:r w:rsidRPr="00FD53B4">
        <w:rPr>
          <w:rFonts w:ascii="Garamond" w:hAnsi="Garamond"/>
          <w:sz w:val="24"/>
          <w:szCs w:val="24"/>
        </w:rPr>
        <w:t>(cinco)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9F320A" w:rsidRDefault="004C045E" w:rsidP="00CF22BD">
      <w:pPr>
        <w:tabs>
          <w:tab w:val="left" w:pos="709"/>
          <w:tab w:val="left" w:pos="1134"/>
        </w:tabs>
        <w:suppressAutoHyphens/>
        <w:spacing w:after="0" w:line="320" w:lineRule="exact"/>
        <w:rPr>
          <w:rFonts w:ascii="Garamond" w:hAnsi="Garamond"/>
          <w:b/>
          <w:bCs/>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w:t>
      </w:r>
      <w:r w:rsidRPr="00FD53B4">
        <w:rPr>
          <w:rFonts w:ascii="Garamond" w:hAnsi="Garamond"/>
          <w:sz w:val="24"/>
          <w:szCs w:val="24"/>
        </w:rPr>
        <w:lastRenderedPageBreak/>
        <w:t>acrescido de (i)</w:t>
      </w:r>
      <w:r w:rsidR="00D319F0">
        <w:rPr>
          <w:rFonts w:ascii="Garamond" w:hAnsi="Garamond"/>
          <w:sz w:val="24"/>
          <w:szCs w:val="24"/>
        </w:rPr>
        <w:t> </w:t>
      </w:r>
      <w:r w:rsidRPr="00FD53B4">
        <w:rPr>
          <w:rFonts w:ascii="Garamond" w:hAnsi="Garamond"/>
          <w:sz w:val="24"/>
          <w:szCs w:val="24"/>
        </w:rPr>
        <w:t xml:space="preserve">Remuneração, calculada </w:t>
      </w:r>
      <w:r w:rsidRPr="00FD53B4">
        <w:rPr>
          <w:rFonts w:ascii="Garamond" w:hAnsi="Garamond"/>
          <w:i/>
          <w:iCs/>
          <w:sz w:val="24"/>
          <w:szCs w:val="24"/>
        </w:rPr>
        <w:t xml:space="preserve">pro rata temporis </w:t>
      </w:r>
      <w:r w:rsidRPr="00FD53B4">
        <w:rPr>
          <w:rFonts w:ascii="Garamond" w:hAnsi="Garamond"/>
          <w:sz w:val="24"/>
          <w:szCs w:val="24"/>
        </w:rPr>
        <w:t xml:space="preserve">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w:t>
      </w:r>
      <w:r w:rsidR="009C11B6" w:rsidRPr="009C11B6">
        <w:rPr>
          <w:rFonts w:ascii="Garamond" w:hAnsi="Garamond"/>
          <w:sz w:val="24"/>
          <w:szCs w:val="24"/>
        </w:rPr>
        <w:t>no</w:t>
      </w:r>
      <w:r w:rsidRPr="00E44927">
        <w:rPr>
          <w:rFonts w:ascii="Garamond" w:hAnsi="Garamond"/>
          <w:sz w:val="24"/>
          <w:szCs w:val="24"/>
        </w:rPr>
        <w:t xml:space="preserve"> âmbito da B3</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(ii)</w:t>
      </w:r>
      <w:r w:rsidR="00781744">
        <w:rPr>
          <w:rFonts w:ascii="Garamond" w:eastAsia="Arial Unicode MS" w:hAnsi="Garamond"/>
          <w:szCs w:val="24"/>
        </w:rPr>
        <w:t> </w:t>
      </w:r>
      <w:r w:rsidRPr="0083407F">
        <w:rPr>
          <w:rFonts w:ascii="Garamond" w:eastAsia="Arial Unicode MS" w:hAnsi="Garamond"/>
          <w:szCs w:val="24"/>
        </w:rPr>
        <w:t>R$ 15.000.000,00 (quinze m</w:t>
      </w:r>
      <w:r w:rsidRPr="00317AE2">
        <w:rPr>
          <w:rFonts w:ascii="Garamond" w:eastAsia="Arial Unicode MS" w:hAnsi="Garamond"/>
          <w:szCs w:val="24"/>
        </w:rPr>
        <w:t xml:space="preserve">ilhões de reais) para cada Fiadora; e (iii) 10% (dez por cento) do ativo total apurado na demonstração financeira </w:t>
      </w:r>
      <w:r w:rsidRPr="00317AE2">
        <w:rPr>
          <w:rFonts w:ascii="Garamond" w:eastAsia="Arial Unicode MS" w:hAnsi="Garamond"/>
          <w:szCs w:val="24"/>
        </w:rPr>
        <w:lastRenderedPageBreak/>
        <w:t>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r w:rsidRPr="006B003B">
        <w:rPr>
          <w:rFonts w:ascii="Garamond" w:eastAsia="Arial Unicode MS" w:hAnsi="Garamond"/>
          <w:i/>
          <w:szCs w:val="24"/>
        </w:rPr>
        <w:t>Foreign Corrupt Practices Act of</w:t>
      </w:r>
      <w:r w:rsidRPr="006B003B">
        <w:rPr>
          <w:rFonts w:ascii="Garamond" w:eastAsia="Arial Unicode MS" w:hAnsi="Garamond"/>
          <w:szCs w:val="24"/>
        </w:rPr>
        <w:t xml:space="preserve"> 1977 e o </w:t>
      </w:r>
      <w:r w:rsidRPr="006B003B">
        <w:rPr>
          <w:rFonts w:ascii="Garamond" w:eastAsia="Arial Unicode MS" w:hAnsi="Garamond"/>
          <w:i/>
          <w:szCs w:val="24"/>
        </w:rPr>
        <w:t>UK Bribery Act</w:t>
      </w:r>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w:t>
      </w:r>
      <w:r w:rsidR="00D319F0">
        <w:rPr>
          <w:rFonts w:ascii="Garamond" w:hAnsi="Garamond"/>
          <w:szCs w:val="24"/>
        </w:rPr>
        <w:t> </w:t>
      </w:r>
      <w:r w:rsidRPr="0083407F">
        <w:rPr>
          <w:rFonts w:ascii="Garamond" w:hAnsi="Garamond"/>
          <w:szCs w:val="24"/>
        </w:rPr>
        <w:t>(dois milhões de reais</w:t>
      </w:r>
      <w:r w:rsidR="00D319F0">
        <w:rPr>
          <w:rFonts w:ascii="Garamond" w:hAnsi="Garamond"/>
          <w:szCs w:val="24"/>
        </w:rPr>
        <w:t>)</w:t>
      </w:r>
      <w:r w:rsidRPr="0083407F">
        <w:rPr>
          <w:rFonts w:ascii="Garamond" w:hAnsi="Garamond"/>
          <w:szCs w:val="24"/>
        </w:rPr>
        <w:t xml:space="preserve">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lastRenderedPageBreak/>
        <w:t>se as Garantias não forem devidamente constituídas e mantidas de forma válida, plena, eficaz e exequível; ou, de qualquer forma, deixarem de existir ou forem rescindidas, exceto (i) se não for revertida no prazo máximo de 15 (quinze) Dias Úteis contado da sua ocorrência; ou (ii)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alteração ou transferência do controle acionário/societário, que resulte na perda, pela Iguá Fundo de Investimentos em Participações Multiestratégia,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Debenturistas de ambas as séries. Desde já, os Debenturistas dão ciência e concordam com eventual participação que a Alberta Investment Management Corporation venha a ter no FIP Iguá, por si ou por meio de qualquer de suas afiliadas (“</w:t>
      </w:r>
      <w:r w:rsidRPr="0083407F">
        <w:rPr>
          <w:rFonts w:ascii="Garamond" w:eastAsia="Arial Unicode MS" w:hAnsi="Garamond"/>
          <w:szCs w:val="24"/>
          <w:u w:val="single"/>
        </w:rPr>
        <w:t>Aimco</w:t>
      </w:r>
      <w:r w:rsidRPr="0083407F">
        <w:rPr>
          <w:rFonts w:ascii="Garamond" w:eastAsia="Arial Unicode MS" w:hAnsi="Garamond"/>
          <w:szCs w:val="24"/>
        </w:rPr>
        <w:t xml:space="preserve">”), independentemente de qual venha a ser a porcentagem da participação da Aimco no FIP Iguá,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 xml:space="preserve">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w:t>
      </w:r>
      <w:r w:rsidRPr="0083407F">
        <w:rPr>
          <w:rFonts w:ascii="Garamond" w:eastAsia="Arial Unicode MS" w:hAnsi="Garamond"/>
          <w:szCs w:val="24"/>
        </w:rPr>
        <w:lastRenderedPageBreak/>
        <w:t>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w:t>
      </w:r>
      <w:r w:rsidR="00781744">
        <w:rPr>
          <w:rFonts w:ascii="Garamond" w:hAnsi="Garamond"/>
          <w:szCs w:val="24"/>
        </w:rPr>
        <w:t> </w:t>
      </w:r>
      <w:r w:rsidRPr="0083407F">
        <w:rPr>
          <w:rFonts w:ascii="Garamond" w:hAnsi="Garamond"/>
          <w:szCs w:val="24"/>
        </w:rPr>
        <w:t>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e/ou das Fiadoras, exceto se (a)</w:t>
      </w:r>
      <w:r w:rsidR="00781744">
        <w:rPr>
          <w:rFonts w:ascii="Garamond" w:hAnsi="Garamond"/>
          <w:szCs w:val="24"/>
        </w:rPr>
        <w:t> </w:t>
      </w:r>
      <w:r w:rsidRPr="00317AE2">
        <w:rPr>
          <w:rFonts w:ascii="Garamond" w:hAnsi="Garamond"/>
          <w:szCs w:val="24"/>
        </w:rPr>
        <w:t xml:space="preserve">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lastRenderedPageBreak/>
        <w:t xml:space="preserve">distribuição de dividendos cujo valor supere </w:t>
      </w:r>
      <w:r w:rsidRPr="00317AE2">
        <w:rPr>
          <w:rFonts w:ascii="Garamond" w:hAnsi="Garamond"/>
          <w:szCs w:val="24"/>
        </w:rPr>
        <w:t>os dividendos mínimos obrigatórios nos termos do artigo 202 da Lei das Sociedades por Ações, ou juros sobre o capital próprio pela Emissora, exceto (i) se a Emissora estiver adimplent</w:t>
      </w:r>
      <w:r w:rsidRPr="006B003B">
        <w:rPr>
          <w:rFonts w:ascii="Garamond" w:hAnsi="Garamond"/>
          <w:szCs w:val="24"/>
        </w:rPr>
        <w:t>e com as obrigações pecuniári</w:t>
      </w:r>
      <w:r w:rsidRPr="00450B2C">
        <w:rPr>
          <w:rFonts w:ascii="Garamond" w:hAnsi="Garamond"/>
          <w:szCs w:val="24"/>
        </w:rPr>
        <w:t>as desta Escritura de Emissão; ou (ii)</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arts.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 xml:space="preserve">descumprimento, pela Emissora ou pelas Fiadoras, de qualquer obrigação não pecuniária prevista nesta Escritura ou em qualquer dos documentos relacionados </w:t>
      </w:r>
      <w:r w:rsidRPr="001D0DC8">
        <w:rPr>
          <w:rFonts w:ascii="Garamond" w:eastAsia="Arial Unicode MS" w:hAnsi="Garamond"/>
          <w:szCs w:val="24"/>
        </w:rPr>
        <w:lastRenderedPageBreak/>
        <w:t>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w:t>
      </w:r>
      <w:r w:rsidR="00781744">
        <w:rPr>
          <w:rFonts w:ascii="Garamond" w:eastAsia="Arial Unicode MS" w:hAnsi="Garamond"/>
          <w:szCs w:val="24"/>
        </w:rPr>
        <w:t> </w:t>
      </w:r>
      <w:r w:rsidRPr="00317AE2">
        <w:rPr>
          <w:rFonts w:ascii="Garamond" w:eastAsia="Arial Unicode MS" w:hAnsi="Garamond"/>
          <w:szCs w:val="24"/>
        </w:rPr>
        <w:t>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 xml:space="preserve">salvo se (a) o protesto tiver sido efetuado por erro ou má-fé de terceiros, desde que validamente comprovado pela Emissora e/ou Fiadoras ao Agente Fiduciário; (b) se o(s) protesto(s) foi(ram) </w:t>
      </w:r>
      <w:r w:rsidRPr="0083407F">
        <w:rPr>
          <w:rFonts w:ascii="Garamond" w:hAnsi="Garamond"/>
          <w:szCs w:val="24"/>
        </w:rPr>
        <w:t>efetivamente suspenso(s) dentro do prazo de até 30 (trinta) dias contados da data do respectivo evento, e apenas enquanto durarem os efeitos da suspensão; (c)</w:t>
      </w:r>
      <w:r w:rsidR="00781744">
        <w:rPr>
          <w:rFonts w:ascii="Garamond" w:hAnsi="Garamond"/>
          <w:szCs w:val="24"/>
        </w:rPr>
        <w:t> </w:t>
      </w:r>
      <w:r w:rsidRPr="0083407F">
        <w:rPr>
          <w:rFonts w:ascii="Garamond" w:hAnsi="Garamond"/>
          <w:szCs w:val="24"/>
        </w:rPr>
        <w:t>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existência de qualquer laudo arbitral, decisão (inclusive na esfera administrativa) ou sentença de primeira instância, condenando ou determinando pagamento, pela Emissora e/ou Controladas, cujo valor, individual ou agregado, seja superior a R$</w:t>
      </w:r>
      <w:r w:rsidR="00781744">
        <w:rPr>
          <w:rFonts w:ascii="Garamond" w:hAnsi="Garamond"/>
          <w:szCs w:val="24"/>
        </w:rPr>
        <w:t>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w:t>
      </w:r>
      <w:r w:rsidRPr="00FD53B4">
        <w:rPr>
          <w:rFonts w:ascii="Garamond" w:hAnsi="Garamond"/>
          <w:sz w:val="24"/>
          <w:szCs w:val="24"/>
        </w:rPr>
        <w:lastRenderedPageBreak/>
        <w:t xml:space="preserve">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Caso a Emissora não proceda ao pagamento das Debêntures dentro do prazo de 3</w:t>
      </w:r>
      <w:r w:rsidR="00D319F0">
        <w:rPr>
          <w:rFonts w:ascii="Garamond" w:hAnsi="Garamond"/>
          <w:sz w:val="24"/>
          <w:szCs w:val="24"/>
        </w:rPr>
        <w:t> </w:t>
      </w:r>
      <w:r w:rsidRPr="00FD53B4">
        <w:rPr>
          <w:rFonts w:ascii="Garamond" w:hAnsi="Garamond"/>
          <w:sz w:val="24"/>
          <w:szCs w:val="24"/>
        </w:rPr>
        <w:t xml:space="preserve">(três)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 xml:space="preserve">O pagamento dos valores devidos pela Emissora e Fiadoras em decorrência de Evento de Vencimento Antecipado, automático ou não deverá ocorrer </w:t>
      </w:r>
      <w:r w:rsidR="009C11B6">
        <w:rPr>
          <w:rFonts w:ascii="Garamond" w:hAnsi="Garamond"/>
          <w:sz w:val="24"/>
          <w:szCs w:val="24"/>
        </w:rPr>
        <w:t>n</w:t>
      </w:r>
      <w:r w:rsidRPr="00FD53B4">
        <w:rPr>
          <w:rFonts w:ascii="Garamond" w:hAnsi="Garamond"/>
          <w:sz w:val="24"/>
          <w:szCs w:val="24"/>
        </w:rPr>
        <w:t xml:space="preserve">o ambiente B3. </w:t>
      </w:r>
      <w:r w:rsidR="00002CD8">
        <w:rPr>
          <w:rFonts w:ascii="Garamond" w:hAnsi="Garamond"/>
          <w:sz w:val="24"/>
          <w:szCs w:val="24"/>
        </w:rPr>
        <w:t>A</w:t>
      </w:r>
      <w:r w:rsidRPr="00FD53B4">
        <w:rPr>
          <w:rFonts w:ascii="Garamond" w:hAnsi="Garamond"/>
          <w:sz w:val="24"/>
          <w:szCs w:val="24"/>
        </w:rPr>
        <w:t xml:space="preserve"> B3 deverá ser comunicada imediatamente após a declaração do vencimento antecipado</w:t>
      </w:r>
      <w:r w:rsidR="009C11B6">
        <w:rPr>
          <w:rFonts w:ascii="Garamond" w:hAnsi="Garamond"/>
          <w:sz w:val="24"/>
          <w:szCs w:val="24"/>
        </w:rPr>
        <w:t xml:space="preserve"> e com antecedência mínima de 3 (três) Dias Úteis contados da data de realização do pagamento em decorrência de Evento de Vencimento Antecipado</w:t>
      </w:r>
      <w:r w:rsidRPr="00FD53B4">
        <w:rPr>
          <w:rFonts w:ascii="Garamond" w:hAnsi="Garamond"/>
          <w:sz w:val="24"/>
          <w:szCs w:val="24"/>
        </w:rPr>
        <w:t>.</w:t>
      </w:r>
      <w:r w:rsidR="00002CD8">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983474">
      <w:pPr>
        <w:keepNext/>
        <w:suppressAutoHyphens/>
        <w:spacing w:after="0" w:line="320" w:lineRule="exact"/>
        <w:rPr>
          <w:rFonts w:ascii="Garamond" w:hAnsi="Garamond"/>
          <w:b/>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983474">
      <w:pPr>
        <w:keepNext/>
        <w:tabs>
          <w:tab w:val="left" w:pos="709"/>
        </w:tabs>
        <w:suppressAutoHyphens/>
        <w:spacing w:after="0" w:line="320" w:lineRule="exact"/>
        <w:rPr>
          <w:rFonts w:ascii="Garamond" w:hAnsi="Garamond"/>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lastRenderedPageBreak/>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lastRenderedPageBreak/>
        <w:t>dentro de até 3</w:t>
      </w:r>
      <w:r w:rsidRPr="00317AE2">
        <w:rPr>
          <w:rFonts w:ascii="Garamond" w:hAnsi="Garamond"/>
        </w:rPr>
        <w:t xml:space="preserve"> (três) Dias Úteis após a sua publicação, </w:t>
      </w:r>
      <w:r w:rsidRPr="006B003B">
        <w:rPr>
          <w:rFonts w:ascii="Garamond" w:hAnsi="Garamond"/>
        </w:rPr>
        <w:t>cópia eletrônica (pdf)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 xml:space="preserve">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reputacional ou de imagem); e/ou (3.2) qualquer efeito adverso na </w:t>
      </w:r>
      <w:r w:rsidRPr="0083407F">
        <w:rPr>
          <w:rFonts w:ascii="Garamond" w:hAnsi="Garamond" w:cs="Calibri"/>
        </w:rPr>
        <w:lastRenderedPageBreak/>
        <w:t xml:space="preserve">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à auditoria, por auditor registrado na CVM; (iii)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(iv)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xml:space="preserve">”), no tocante ao dever de sigilo e vedações à negociação; (vi) divulgar, em sua página na rede mundial de </w:t>
      </w:r>
      <w:r w:rsidRPr="0083407F">
        <w:rPr>
          <w:rFonts w:ascii="Garamond" w:hAnsi="Garamond"/>
        </w:rPr>
        <w:lastRenderedPageBreak/>
        <w:t>computadores, a ocorrência de fato relevante, conforme definido pelo artigo 2º da Instrução CVM 358; (vii) fornecer as informações solicitadas pela CVM e/ou pela B3; (viii) divulgar, em sua página na rede mundial de computadores, o relatório citado na alínea “k” da Cláusula 8.4.1 abaixo, e demais comunicações enviadas pelo Agente Fiduciário, na mesma data do seu recebimento; e (ix) manter os documentos mencionados nos itens (iii), (iv)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contratar e manter contratados, às suas expensas, durante todo o prazo de vigência das Debêntures, os prestadores de serviços inerentes às obrigações previstas nesta Escritura, incluindo: (i) Agente de Liquidação e o Escriturador; (ii) Agente Fiduciário; e (iii)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lastRenderedPageBreak/>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lastRenderedPageBreak/>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(ii)</w:t>
      </w:r>
      <w:r w:rsidR="00D319F0">
        <w:rPr>
          <w:rFonts w:ascii="Garamond" w:hAnsi="Garamond"/>
        </w:rPr>
        <w:t> </w:t>
      </w:r>
      <w:r w:rsidRPr="001D0DC8">
        <w:rPr>
          <w:rFonts w:ascii="Garamond" w:hAnsi="Garamond"/>
        </w:rPr>
        <w:t>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(ii)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w:t>
      </w:r>
      <w:r w:rsidR="00D319F0">
        <w:rPr>
          <w:rFonts w:ascii="Garamond" w:hAnsi="Garamond" w:cs="Tahoma"/>
        </w:rPr>
        <w:t> </w:t>
      </w:r>
      <w:r w:rsidRPr="001D0DC8">
        <w:rPr>
          <w:rFonts w:ascii="Garamond" w:hAnsi="Garamond" w:cs="Tahoma"/>
        </w:rPr>
        <w:t>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w:t>
      </w:r>
      <w:r w:rsidR="00D319F0">
        <w:rPr>
          <w:rFonts w:ascii="Garamond" w:eastAsia="Arial Unicode MS" w:hAnsi="Garamond" w:cs="Arial"/>
          <w:sz w:val="24"/>
          <w:szCs w:val="24"/>
          <w:lang w:val="pt-BR"/>
        </w:rPr>
        <w:t>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w:t>
      </w:r>
      <w:r w:rsidRPr="00FD53B4">
        <w:rPr>
          <w:rFonts w:ascii="Garamond" w:eastAsia="Arial Unicode MS" w:hAnsi="Garamond" w:cs="Arial"/>
          <w:sz w:val="24"/>
          <w:szCs w:val="24"/>
          <w:lang w:val="pt-BR"/>
        </w:rPr>
        <w:lastRenderedPageBreak/>
        <w:t>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983474">
      <w:pPr>
        <w:pStyle w:val="CTTCorpodeTexto"/>
        <w:keepNext/>
        <w:keepLines/>
        <w:tabs>
          <w:tab w:val="left" w:pos="1620"/>
        </w:tabs>
        <w:spacing w:before="0" w:after="0" w:line="320" w:lineRule="exact"/>
        <w:rPr>
          <w:rFonts w:ascii="Garamond" w:hAnsi="Garamond"/>
        </w:rPr>
      </w:pPr>
    </w:p>
    <w:p w:rsidR="004C045E" w:rsidRPr="00FD53B4" w:rsidRDefault="004C045E" w:rsidP="0098347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lastRenderedPageBreak/>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w:t>
      </w:r>
      <w:r w:rsidR="00D319F0">
        <w:rPr>
          <w:rFonts w:ascii="Garamond" w:hAnsi="Garamond"/>
          <w:bCs/>
          <w:color w:val="000000"/>
          <w:sz w:val="24"/>
          <w:szCs w:val="24"/>
        </w:rPr>
        <w:t> </w:t>
      </w:r>
      <w:r w:rsidRPr="00FD53B4">
        <w:rPr>
          <w:rFonts w:ascii="Garamond" w:hAnsi="Garamond"/>
          <w:bCs/>
          <w:color w:val="000000"/>
          <w:sz w:val="24"/>
          <w:szCs w:val="24"/>
        </w:rPr>
        <w:t>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w:t>
      </w:r>
      <w:r w:rsidR="00D319F0">
        <w:rPr>
          <w:rFonts w:ascii="Garamond" w:hAnsi="Garamond"/>
          <w:color w:val="000000"/>
          <w:sz w:val="24"/>
          <w:szCs w:val="24"/>
        </w:rPr>
        <w:t> </w:t>
      </w:r>
      <w:r w:rsidRPr="00FD53B4">
        <w:rPr>
          <w:rFonts w:ascii="Garamond" w:hAnsi="Garamond"/>
          <w:color w:val="000000"/>
          <w:sz w:val="24"/>
          <w:szCs w:val="24"/>
        </w:rPr>
        <w:t xml:space="preserve">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 xml:space="preserve">As parcelas serão acrescidas de (i) Imposto Sobre Serviços de qualquer natureza (ISS) (ii) Programa de Integração Social (PIS); (iii) Contribuição para Financiamento da Seguridade Social (COFINS) e (iv) quaisquer outros impostos que venham a incidir sobre </w:t>
      </w:r>
      <w:r w:rsidRPr="00FD53B4">
        <w:rPr>
          <w:rFonts w:ascii="Garamond" w:hAnsi="Garamond"/>
          <w:color w:val="000000"/>
          <w:sz w:val="24"/>
          <w:szCs w:val="24"/>
        </w:rPr>
        <w:lastRenderedPageBreak/>
        <w:t xml:space="preserve">a remuneração da Simplific Pavarini, excetuando-se o IRRF e CSLL, nas alíquotas vigentes nas datas de cada pagamento. Atualmente o gross-up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w:t>
      </w:r>
      <w:r w:rsidR="00D623CF">
        <w:rPr>
          <w:rFonts w:ascii="Garamond" w:hAnsi="Garamond"/>
          <w:color w:val="000000"/>
          <w:sz w:val="24"/>
          <w:szCs w:val="24"/>
        </w:rPr>
        <w:t> </w:t>
      </w:r>
      <w:r w:rsidRPr="00FD53B4">
        <w:rPr>
          <w:rFonts w:ascii="Garamond" w:hAnsi="Garamond"/>
          <w:color w:val="000000"/>
          <w:sz w:val="24"/>
          <w:szCs w:val="24"/>
        </w:rPr>
        <w:t>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pro rata temporis</w:t>
      </w:r>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pro rata temporis</w:t>
      </w:r>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lastRenderedPageBreak/>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w:t>
      </w:r>
      <w:r w:rsidRPr="00FD53B4">
        <w:rPr>
          <w:rFonts w:ascii="Garamond" w:hAnsi="Garamond"/>
          <w:color w:val="000000"/>
          <w:sz w:val="24"/>
          <w:szCs w:val="24"/>
        </w:rPr>
        <w:lastRenderedPageBreak/>
        <w:t xml:space="preserve">da companhia ofertante; (ii) quantidade de valores mobiliários emitidos; (iii) valor da emissão; (iv)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lastRenderedPageBreak/>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r w:rsidRPr="00FD53B4">
        <w:rPr>
          <w:rFonts w:ascii="Garamond" w:hAnsi="Garamond"/>
          <w:i/>
          <w:sz w:val="24"/>
          <w:szCs w:val="24"/>
        </w:rPr>
        <w:t>conference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w:t>
      </w:r>
      <w:r w:rsidRPr="00FD53B4">
        <w:rPr>
          <w:rFonts w:ascii="Garamond" w:hAnsi="Garamond"/>
          <w:sz w:val="24"/>
          <w:szCs w:val="24"/>
        </w:rPr>
        <w:lastRenderedPageBreak/>
        <w:t xml:space="preserve">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913221"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913221" w:rsidRPr="00983474" w:rsidRDefault="00913221" w:rsidP="00CF22BD">
      <w:pPr>
        <w:tabs>
          <w:tab w:val="left" w:pos="0"/>
          <w:tab w:val="left" w:pos="851"/>
        </w:tabs>
        <w:spacing w:after="0" w:line="320" w:lineRule="exact"/>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xml:space="preserve">. A atuação do Agente Fiduciário limita-se ao escopo da </w:t>
      </w:r>
      <w:r w:rsidRPr="00FD53B4">
        <w:rPr>
          <w:rFonts w:ascii="Garamond" w:hAnsi="Garamond"/>
          <w:color w:val="000000"/>
          <w:sz w:val="24"/>
          <w:szCs w:val="24"/>
        </w:rPr>
        <w:lastRenderedPageBreak/>
        <w:t>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 xml:space="preserve">A convocação das Assembleias Gerais de Debenturistas se dará mediante anúncio publicado pelo menos 3 (três) vezes nos Jornais de Publicação da Emissora indicados nesta Escritura, respeitadas outras regras relacionadas à publicação de anúncio de </w:t>
      </w:r>
      <w:r w:rsidRPr="00FD53B4">
        <w:rPr>
          <w:rFonts w:ascii="Garamond" w:hAnsi="Garamond"/>
          <w:sz w:val="24"/>
          <w:szCs w:val="24"/>
        </w:rPr>
        <w:lastRenderedPageBreak/>
        <w:t>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r w:rsidRPr="00FD53B4">
        <w:rPr>
          <w:rFonts w:ascii="Garamond" w:hAnsi="Garamond"/>
          <w:i/>
          <w:sz w:val="24"/>
          <w:szCs w:val="24"/>
        </w:rPr>
        <w:t>waivers</w:t>
      </w:r>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 xml:space="preserve">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das atas das Aprovações Societárias da Emissora que aprovaram 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 xml:space="preserve">esta Escritura, o Contrato de Distribuição e os demais documentos da Oferta, bem como as obrigações previstas nos referidos documentos, constituem </w:t>
      </w:r>
      <w:r w:rsidRPr="001D0DC8">
        <w:rPr>
          <w:rFonts w:ascii="Garamond" w:eastAsia="Arial Unicode MS" w:hAnsi="Garamond"/>
          <w:color w:val="000000"/>
          <w:w w:val="0"/>
          <w:szCs w:val="24"/>
        </w:rPr>
        <w:lastRenderedPageBreak/>
        <w:t>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 xml:space="preserve">tal e de quaisquer outras obrigações impostas por lei, exceto por aquelas </w:t>
      </w:r>
      <w:r w:rsidRPr="006B003B">
        <w:rPr>
          <w:rFonts w:ascii="Garamond" w:eastAsia="Arial Unicode MS" w:hAnsi="Garamond"/>
          <w:color w:val="000000"/>
          <w:w w:val="0"/>
          <w:szCs w:val="24"/>
        </w:rPr>
        <w:lastRenderedPageBreak/>
        <w:t>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ocorreu nenhuma alteração adversa relevante nas condições econômicas, regulatórias, reputacionais,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na medida em que: (a)</w:t>
      </w:r>
      <w:r w:rsidR="00D319F0">
        <w:rPr>
          <w:rFonts w:ascii="Garamond" w:eastAsia="Arial Unicode MS" w:hAnsi="Garamond"/>
          <w:color w:val="000000"/>
          <w:w w:val="0"/>
          <w:szCs w:val="24"/>
        </w:rPr>
        <w:t> </w:t>
      </w:r>
      <w:r w:rsidRPr="006B003B">
        <w:rPr>
          <w:rFonts w:ascii="Garamond" w:eastAsia="Arial Unicode MS" w:hAnsi="Garamond"/>
          <w:color w:val="000000"/>
          <w:w w:val="0"/>
          <w:szCs w:val="24"/>
        </w:rPr>
        <w:t xml:space="preserve">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lastRenderedPageBreak/>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(xiii)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w:t>
      </w:r>
      <w:r w:rsidR="00D319F0">
        <w:rPr>
          <w:rFonts w:ascii="Garamond" w:hAnsi="Garamond"/>
          <w:szCs w:val="24"/>
        </w:rPr>
        <w:t xml:space="preserve"> </w:t>
      </w:r>
      <w:r w:rsidRPr="00D8296B">
        <w:rPr>
          <w:rFonts w:ascii="Garamond" w:hAnsi="Garamond"/>
          <w:szCs w:val="24"/>
        </w:rPr>
        <w:t>cuja não obtenção não gere nenhum Efeito Adverso Relevante</w:t>
      </w:r>
      <w:r w:rsidRPr="0083407F">
        <w:rPr>
          <w:rFonts w:ascii="Garamond" w:hAnsi="Garamond"/>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w:t>
      </w:r>
      <w:r w:rsidRPr="0083407F">
        <w:rPr>
          <w:rFonts w:ascii="Garamond" w:eastAsia="Arial Unicode MS" w:hAnsi="Garamond"/>
          <w:color w:val="000000"/>
          <w:w w:val="0"/>
          <w:szCs w:val="24"/>
        </w:rPr>
        <w:lastRenderedPageBreak/>
        <w:t xml:space="preserve">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5F6347"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5F6347">
        <w:rPr>
          <w:rFonts w:ascii="Garamond" w:hAnsi="Garamond"/>
          <w:color w:val="000000" w:themeColor="text1"/>
          <w:sz w:val="24"/>
          <w:szCs w:val="24"/>
          <w:lang w:val="en-US"/>
        </w:rPr>
        <w:t xml:space="preserve">At.: </w:t>
      </w:r>
      <w:r w:rsidRPr="005F6347">
        <w:rPr>
          <w:rFonts w:ascii="Garamond" w:hAnsi="Garamond"/>
          <w:color w:val="000000" w:themeColor="text1"/>
          <w:w w:val="0"/>
          <w:sz w:val="24"/>
          <w:szCs w:val="24"/>
          <w:lang w:val="en-US"/>
        </w:rPr>
        <w:t xml:space="preserve">Felipe Rath Fingerl e </w:t>
      </w:r>
      <w:r w:rsidR="006B003B" w:rsidRPr="005F6347">
        <w:rPr>
          <w:rFonts w:ascii="Garamond" w:hAnsi="Garamond"/>
          <w:color w:val="000000" w:themeColor="text1"/>
          <w:w w:val="0"/>
          <w:sz w:val="24"/>
          <w:szCs w:val="24"/>
          <w:lang w:val="en-US"/>
        </w:rPr>
        <w:t>João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10"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r w:rsidR="00D319F0" w:rsidRPr="00D319F0">
        <w:rPr>
          <w:rStyle w:val="Hyperlink"/>
          <w:rFonts w:ascii="Garamond" w:hAnsi="Garamond"/>
          <w:sz w:val="24"/>
          <w:szCs w:val="24"/>
        </w:rPr>
        <w:t>joao.lopes@iguasa.com.br</w:t>
      </w:r>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lastRenderedPageBreak/>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Escriturador</w:t>
      </w:r>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Tel: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w:t>
      </w:r>
      <w:r w:rsidR="00D319F0">
        <w:rPr>
          <w:rFonts w:ascii="Garamond" w:hAnsi="Garamond"/>
          <w:sz w:val="24"/>
          <w:szCs w:val="24"/>
        </w:rPr>
        <w:t> </w:t>
      </w:r>
      <w:r w:rsidRPr="00FD53B4">
        <w:rPr>
          <w:rFonts w:ascii="Garamond" w:hAnsi="Garamond"/>
          <w:sz w:val="24"/>
          <w:szCs w:val="24"/>
        </w:rPr>
        <w:t xml:space="preserve">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 xml:space="preserve">A invalidação ou nulidade, no todo ou em parte, de quaisquer das cláusulas desta Escritura não afetará as demais, que permanecerão sempre válidas e eficazes até o </w:t>
      </w:r>
      <w:r w:rsidRPr="00FD53B4">
        <w:rPr>
          <w:rFonts w:ascii="Garamond" w:hAnsi="Garamond"/>
          <w:sz w:val="24"/>
          <w:szCs w:val="24"/>
        </w:rPr>
        <w:lastRenderedPageBreak/>
        <w:t>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6" w:name="_DV_M404"/>
      <w:bookmarkStart w:id="57" w:name="_DV_M421"/>
      <w:bookmarkStart w:id="58" w:name="_DV_M423"/>
      <w:bookmarkStart w:id="59" w:name="_DV_M424"/>
      <w:bookmarkStart w:id="60" w:name="_DV_M425"/>
      <w:bookmarkStart w:id="61" w:name="_DV_M426"/>
      <w:bookmarkStart w:id="62" w:name="_DV_M427"/>
      <w:bookmarkStart w:id="63" w:name="_DV_M428"/>
      <w:bookmarkStart w:id="64" w:name="_DV_M429"/>
      <w:bookmarkStart w:id="65" w:name="_DV_M430"/>
      <w:bookmarkStart w:id="66" w:name="_DV_M431"/>
      <w:bookmarkStart w:id="67" w:name="_DV_M190"/>
      <w:bookmarkStart w:id="68" w:name="_DV_M191"/>
      <w:bookmarkStart w:id="69" w:name="_DV_M213"/>
      <w:bookmarkStart w:id="70" w:name="_DV_M214"/>
      <w:bookmarkStart w:id="71" w:name="_DV_M215"/>
      <w:bookmarkStart w:id="72" w:name="_DV_M216"/>
      <w:bookmarkStart w:id="73" w:name="_DV_M217"/>
      <w:bookmarkStart w:id="74" w:name="_DV_M218"/>
      <w:bookmarkStart w:id="75" w:name="_DV_M219"/>
      <w:bookmarkStart w:id="76" w:name="_DV_M305"/>
      <w:bookmarkStart w:id="77" w:name="_DV_M306"/>
      <w:bookmarkStart w:id="78" w:name="_DV_M307"/>
      <w:bookmarkStart w:id="79" w:name="_DV_M308"/>
      <w:bookmarkStart w:id="80" w:name="_DV_M309"/>
      <w:bookmarkStart w:id="81" w:name="_DV_M310"/>
      <w:bookmarkStart w:id="82" w:name="_DV_M313"/>
      <w:bookmarkStart w:id="83" w:name="_DV_M337"/>
      <w:bookmarkStart w:id="84" w:name="_DV_M338"/>
      <w:bookmarkStart w:id="85" w:name="_DV_M339"/>
      <w:bookmarkStart w:id="86" w:name="_DV_M340"/>
      <w:bookmarkStart w:id="87" w:name="_DV_M341"/>
      <w:bookmarkStart w:id="88" w:name="_DV_M342"/>
      <w:bookmarkStart w:id="89" w:name="_DV_M343"/>
      <w:bookmarkStart w:id="90" w:name="_DV_M344"/>
      <w:bookmarkStart w:id="91" w:name="_DV_M345"/>
      <w:bookmarkStart w:id="92" w:name="_DV_M346"/>
      <w:bookmarkStart w:id="93" w:name="_DV_M347"/>
      <w:bookmarkStart w:id="94" w:name="_DV_M348"/>
      <w:bookmarkStart w:id="95" w:name="_DV_M349"/>
      <w:bookmarkStart w:id="96" w:name="_DV_M350"/>
      <w:bookmarkStart w:id="97" w:name="_DV_M35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CA" w:rsidRDefault="009A5BCA" w:rsidP="0035410B">
      <w:pPr>
        <w:spacing w:after="0"/>
      </w:pPr>
      <w:r>
        <w:separator/>
      </w:r>
    </w:p>
  </w:endnote>
  <w:endnote w:type="continuationSeparator" w:id="0">
    <w:p w:rsidR="009A5BCA" w:rsidRDefault="009A5BCA" w:rsidP="0035410B">
      <w:pPr>
        <w:spacing w:after="0"/>
      </w:pPr>
      <w:r>
        <w:continuationSeparator/>
      </w:r>
    </w:p>
  </w:endnote>
  <w:endnote w:type="continuationNotice" w:id="1">
    <w:p w:rsidR="009A5BCA" w:rsidRDefault="009A5B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CA" w:rsidRDefault="009A5BCA">
    <w:pPr>
      <w:framePr w:wrap="around" w:vAnchor="text" w:hAnchor="margin" w:xAlign="center" w:y="1"/>
    </w:pPr>
    <w:r>
      <w:fldChar w:fldCharType="begin"/>
    </w:r>
    <w:r>
      <w:instrText xml:space="preserve">PAGE  </w:instrText>
    </w:r>
    <w:r>
      <w:fldChar w:fldCharType="separate"/>
    </w:r>
    <w:r>
      <w:rPr>
        <w:noProof/>
      </w:rPr>
      <w:t>10</w:t>
    </w:r>
    <w:r>
      <w:fldChar w:fldCharType="end"/>
    </w:r>
  </w:p>
  <w:p w:rsidR="009A5BCA" w:rsidRDefault="009A5BCA">
    <w:pPr>
      <w:ind w:right="360"/>
    </w:pPr>
  </w:p>
  <w:p w:rsidR="009A5BCA" w:rsidRDefault="009A5B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02001688"/>
      <w:docPartObj>
        <w:docPartGallery w:val="Page Numbers (Bottom of Page)"/>
        <w:docPartUnique/>
      </w:docPartObj>
    </w:sdtPr>
    <w:sdtEndPr>
      <w:rPr>
        <w:rFonts w:ascii="Verdana" w:hAnsi="Verdana"/>
      </w:rPr>
    </w:sdtEndPr>
    <w:sdtContent>
      <w:p w:rsidR="009A5BCA" w:rsidRPr="002C771E" w:rsidRDefault="009A5BCA"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9A5BCA" w:rsidRPr="00825044" w:rsidRDefault="009A5BCA"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01956"/>
      <w:docPartObj>
        <w:docPartGallery w:val="Page Numbers (Bottom of Page)"/>
        <w:docPartUnique/>
      </w:docPartObj>
    </w:sdtPr>
    <w:sdtEndPr>
      <w:rPr>
        <w:rFonts w:ascii="Verdana" w:hAnsi="Verdana"/>
        <w:sz w:val="16"/>
      </w:rPr>
    </w:sdtEndPr>
    <w:sdtContent>
      <w:p w:rsidR="009A5BCA" w:rsidRPr="00987263" w:rsidRDefault="009A5BCA"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9A5BCA" w:rsidRDefault="009A5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CA" w:rsidRDefault="009A5BCA" w:rsidP="0035410B">
      <w:pPr>
        <w:spacing w:after="0"/>
      </w:pPr>
      <w:r>
        <w:separator/>
      </w:r>
    </w:p>
  </w:footnote>
  <w:footnote w:type="continuationSeparator" w:id="0">
    <w:p w:rsidR="009A5BCA" w:rsidRDefault="009A5BCA" w:rsidP="0035410B">
      <w:pPr>
        <w:spacing w:after="0"/>
      </w:pPr>
      <w:r>
        <w:continuationSeparator/>
      </w:r>
    </w:p>
  </w:footnote>
  <w:footnote w:type="continuationNotice" w:id="1">
    <w:p w:rsidR="009A5BCA" w:rsidRDefault="009A5B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CA" w:rsidRDefault="009A5BCA">
    <w:pPr>
      <w:framePr w:wrap="around" w:vAnchor="text" w:hAnchor="margin" w:xAlign="right" w:y="1"/>
    </w:pPr>
    <w:r>
      <w:fldChar w:fldCharType="begin"/>
    </w:r>
    <w:r>
      <w:instrText xml:space="preserve">PAGE  </w:instrText>
    </w:r>
    <w:r>
      <w:fldChar w:fldCharType="separate"/>
    </w:r>
    <w:r>
      <w:rPr>
        <w:noProof/>
      </w:rPr>
      <w:t>1</w:t>
    </w:r>
    <w:r>
      <w:fldChar w:fldCharType="end"/>
    </w:r>
  </w:p>
  <w:p w:rsidR="009A5BCA" w:rsidRDefault="009A5BCA">
    <w:pPr>
      <w:ind w:right="360"/>
    </w:pPr>
  </w:p>
  <w:p w:rsidR="009A5BCA" w:rsidRDefault="009A5B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CA" w:rsidRPr="0098051D" w:rsidRDefault="009A5BCA" w:rsidP="00E44927">
    <w:pPr>
      <w:pStyle w:val="Cabealho"/>
      <w:jc w:val="left"/>
      <w:rPr>
        <w:rFonts w:ascii="Garamond" w:hAnsi="Garamond"/>
        <w:i/>
        <w:iCs/>
        <w:sz w:val="24"/>
        <w:szCs w:val="24"/>
      </w:rPr>
    </w:pPr>
    <w:r>
      <w:rPr>
        <w:rFonts w:ascii="Garamond" w:hAnsi="Garamond"/>
        <w:i/>
        <w:iCs/>
        <w:noProof/>
        <w:sz w:val="24"/>
        <w:szCs w:val="24"/>
        <w:lang w:val="en-US" w:eastAsia="en-US"/>
      </w:rPr>
      <w:drawing>
        <wp:inline distT="0" distB="0" distL="0" distR="0" wp14:anchorId="5D44D712" wp14:editId="34FBAE46">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r>
      <w:rPr>
        <w:rFonts w:ascii="Garamond" w:hAnsi="Garamond"/>
        <w:i/>
        <w:iCs/>
        <w:sz w:val="24"/>
        <w:szCs w:val="24"/>
      </w:rPr>
      <w:tab/>
    </w:r>
    <w:r>
      <w:rPr>
        <w:rFonts w:ascii="Garamond" w:hAnsi="Garamond"/>
        <w:i/>
        <w:i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8B"/>
    <w:rsid w:val="00002CD8"/>
    <w:rsid w:val="00003D79"/>
    <w:rsid w:val="000045AD"/>
    <w:rsid w:val="00026F0C"/>
    <w:rsid w:val="00030412"/>
    <w:rsid w:val="00030443"/>
    <w:rsid w:val="00037011"/>
    <w:rsid w:val="00037862"/>
    <w:rsid w:val="00037BA1"/>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41850"/>
    <w:rsid w:val="001563AD"/>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188F"/>
    <w:rsid w:val="003133B5"/>
    <w:rsid w:val="003139D4"/>
    <w:rsid w:val="00317A19"/>
    <w:rsid w:val="00317AE2"/>
    <w:rsid w:val="003204E6"/>
    <w:rsid w:val="0032358D"/>
    <w:rsid w:val="003334F1"/>
    <w:rsid w:val="00333CC4"/>
    <w:rsid w:val="00334C56"/>
    <w:rsid w:val="003522D4"/>
    <w:rsid w:val="0035410B"/>
    <w:rsid w:val="00357334"/>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3FC7"/>
    <w:rsid w:val="003D5D85"/>
    <w:rsid w:val="003E3EAD"/>
    <w:rsid w:val="003E3F5C"/>
    <w:rsid w:val="003E5523"/>
    <w:rsid w:val="003F0F85"/>
    <w:rsid w:val="003F715A"/>
    <w:rsid w:val="004001B5"/>
    <w:rsid w:val="00402E48"/>
    <w:rsid w:val="00405181"/>
    <w:rsid w:val="00407444"/>
    <w:rsid w:val="00413609"/>
    <w:rsid w:val="00416244"/>
    <w:rsid w:val="004168F3"/>
    <w:rsid w:val="00421F1C"/>
    <w:rsid w:val="00427118"/>
    <w:rsid w:val="00436322"/>
    <w:rsid w:val="00437071"/>
    <w:rsid w:val="00444D5C"/>
    <w:rsid w:val="00450B2C"/>
    <w:rsid w:val="004560AB"/>
    <w:rsid w:val="00464BEA"/>
    <w:rsid w:val="00471D7D"/>
    <w:rsid w:val="00476734"/>
    <w:rsid w:val="004768AA"/>
    <w:rsid w:val="00480469"/>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434E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5F6347"/>
    <w:rsid w:val="00603F67"/>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1744"/>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3221"/>
    <w:rsid w:val="00917B14"/>
    <w:rsid w:val="00920F00"/>
    <w:rsid w:val="00923F12"/>
    <w:rsid w:val="00924264"/>
    <w:rsid w:val="009249E0"/>
    <w:rsid w:val="00925A2C"/>
    <w:rsid w:val="00935CBA"/>
    <w:rsid w:val="009440DF"/>
    <w:rsid w:val="00954A06"/>
    <w:rsid w:val="00954E48"/>
    <w:rsid w:val="0095601B"/>
    <w:rsid w:val="0095681D"/>
    <w:rsid w:val="00973E4F"/>
    <w:rsid w:val="00977D5B"/>
    <w:rsid w:val="00977E2C"/>
    <w:rsid w:val="0098051D"/>
    <w:rsid w:val="00983474"/>
    <w:rsid w:val="00984138"/>
    <w:rsid w:val="00987263"/>
    <w:rsid w:val="00990817"/>
    <w:rsid w:val="009956B5"/>
    <w:rsid w:val="009A1DF5"/>
    <w:rsid w:val="009A5BCA"/>
    <w:rsid w:val="009A7B7E"/>
    <w:rsid w:val="009B2D5F"/>
    <w:rsid w:val="009B41AF"/>
    <w:rsid w:val="009B668B"/>
    <w:rsid w:val="009C11B6"/>
    <w:rsid w:val="009D4651"/>
    <w:rsid w:val="009E1BD0"/>
    <w:rsid w:val="009E2AA6"/>
    <w:rsid w:val="009E37EC"/>
    <w:rsid w:val="009E4327"/>
    <w:rsid w:val="009F1DFE"/>
    <w:rsid w:val="009F320A"/>
    <w:rsid w:val="009F3F9D"/>
    <w:rsid w:val="009F732C"/>
    <w:rsid w:val="00A039D5"/>
    <w:rsid w:val="00A10565"/>
    <w:rsid w:val="00A36B2E"/>
    <w:rsid w:val="00A40DF8"/>
    <w:rsid w:val="00A41C15"/>
    <w:rsid w:val="00A42A05"/>
    <w:rsid w:val="00A46862"/>
    <w:rsid w:val="00A4787E"/>
    <w:rsid w:val="00A53767"/>
    <w:rsid w:val="00A6465C"/>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AF6AD6"/>
    <w:rsid w:val="00B00526"/>
    <w:rsid w:val="00B10DDF"/>
    <w:rsid w:val="00B16A7A"/>
    <w:rsid w:val="00B178FD"/>
    <w:rsid w:val="00B245E0"/>
    <w:rsid w:val="00B26AC3"/>
    <w:rsid w:val="00B354ED"/>
    <w:rsid w:val="00B4435F"/>
    <w:rsid w:val="00B467B7"/>
    <w:rsid w:val="00B5093C"/>
    <w:rsid w:val="00B5277E"/>
    <w:rsid w:val="00B57D2A"/>
    <w:rsid w:val="00B60E0C"/>
    <w:rsid w:val="00B615F1"/>
    <w:rsid w:val="00B64DF9"/>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2BF2"/>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B4C5A"/>
    <w:rsid w:val="00CD3076"/>
    <w:rsid w:val="00CF22BD"/>
    <w:rsid w:val="00CF31F1"/>
    <w:rsid w:val="00D0379C"/>
    <w:rsid w:val="00D17AA3"/>
    <w:rsid w:val="00D234FA"/>
    <w:rsid w:val="00D24E48"/>
    <w:rsid w:val="00D25536"/>
    <w:rsid w:val="00D25A0A"/>
    <w:rsid w:val="00D27700"/>
    <w:rsid w:val="00D319F0"/>
    <w:rsid w:val="00D31E43"/>
    <w:rsid w:val="00D34BAB"/>
    <w:rsid w:val="00D41245"/>
    <w:rsid w:val="00D450E8"/>
    <w:rsid w:val="00D530F3"/>
    <w:rsid w:val="00D53E14"/>
    <w:rsid w:val="00D543FF"/>
    <w:rsid w:val="00D571B7"/>
    <w:rsid w:val="00D6175B"/>
    <w:rsid w:val="00D618F8"/>
    <w:rsid w:val="00D623CF"/>
    <w:rsid w:val="00D8296B"/>
    <w:rsid w:val="00DB7956"/>
    <w:rsid w:val="00DC3E41"/>
    <w:rsid w:val="00DC5C94"/>
    <w:rsid w:val="00DD0F67"/>
    <w:rsid w:val="00DE5AC1"/>
    <w:rsid w:val="00DE5CCE"/>
    <w:rsid w:val="00DF72B5"/>
    <w:rsid w:val="00DF7C73"/>
    <w:rsid w:val="00E0483C"/>
    <w:rsid w:val="00E053C9"/>
    <w:rsid w:val="00E11992"/>
    <w:rsid w:val="00E13A87"/>
    <w:rsid w:val="00E24072"/>
    <w:rsid w:val="00E24218"/>
    <w:rsid w:val="00E44056"/>
    <w:rsid w:val="00E44927"/>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17F6"/>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elipe.fingerl@iguasa.com.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agner.souza@tbss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0C27-545B-4479-BE90-316F291D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30152</Words>
  <Characters>171869</Characters>
  <Application>Microsoft Office Word</Application>
  <DocSecurity>0</DocSecurity>
  <Lines>1432</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LAM</cp:lastModifiedBy>
  <cp:revision>3</cp:revision>
  <cp:lastPrinted>2019-07-01T13:58:00Z</cp:lastPrinted>
  <dcterms:created xsi:type="dcterms:W3CDTF">2019-10-15T22:19:00Z</dcterms:created>
  <dcterms:modified xsi:type="dcterms:W3CDTF">2019-10-15T23:02:00Z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