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7D6E" w14:textId="449C1BF1"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DA 1ª (PRIMEIRA)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 COM ESFORÇOS RESTRITOS,</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43D92C34"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w:t>
      </w:r>
      <w:proofErr w:type="spellStart"/>
      <w:r w:rsidRPr="008D5FF3">
        <w:rPr>
          <w:rFonts w:ascii="Tahoma" w:eastAsia="Arial Unicode MS" w:hAnsi="Tahoma" w:cs="Tahoma"/>
          <w:bCs/>
          <w:sz w:val="22"/>
          <w:szCs w:val="22"/>
        </w:rPr>
        <w:t>Pítsica</w:t>
      </w:r>
      <w:proofErr w:type="spellEnd"/>
      <w:r w:rsidRPr="008D5FF3">
        <w:rPr>
          <w:rFonts w:ascii="Tahoma" w:eastAsia="Arial Unicode MS" w:hAnsi="Tahoma" w:cs="Tahoma"/>
          <w:bCs/>
          <w:sz w:val="22"/>
          <w:szCs w:val="22"/>
        </w:rPr>
        <w:t>,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51A85882"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 xml:space="preserve">Rua Paschoal Apóstolo </w:t>
      </w:r>
      <w:proofErr w:type="spellStart"/>
      <w:r w:rsidRPr="00482BCA">
        <w:rPr>
          <w:rFonts w:ascii="Tahoma" w:eastAsia="Arial Unicode MS" w:hAnsi="Tahoma" w:cs="Tahoma"/>
          <w:bCs/>
          <w:sz w:val="22"/>
          <w:szCs w:val="22"/>
        </w:rPr>
        <w:t>Pítsica</w:t>
      </w:r>
      <w:proofErr w:type="spellEnd"/>
      <w:r w:rsidRPr="00482BCA">
        <w:rPr>
          <w:rFonts w:ascii="Tahoma" w:eastAsia="Arial Unicode MS" w:hAnsi="Tahoma" w:cs="Tahoma"/>
          <w:bCs/>
          <w:sz w:val="22"/>
          <w:szCs w:val="22"/>
        </w:rPr>
        <w:t>,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00011AB3">
        <w:rPr>
          <w:rFonts w:ascii="Tahoma" w:eastAsia="Arial Unicode MS" w:hAnsi="Tahoma" w:cs="Tahoma"/>
          <w:bCs/>
          <w:sz w:val="22"/>
          <w:szCs w:val="22"/>
        </w:rPr>
        <w:t>0</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B465262"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81B03" w:rsidRPr="00482BCA">
        <w:rPr>
          <w:rFonts w:ascii="Tahoma" w:hAnsi="Tahoma" w:cs="Tahoma"/>
          <w:sz w:val="22"/>
          <w:szCs w:val="22"/>
        </w:rPr>
        <w:t>19</w:t>
      </w:r>
      <w:r w:rsidRPr="008D5FF3">
        <w:rPr>
          <w:rFonts w:ascii="Tahoma" w:hAnsi="Tahoma" w:cs="Tahoma"/>
          <w:sz w:val="22"/>
          <w:szCs w:val="22"/>
        </w:rPr>
        <w:t xml:space="preserve"> de </w:t>
      </w:r>
      <w:r w:rsidR="00281B03" w:rsidRPr="00482BCA">
        <w:rPr>
          <w:rFonts w:ascii="Tahoma" w:hAnsi="Tahoma" w:cs="Tahoma"/>
          <w:sz w:val="22"/>
          <w:szCs w:val="22"/>
        </w:rPr>
        <w:t>agosto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1ª (Primeira)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16CE2B20"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w:t>
      </w:r>
    </w:p>
    <w:p w14:paraId="54839FFB" w14:textId="37D6B986"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 xml:space="preserve">a celebração deste instrumento foi aprovada em assembleia geral de debenturistas realizada em </w:t>
      </w:r>
      <w:ins w:id="0" w:author="OLIVEIRA Fabricio (ENGIE BRASIL ENERGIA S.A.)" w:date="2020-11-22T19:17:00Z">
        <w:r w:rsidR="00ED1B6A">
          <w:rPr>
            <w:rFonts w:ascii="Tahoma" w:hAnsi="Tahoma" w:cs="Tahoma"/>
            <w:sz w:val="22"/>
            <w:szCs w:val="22"/>
          </w:rPr>
          <w:t>23</w:t>
        </w:r>
      </w:ins>
      <w:r w:rsidRPr="00482BCA">
        <w:rPr>
          <w:rFonts w:ascii="Tahoma" w:hAnsi="Tahoma" w:cs="Tahoma"/>
          <w:sz w:val="22"/>
          <w:szCs w:val="22"/>
        </w:rPr>
        <w:t xml:space="preserve"> de </w:t>
      </w:r>
      <w:ins w:id="1" w:author="OLIVEIRA Fabricio (ENGIE BRASIL ENERGIA S.A.)" w:date="2020-11-22T19:17:00Z">
        <w:r w:rsidR="00ED1B6A">
          <w:rPr>
            <w:rFonts w:ascii="Tahoma" w:hAnsi="Tahoma" w:cs="Tahoma"/>
            <w:sz w:val="22"/>
            <w:szCs w:val="22"/>
          </w:rPr>
          <w:t>novembro</w:t>
        </w:r>
      </w:ins>
      <w:r w:rsidR="00BE7FA3" w:rsidRPr="00482BCA">
        <w:rPr>
          <w:rFonts w:ascii="Tahoma" w:hAnsi="Tahoma" w:cs="Tahoma"/>
          <w:sz w:val="22"/>
          <w:szCs w:val="22"/>
        </w:rPr>
        <w:t xml:space="preserve"> </w:t>
      </w:r>
      <w:r w:rsidRPr="00482BCA">
        <w:rPr>
          <w:rFonts w:ascii="Tahoma" w:hAnsi="Tahoma" w:cs="Tahoma"/>
          <w:sz w:val="22"/>
          <w:szCs w:val="22"/>
        </w:rPr>
        <w:t>de 2020;</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1276ABA6"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nas deliberações </w:t>
      </w:r>
      <w:r w:rsidR="008555B0" w:rsidRPr="00482BCA">
        <w:rPr>
          <w:rFonts w:ascii="Tahoma" w:hAnsi="Tahoma" w:cs="Tahoma"/>
          <w:b w:val="0"/>
          <w:sz w:val="22"/>
          <w:szCs w:val="22"/>
        </w:rPr>
        <w:t>tomadas em reunião do conselho de administração da Emissora, realizada em 22 de julho de 2020 (“</w:t>
      </w:r>
      <w:r w:rsidR="008555B0" w:rsidRPr="00482BCA">
        <w:rPr>
          <w:rFonts w:ascii="Tahoma" w:hAnsi="Tahoma" w:cs="Tahoma"/>
          <w:b w:val="0"/>
          <w:sz w:val="22"/>
          <w:szCs w:val="22"/>
          <w:u w:val="single"/>
        </w:rPr>
        <w:t>RCA da Emissora</w:t>
      </w:r>
      <w:r w:rsidR="008555B0" w:rsidRPr="00482BCA">
        <w:rPr>
          <w:rFonts w:ascii="Tahoma" w:hAnsi="Tahoma" w:cs="Tahoma"/>
          <w:b w:val="0"/>
          <w:sz w:val="22"/>
          <w:szCs w:val="22"/>
        </w:rPr>
        <w:t>”).</w:t>
      </w:r>
    </w:p>
    <w:p w14:paraId="7E0B6EF4" w14:textId="76D0DFE2"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realizada em 2</w:t>
      </w:r>
      <w:r w:rsidR="008555B0" w:rsidRPr="00482BCA">
        <w:rPr>
          <w:rFonts w:ascii="Tahoma" w:hAnsi="Tahoma" w:cs="Tahoma"/>
          <w:b w:val="0"/>
          <w:sz w:val="22"/>
          <w:szCs w:val="22"/>
        </w:rPr>
        <w:t>2</w:t>
      </w:r>
      <w:r w:rsidRPr="008D5FF3">
        <w:rPr>
          <w:rFonts w:ascii="Tahoma" w:hAnsi="Tahoma" w:cs="Tahoma"/>
          <w:b w:val="0"/>
          <w:sz w:val="22"/>
          <w:szCs w:val="22"/>
        </w:rPr>
        <w:t xml:space="preserve"> de </w:t>
      </w:r>
      <w:r w:rsidR="008555B0" w:rsidRPr="00482BCA">
        <w:rPr>
          <w:rFonts w:ascii="Tahoma" w:hAnsi="Tahoma" w:cs="Tahoma"/>
          <w:b w:val="0"/>
          <w:sz w:val="22"/>
          <w:szCs w:val="22"/>
        </w:rPr>
        <w:t>julho</w:t>
      </w:r>
      <w:r w:rsidR="008555B0" w:rsidRPr="008D5FF3">
        <w:rPr>
          <w:rFonts w:ascii="Tahoma" w:hAnsi="Tahoma" w:cs="Tahoma"/>
          <w:b w:val="0"/>
          <w:sz w:val="22"/>
          <w:szCs w:val="22"/>
        </w:rPr>
        <w:t xml:space="preserve"> </w:t>
      </w:r>
      <w:r w:rsidRPr="008D5FF3">
        <w:rPr>
          <w:rFonts w:ascii="Tahoma" w:hAnsi="Tahoma" w:cs="Tahoma"/>
          <w:b w:val="0"/>
          <w:sz w:val="22"/>
          <w:szCs w:val="22"/>
        </w:rPr>
        <w:t>de 2020 (“</w:t>
      </w:r>
      <w:r w:rsidRPr="000E479E">
        <w:rPr>
          <w:rFonts w:ascii="Tahoma" w:hAnsi="Tahoma" w:cs="Tahoma"/>
          <w:b w:val="0"/>
          <w:sz w:val="22"/>
          <w:szCs w:val="22"/>
          <w:u w:val="single"/>
        </w:rPr>
        <w:t>R</w:t>
      </w:r>
      <w:r w:rsidR="008555B0" w:rsidRPr="00482BCA">
        <w:rPr>
          <w:rFonts w:ascii="Tahoma" w:hAnsi="Tahoma" w:cs="Tahoma"/>
          <w:b w:val="0"/>
          <w:sz w:val="22"/>
          <w:szCs w:val="22"/>
          <w:u w:val="single"/>
        </w:rPr>
        <w:t>CA</w:t>
      </w:r>
      <w:r w:rsidRPr="000E479E">
        <w:rPr>
          <w:rFonts w:ascii="Tahoma" w:hAnsi="Tahoma" w:cs="Tahoma"/>
          <w:b w:val="0"/>
          <w:sz w:val="22"/>
          <w:szCs w:val="22"/>
          <w:u w:val="single"/>
        </w:rPr>
        <w:t xml:space="preserve"> </w:t>
      </w:r>
      <w:r w:rsidR="008555B0" w:rsidRPr="00482BCA">
        <w:rPr>
          <w:rFonts w:ascii="Tahoma" w:hAnsi="Tahoma" w:cs="Tahoma"/>
          <w:b w:val="0"/>
          <w:sz w:val="22"/>
          <w:szCs w:val="22"/>
          <w:u w:val="single"/>
        </w:rPr>
        <w:t xml:space="preserve">da </w:t>
      </w:r>
      <w:r w:rsidRPr="000E479E">
        <w:rPr>
          <w:rFonts w:ascii="Tahoma" w:hAnsi="Tahoma" w:cs="Tahoma"/>
          <w:b w:val="0"/>
          <w:sz w:val="22"/>
          <w:szCs w:val="22"/>
          <w:u w:val="single"/>
        </w:rPr>
        <w:t>Fiadora</w:t>
      </w:r>
      <w:r w:rsidRPr="008D5FF3">
        <w:rPr>
          <w:rFonts w:ascii="Tahoma" w:hAnsi="Tahoma" w:cs="Tahoma"/>
          <w:b w:val="0"/>
          <w:sz w:val="22"/>
          <w:szCs w:val="22"/>
        </w:rPr>
        <w:t>”).</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2" w:name="_Ref25685303"/>
      <w:r w:rsidRPr="008D5FF3">
        <w:rPr>
          <w:rFonts w:ascii="Tahoma" w:hAnsi="Tahoma" w:cs="Tahoma"/>
          <w:sz w:val="22"/>
          <w:szCs w:val="22"/>
        </w:rPr>
        <w:t>CLÁUSULA SEGUNDA – DOS REQUISITOS</w:t>
      </w:r>
      <w:bookmarkEnd w:id="2"/>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Nos termos do artigo 62, inciso II e parágrafo 3º, da Lei das Sociedades por Ações, 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lastRenderedPageBreak/>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43981DC0" w:rsidR="007B0C41" w:rsidRPr="0091497B" w:rsidRDefault="0091497B" w:rsidP="0091497B">
      <w:pPr>
        <w:pStyle w:val="Ttulo1"/>
        <w:keepNext w:val="0"/>
        <w:widowControl w:val="0"/>
        <w:numPr>
          <w:ilvl w:val="1"/>
          <w:numId w:val="35"/>
        </w:numPr>
        <w:suppressAutoHyphens/>
        <w:spacing w:after="240" w:line="320" w:lineRule="atLeast"/>
        <w:rPr>
          <w:rFonts w:ascii="Tahoma" w:hAnsi="Tahoma" w:cs="Tahoma"/>
          <w:sz w:val="22"/>
          <w:szCs w:val="22"/>
        </w:rPr>
      </w:pPr>
      <w:r w:rsidRPr="0091497B">
        <w:rPr>
          <w:rFonts w:ascii="Tahoma" w:hAnsi="Tahoma" w:cs="Tahoma"/>
          <w:sz w:val="22"/>
          <w:szCs w:val="22"/>
        </w:rPr>
        <w:t>Registro deste Aditamento nos Cartórios de Registro de Títulos e</w:t>
      </w:r>
      <w:r w:rsidRPr="0050123E">
        <w:rPr>
          <w:rFonts w:ascii="Tahoma" w:hAnsi="Tahoma" w:cs="Tahoma"/>
          <w:sz w:val="22"/>
          <w:szCs w:val="22"/>
        </w:rPr>
        <w:t xml:space="preserve"> Documentos</w:t>
      </w:r>
      <w:r w:rsidR="00DC296D" w:rsidRPr="0091497B">
        <w:rPr>
          <w:rFonts w:ascii="Tahoma" w:hAnsi="Tahoma" w:cs="Tahoma"/>
          <w:sz w:val="22"/>
          <w:szCs w:val="22"/>
        </w:rPr>
        <w:t xml:space="preserve"> </w:t>
      </w:r>
    </w:p>
    <w:p w14:paraId="7AEFCA1C" w14:textId="73C2E9BE"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3"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17</w:t>
      </w:r>
      <w:r w:rsidR="006E11FC" w:rsidRPr="005A0C31">
        <w:rPr>
          <w:rFonts w:ascii="Tahoma" w:hAnsi="Tahoma" w:cs="Tahoma"/>
          <w:b w:val="0"/>
          <w:bCs/>
          <w:sz w:val="22"/>
          <w:szCs w:val="22"/>
        </w:rPr>
        <w:t xml:space="preserve"> </w:t>
      </w:r>
      <w:r w:rsidRPr="005A0C31">
        <w:rPr>
          <w:rFonts w:ascii="Tahoma" w:hAnsi="Tahoma" w:cs="Tahoma"/>
          <w:b w:val="0"/>
          <w:bCs/>
          <w:sz w:val="22"/>
          <w:szCs w:val="22"/>
        </w:rPr>
        <w:t xml:space="preserve">da Escritura de Emissão, o presente Aditamento será registrado </w:t>
      </w:r>
      <w:r w:rsidR="001950DD">
        <w:rPr>
          <w:rFonts w:ascii="Tahoma" w:hAnsi="Tahoma" w:cs="Tahoma"/>
          <w:b w:val="0"/>
          <w:bCs/>
          <w:sz w:val="22"/>
          <w:szCs w:val="22"/>
        </w:rPr>
        <w:t xml:space="preserve">ou averbado </w:t>
      </w:r>
      <w:r w:rsidRPr="005A0C31">
        <w:rPr>
          <w:rFonts w:ascii="Tahoma" w:hAnsi="Tahoma" w:cs="Tahoma"/>
          <w:b w:val="0"/>
          <w:bCs/>
          <w:sz w:val="22"/>
          <w:szCs w:val="22"/>
        </w:rPr>
        <w:t>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proofErr w:type="spellStart"/>
      <w:r w:rsidR="008423B8" w:rsidRPr="005A0C31">
        <w:rPr>
          <w:rFonts w:ascii="Tahoma" w:hAnsi="Tahoma" w:cs="Tahoma"/>
          <w:b w:val="0"/>
          <w:bCs/>
          <w:sz w:val="22"/>
          <w:szCs w:val="22"/>
          <w:u w:val="single"/>
        </w:rPr>
        <w:t>RTDs</w:t>
      </w:r>
      <w:proofErr w:type="spellEnd"/>
      <w:r w:rsidR="008423B8" w:rsidRPr="005A0C31">
        <w:rPr>
          <w:rFonts w:ascii="Tahoma" w:hAnsi="Tahoma" w:cs="Tahoma"/>
          <w:b w:val="0"/>
          <w:bCs/>
          <w:sz w:val="22"/>
          <w:szCs w:val="22"/>
        </w:rPr>
        <w:t xml:space="preserve">”), devendo o presente Aditamento ser protocolado nos competentes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em até 7 (sete) Dias Úteis contados da data de celebração, obrigando-se a Emissora a enviar 1 (uma) via original devidamente registrada em cada um dos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não serão obrigatórios.</w:t>
      </w:r>
      <w:bookmarkEnd w:id="3"/>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3C1BBA8A" w14:textId="58B5A858" w:rsidR="00BE7FA3" w:rsidRDefault="00BE7FA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as Cláusulas 4.9.1 e 4.9.2 da Escritura de Emissão para ajustar os percentuais de amortização do Valor Nominal Atualizado das Debêntures da Primeira Série e do Valor Nominal Atualizado das Debêntures da Segunda Série, as quais passam a vigorar com a seguinte redação:</w:t>
      </w:r>
    </w:p>
    <w:p w14:paraId="3AF70BD1" w14:textId="4372C0FC" w:rsidR="00BE7FA3" w:rsidRDefault="00BE7FA3" w:rsidP="00990DCA">
      <w:pPr>
        <w:spacing w:after="240" w:line="320" w:lineRule="atLeast"/>
        <w:ind w:left="1134"/>
        <w:rPr>
          <w:rFonts w:ascii="Tahoma" w:hAnsi="Tahoma" w:cs="Tahoma"/>
          <w:i/>
          <w:sz w:val="22"/>
          <w:szCs w:val="22"/>
        </w:rPr>
      </w:pPr>
      <w:r>
        <w:rPr>
          <w:rFonts w:ascii="Tahoma" w:hAnsi="Tahoma" w:cs="Tahoma"/>
          <w:i/>
          <w:sz w:val="22"/>
          <w:szCs w:val="22"/>
        </w:rPr>
        <w:t>“</w:t>
      </w:r>
      <w:r w:rsidRPr="00990DCA">
        <w:rPr>
          <w:rFonts w:ascii="Tahoma" w:hAnsi="Tahoma" w:cs="Tahoma"/>
          <w:i/>
          <w:sz w:val="22"/>
          <w:szCs w:val="22"/>
        </w:rPr>
        <w:t>4.9.1</w:t>
      </w:r>
      <w:r w:rsidRPr="00990DCA">
        <w:rPr>
          <w:rFonts w:ascii="Tahoma" w:hAnsi="Tahoma" w:cs="Tahoma"/>
          <w:i/>
          <w:sz w:val="22"/>
          <w:szCs w:val="22"/>
        </w:rPr>
        <w:tab/>
      </w:r>
      <w:r w:rsidRPr="00990DCA">
        <w:rPr>
          <w:rFonts w:ascii="Tahoma" w:hAnsi="Tahoma" w:cs="Tahoma"/>
          <w:b/>
          <w:bCs/>
          <w:i/>
          <w:sz w:val="22"/>
          <w:szCs w:val="22"/>
        </w:rPr>
        <w:t>Amortização das Debêntures da Primeira Série</w:t>
      </w:r>
      <w:r w:rsidRPr="00990DCA">
        <w:rPr>
          <w:rFonts w:ascii="Tahoma" w:hAnsi="Tahoma" w:cs="Tahoma"/>
          <w:i/>
          <w:sz w:val="22"/>
          <w:szCs w:val="22"/>
        </w:rPr>
        <w:t>. Ressalvadas as hipóteses de vencimento antecipado das Debêntures da Primeira Série, conforme os termos previstos nesta Escritura de Emissão, o Valor Nominal Atualizado das Debêntures da Primeira Série será amortizado semestralmente, sempre no dia 15 dos meses de outubro e abril de cada ano sendo o primeiro pagamento em 15 de outubro de 2021 e o último na Data de Vencimento da Primeira Série, de acordo com as datas indicadas na tabela abaixo:</w:t>
      </w:r>
    </w:p>
    <w:p w14:paraId="24625632" w14:textId="1B13B312" w:rsidR="00BE7FA3" w:rsidRDefault="00BE7FA3">
      <w:pPr>
        <w:spacing w:after="0"/>
        <w:jc w:val="left"/>
        <w:rPr>
          <w:rFonts w:ascii="Tahoma" w:hAnsi="Tahoma" w:cs="Tahoma"/>
          <w:i/>
          <w:sz w:val="22"/>
          <w:szCs w:val="22"/>
        </w:rPr>
      </w:pPr>
      <w:r>
        <w:rPr>
          <w:rFonts w:ascii="Tahoma" w:hAnsi="Tahoma" w:cs="Tahoma"/>
          <w:i/>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32"/>
        <w:gridCol w:w="4272"/>
      </w:tblGrid>
      <w:tr w:rsidR="00BE7FA3" w:rsidRPr="0081316A" w14:paraId="1A25B35B" w14:textId="77777777" w:rsidTr="00A46A26">
        <w:trPr>
          <w:jc w:val="center"/>
        </w:trPr>
        <w:tc>
          <w:tcPr>
            <w:tcW w:w="1413" w:type="dxa"/>
            <w:shd w:val="clear" w:color="auto" w:fill="D9D9D9" w:themeFill="background1" w:themeFillShade="D9"/>
            <w:vAlign w:val="center"/>
          </w:tcPr>
          <w:p w14:paraId="0C9B142F" w14:textId="77777777" w:rsidR="00BE7FA3" w:rsidRPr="00A46A26" w:rsidRDefault="00BE7FA3" w:rsidP="00CF5CEE">
            <w:pPr>
              <w:tabs>
                <w:tab w:val="left" w:pos="709"/>
              </w:tabs>
              <w:suppressAutoHyphens/>
              <w:spacing w:line="300" w:lineRule="atLeast"/>
              <w:jc w:val="center"/>
              <w:rPr>
                <w:rFonts w:ascii="Tahoma" w:hAnsi="Tahoma" w:cs="Tahoma"/>
                <w:b/>
                <w:bCs/>
                <w:sz w:val="22"/>
                <w:szCs w:val="22"/>
              </w:rPr>
            </w:pPr>
            <w:r w:rsidRPr="00A46A26">
              <w:rPr>
                <w:rFonts w:ascii="Tahoma" w:hAnsi="Tahoma" w:cs="Tahoma"/>
                <w:b/>
                <w:bCs/>
                <w:sz w:val="22"/>
                <w:szCs w:val="22"/>
              </w:rPr>
              <w:lastRenderedPageBreak/>
              <w:t>Parcela</w:t>
            </w:r>
          </w:p>
        </w:tc>
        <w:tc>
          <w:tcPr>
            <w:tcW w:w="2532" w:type="dxa"/>
            <w:shd w:val="clear" w:color="auto" w:fill="D9D9D9" w:themeFill="background1" w:themeFillShade="D9"/>
            <w:vAlign w:val="center"/>
          </w:tcPr>
          <w:p w14:paraId="34620B9E" w14:textId="77777777" w:rsidR="00BE7FA3" w:rsidRPr="00A46A26" w:rsidRDefault="00BE7FA3" w:rsidP="00CF5CEE">
            <w:pPr>
              <w:tabs>
                <w:tab w:val="left" w:pos="709"/>
              </w:tabs>
              <w:suppressAutoHyphens/>
              <w:spacing w:line="300" w:lineRule="atLeast"/>
              <w:jc w:val="center"/>
              <w:rPr>
                <w:rFonts w:ascii="Tahoma" w:hAnsi="Tahoma" w:cs="Tahoma"/>
                <w:b/>
                <w:bCs/>
                <w:sz w:val="22"/>
                <w:szCs w:val="22"/>
              </w:rPr>
            </w:pPr>
            <w:r w:rsidRPr="00A46A26">
              <w:rPr>
                <w:rFonts w:ascii="Tahoma" w:hAnsi="Tahoma" w:cs="Tahoma"/>
                <w:b/>
                <w:bCs/>
                <w:sz w:val="22"/>
                <w:szCs w:val="22"/>
              </w:rPr>
              <w:t xml:space="preserve">Data de Amortização </w:t>
            </w:r>
          </w:p>
        </w:tc>
        <w:tc>
          <w:tcPr>
            <w:tcW w:w="4272" w:type="dxa"/>
            <w:shd w:val="clear" w:color="auto" w:fill="D9D9D9" w:themeFill="background1" w:themeFillShade="D9"/>
            <w:vAlign w:val="center"/>
          </w:tcPr>
          <w:p w14:paraId="30647D3F" w14:textId="77777777" w:rsidR="00BE7FA3" w:rsidRPr="00A46A26" w:rsidRDefault="00BE7FA3" w:rsidP="00CF5CEE">
            <w:pPr>
              <w:tabs>
                <w:tab w:val="left" w:pos="709"/>
              </w:tabs>
              <w:suppressAutoHyphens/>
              <w:spacing w:line="300" w:lineRule="atLeast"/>
              <w:jc w:val="center"/>
              <w:rPr>
                <w:rFonts w:ascii="Tahoma" w:hAnsi="Tahoma" w:cs="Tahoma"/>
                <w:b/>
                <w:bCs/>
                <w:sz w:val="22"/>
                <w:szCs w:val="22"/>
              </w:rPr>
            </w:pPr>
            <w:r w:rsidRPr="00A46A26">
              <w:rPr>
                <w:rFonts w:ascii="Tahoma" w:hAnsi="Tahoma" w:cs="Tahoma"/>
                <w:b/>
                <w:bCs/>
                <w:sz w:val="22"/>
                <w:szCs w:val="22"/>
              </w:rPr>
              <w:t>Percentual a ser Amortizado do Valor Nominal Atualizado das Debêntures da Primeira Série</w:t>
            </w:r>
          </w:p>
        </w:tc>
      </w:tr>
      <w:tr w:rsidR="0081316A" w:rsidRPr="0081316A" w14:paraId="4787AAB4" w14:textId="77777777" w:rsidTr="00A46A26">
        <w:trPr>
          <w:jc w:val="center"/>
        </w:trPr>
        <w:tc>
          <w:tcPr>
            <w:tcW w:w="1413" w:type="dxa"/>
            <w:shd w:val="clear" w:color="auto" w:fill="auto"/>
            <w:vAlign w:val="center"/>
          </w:tcPr>
          <w:p w14:paraId="335E58E4"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w:t>
            </w:r>
          </w:p>
        </w:tc>
        <w:tc>
          <w:tcPr>
            <w:tcW w:w="2532" w:type="dxa"/>
            <w:shd w:val="clear" w:color="auto" w:fill="auto"/>
            <w:vAlign w:val="center"/>
          </w:tcPr>
          <w:p w14:paraId="4584EA76"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2021</w:t>
            </w:r>
          </w:p>
        </w:tc>
        <w:tc>
          <w:tcPr>
            <w:tcW w:w="4272" w:type="dxa"/>
            <w:shd w:val="clear" w:color="auto" w:fill="auto"/>
          </w:tcPr>
          <w:p w14:paraId="17237D39" w14:textId="1787FBEE"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2,5000% </w:t>
            </w:r>
          </w:p>
        </w:tc>
      </w:tr>
      <w:tr w:rsidR="0081316A" w:rsidRPr="0081316A" w14:paraId="373F3F6A" w14:textId="77777777" w:rsidTr="00A46A26">
        <w:trPr>
          <w:jc w:val="center"/>
        </w:trPr>
        <w:tc>
          <w:tcPr>
            <w:tcW w:w="1413" w:type="dxa"/>
            <w:shd w:val="clear" w:color="auto" w:fill="auto"/>
            <w:vAlign w:val="center"/>
          </w:tcPr>
          <w:p w14:paraId="3AACA1AB"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2</w:t>
            </w:r>
          </w:p>
        </w:tc>
        <w:tc>
          <w:tcPr>
            <w:tcW w:w="2532" w:type="dxa"/>
            <w:shd w:val="clear" w:color="auto" w:fill="auto"/>
            <w:vAlign w:val="center"/>
          </w:tcPr>
          <w:p w14:paraId="0BC2F4A4"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2022</w:t>
            </w:r>
          </w:p>
        </w:tc>
        <w:tc>
          <w:tcPr>
            <w:tcW w:w="4272" w:type="dxa"/>
            <w:shd w:val="clear" w:color="auto" w:fill="auto"/>
          </w:tcPr>
          <w:p w14:paraId="512FF10C" w14:textId="1F1AC82E"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2,8115% </w:t>
            </w:r>
          </w:p>
        </w:tc>
      </w:tr>
      <w:tr w:rsidR="0081316A" w:rsidRPr="0081316A" w14:paraId="28CFC17C" w14:textId="77777777" w:rsidTr="00A46A26">
        <w:trPr>
          <w:jc w:val="center"/>
        </w:trPr>
        <w:tc>
          <w:tcPr>
            <w:tcW w:w="1413" w:type="dxa"/>
            <w:shd w:val="clear" w:color="auto" w:fill="auto"/>
            <w:vAlign w:val="center"/>
          </w:tcPr>
          <w:p w14:paraId="1070881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3</w:t>
            </w:r>
          </w:p>
        </w:tc>
        <w:tc>
          <w:tcPr>
            <w:tcW w:w="2532" w:type="dxa"/>
            <w:shd w:val="clear" w:color="auto" w:fill="auto"/>
            <w:vAlign w:val="center"/>
          </w:tcPr>
          <w:p w14:paraId="4822D31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2022</w:t>
            </w:r>
          </w:p>
        </w:tc>
        <w:tc>
          <w:tcPr>
            <w:tcW w:w="4272" w:type="dxa"/>
            <w:shd w:val="clear" w:color="auto" w:fill="auto"/>
          </w:tcPr>
          <w:p w14:paraId="7B0924A5" w14:textId="045E6BD3"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2,8928% </w:t>
            </w:r>
          </w:p>
        </w:tc>
      </w:tr>
      <w:tr w:rsidR="0081316A" w:rsidRPr="0081316A" w14:paraId="0376F0F4" w14:textId="77777777" w:rsidTr="00A46A26">
        <w:trPr>
          <w:jc w:val="center"/>
        </w:trPr>
        <w:tc>
          <w:tcPr>
            <w:tcW w:w="1413" w:type="dxa"/>
            <w:shd w:val="clear" w:color="auto" w:fill="auto"/>
            <w:vAlign w:val="center"/>
          </w:tcPr>
          <w:p w14:paraId="453E691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4</w:t>
            </w:r>
          </w:p>
        </w:tc>
        <w:tc>
          <w:tcPr>
            <w:tcW w:w="2532" w:type="dxa"/>
            <w:shd w:val="clear" w:color="auto" w:fill="auto"/>
            <w:vAlign w:val="center"/>
          </w:tcPr>
          <w:p w14:paraId="06539126"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2023</w:t>
            </w:r>
          </w:p>
        </w:tc>
        <w:tc>
          <w:tcPr>
            <w:tcW w:w="4272" w:type="dxa"/>
            <w:shd w:val="clear" w:color="auto" w:fill="auto"/>
          </w:tcPr>
          <w:p w14:paraId="4EF40BD6" w14:textId="5F1A6D0F"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4,3617% </w:t>
            </w:r>
          </w:p>
        </w:tc>
      </w:tr>
      <w:tr w:rsidR="0081316A" w:rsidRPr="0081316A" w14:paraId="155347B6" w14:textId="77777777" w:rsidTr="00A46A26">
        <w:trPr>
          <w:jc w:val="center"/>
        </w:trPr>
        <w:tc>
          <w:tcPr>
            <w:tcW w:w="1413" w:type="dxa"/>
            <w:shd w:val="clear" w:color="auto" w:fill="auto"/>
            <w:vAlign w:val="center"/>
          </w:tcPr>
          <w:p w14:paraId="05067CD0"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5</w:t>
            </w:r>
          </w:p>
        </w:tc>
        <w:tc>
          <w:tcPr>
            <w:tcW w:w="2532" w:type="dxa"/>
            <w:shd w:val="clear" w:color="auto" w:fill="auto"/>
            <w:vAlign w:val="center"/>
          </w:tcPr>
          <w:p w14:paraId="64EEE591"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2023</w:t>
            </w:r>
          </w:p>
        </w:tc>
        <w:tc>
          <w:tcPr>
            <w:tcW w:w="4272" w:type="dxa"/>
            <w:shd w:val="clear" w:color="auto" w:fill="auto"/>
          </w:tcPr>
          <w:p w14:paraId="3BE9D9BF" w14:textId="65CCB8E3"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4,5606% </w:t>
            </w:r>
          </w:p>
        </w:tc>
      </w:tr>
      <w:tr w:rsidR="0081316A" w:rsidRPr="0081316A" w14:paraId="216750F3" w14:textId="77777777" w:rsidTr="00A46A26">
        <w:trPr>
          <w:jc w:val="center"/>
        </w:trPr>
        <w:tc>
          <w:tcPr>
            <w:tcW w:w="1413" w:type="dxa"/>
            <w:shd w:val="clear" w:color="auto" w:fill="auto"/>
            <w:vAlign w:val="center"/>
          </w:tcPr>
          <w:p w14:paraId="36F2C3F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6</w:t>
            </w:r>
          </w:p>
        </w:tc>
        <w:tc>
          <w:tcPr>
            <w:tcW w:w="2532" w:type="dxa"/>
            <w:shd w:val="clear" w:color="auto" w:fill="auto"/>
            <w:vAlign w:val="center"/>
          </w:tcPr>
          <w:p w14:paraId="1A55CDEE"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2024</w:t>
            </w:r>
          </w:p>
        </w:tc>
        <w:tc>
          <w:tcPr>
            <w:tcW w:w="4272" w:type="dxa"/>
            <w:shd w:val="clear" w:color="auto" w:fill="auto"/>
          </w:tcPr>
          <w:p w14:paraId="68C9D117" w14:textId="7F0A26AF"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9,2433% </w:t>
            </w:r>
          </w:p>
        </w:tc>
      </w:tr>
      <w:tr w:rsidR="0081316A" w:rsidRPr="0081316A" w14:paraId="1207CE91" w14:textId="77777777" w:rsidTr="00A46A26">
        <w:trPr>
          <w:jc w:val="center"/>
        </w:trPr>
        <w:tc>
          <w:tcPr>
            <w:tcW w:w="1413" w:type="dxa"/>
            <w:shd w:val="clear" w:color="auto" w:fill="auto"/>
            <w:vAlign w:val="center"/>
          </w:tcPr>
          <w:p w14:paraId="13993BD8"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7</w:t>
            </w:r>
          </w:p>
        </w:tc>
        <w:tc>
          <w:tcPr>
            <w:tcW w:w="2532" w:type="dxa"/>
            <w:shd w:val="clear" w:color="auto" w:fill="auto"/>
            <w:vAlign w:val="center"/>
          </w:tcPr>
          <w:p w14:paraId="78997E7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2024</w:t>
            </w:r>
          </w:p>
        </w:tc>
        <w:tc>
          <w:tcPr>
            <w:tcW w:w="4272" w:type="dxa"/>
            <w:shd w:val="clear" w:color="auto" w:fill="auto"/>
          </w:tcPr>
          <w:p w14:paraId="3395B9DB" w14:textId="3CD2F854"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10,1846% </w:t>
            </w:r>
          </w:p>
        </w:tc>
      </w:tr>
      <w:tr w:rsidR="0081316A" w:rsidRPr="0081316A" w14:paraId="2A435227" w14:textId="77777777" w:rsidTr="00A46A26">
        <w:trPr>
          <w:jc w:val="center"/>
        </w:trPr>
        <w:tc>
          <w:tcPr>
            <w:tcW w:w="1413" w:type="dxa"/>
            <w:shd w:val="clear" w:color="auto" w:fill="auto"/>
            <w:vAlign w:val="center"/>
          </w:tcPr>
          <w:p w14:paraId="508C5981"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8</w:t>
            </w:r>
          </w:p>
        </w:tc>
        <w:tc>
          <w:tcPr>
            <w:tcW w:w="2532" w:type="dxa"/>
            <w:shd w:val="clear" w:color="auto" w:fill="auto"/>
            <w:vAlign w:val="center"/>
          </w:tcPr>
          <w:p w14:paraId="335298FC"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2025</w:t>
            </w:r>
          </w:p>
        </w:tc>
        <w:tc>
          <w:tcPr>
            <w:tcW w:w="4272" w:type="dxa"/>
            <w:shd w:val="clear" w:color="auto" w:fill="auto"/>
          </w:tcPr>
          <w:p w14:paraId="02C3BD57" w14:textId="16F6E04B"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11,2301% </w:t>
            </w:r>
          </w:p>
        </w:tc>
      </w:tr>
      <w:tr w:rsidR="0081316A" w:rsidRPr="0081316A" w14:paraId="5FE40CDD" w14:textId="77777777" w:rsidTr="00A46A26">
        <w:trPr>
          <w:jc w:val="center"/>
        </w:trPr>
        <w:tc>
          <w:tcPr>
            <w:tcW w:w="1413" w:type="dxa"/>
            <w:shd w:val="clear" w:color="auto" w:fill="auto"/>
            <w:vAlign w:val="center"/>
          </w:tcPr>
          <w:p w14:paraId="73B367B3"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9</w:t>
            </w:r>
          </w:p>
        </w:tc>
        <w:tc>
          <w:tcPr>
            <w:tcW w:w="2532" w:type="dxa"/>
            <w:shd w:val="clear" w:color="auto" w:fill="auto"/>
            <w:vAlign w:val="center"/>
          </w:tcPr>
          <w:p w14:paraId="449E4473"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2025</w:t>
            </w:r>
          </w:p>
        </w:tc>
        <w:tc>
          <w:tcPr>
            <w:tcW w:w="4272" w:type="dxa"/>
            <w:shd w:val="clear" w:color="auto" w:fill="auto"/>
          </w:tcPr>
          <w:p w14:paraId="06B4C486" w14:textId="1C9E96ED"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12,6508% </w:t>
            </w:r>
          </w:p>
        </w:tc>
      </w:tr>
      <w:tr w:rsidR="0081316A" w:rsidRPr="0081316A" w14:paraId="4304DEA4" w14:textId="77777777" w:rsidTr="00A46A26">
        <w:trPr>
          <w:jc w:val="center"/>
        </w:trPr>
        <w:tc>
          <w:tcPr>
            <w:tcW w:w="1413" w:type="dxa"/>
            <w:shd w:val="clear" w:color="auto" w:fill="auto"/>
            <w:vAlign w:val="center"/>
          </w:tcPr>
          <w:p w14:paraId="4ACE5F5D"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10</w:t>
            </w:r>
          </w:p>
        </w:tc>
        <w:tc>
          <w:tcPr>
            <w:tcW w:w="2532" w:type="dxa"/>
            <w:shd w:val="clear" w:color="auto" w:fill="auto"/>
            <w:vAlign w:val="center"/>
          </w:tcPr>
          <w:p w14:paraId="6A2D4DE5"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2026</w:t>
            </w:r>
          </w:p>
        </w:tc>
        <w:tc>
          <w:tcPr>
            <w:tcW w:w="4272" w:type="dxa"/>
            <w:shd w:val="clear" w:color="auto" w:fill="auto"/>
          </w:tcPr>
          <w:p w14:paraId="67124599" w14:textId="54FBB23B"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15,4051% </w:t>
            </w:r>
          </w:p>
        </w:tc>
      </w:tr>
      <w:tr w:rsidR="0081316A" w:rsidRPr="0081316A" w14:paraId="5402467F" w14:textId="77777777" w:rsidTr="00A46A26">
        <w:trPr>
          <w:jc w:val="center"/>
        </w:trPr>
        <w:tc>
          <w:tcPr>
            <w:tcW w:w="1413" w:type="dxa"/>
            <w:shd w:val="clear" w:color="auto" w:fill="auto"/>
            <w:vAlign w:val="center"/>
          </w:tcPr>
          <w:p w14:paraId="2CDE0E2C"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11</w:t>
            </w:r>
          </w:p>
        </w:tc>
        <w:tc>
          <w:tcPr>
            <w:tcW w:w="2532" w:type="dxa"/>
            <w:shd w:val="clear" w:color="auto" w:fill="auto"/>
            <w:vAlign w:val="center"/>
          </w:tcPr>
          <w:p w14:paraId="5DD28A9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2026</w:t>
            </w:r>
          </w:p>
        </w:tc>
        <w:tc>
          <w:tcPr>
            <w:tcW w:w="4272" w:type="dxa"/>
            <w:shd w:val="clear" w:color="auto" w:fill="auto"/>
          </w:tcPr>
          <w:p w14:paraId="711BD689" w14:textId="22D60D7D"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18,2105% </w:t>
            </w:r>
          </w:p>
        </w:tc>
      </w:tr>
      <w:tr w:rsidR="0081316A" w:rsidRPr="0081316A" w14:paraId="68FAE1B6" w14:textId="77777777" w:rsidTr="00A46A26">
        <w:trPr>
          <w:jc w:val="center"/>
        </w:trPr>
        <w:tc>
          <w:tcPr>
            <w:tcW w:w="1413" w:type="dxa"/>
            <w:shd w:val="clear" w:color="auto" w:fill="auto"/>
            <w:vAlign w:val="center"/>
          </w:tcPr>
          <w:p w14:paraId="7657525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12</w:t>
            </w:r>
          </w:p>
        </w:tc>
        <w:tc>
          <w:tcPr>
            <w:tcW w:w="2532" w:type="dxa"/>
            <w:shd w:val="clear" w:color="auto" w:fill="auto"/>
            <w:vAlign w:val="center"/>
          </w:tcPr>
          <w:p w14:paraId="0EFFF75B"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2027</w:t>
            </w:r>
          </w:p>
        </w:tc>
        <w:tc>
          <w:tcPr>
            <w:tcW w:w="4272" w:type="dxa"/>
            <w:shd w:val="clear" w:color="auto" w:fill="auto"/>
          </w:tcPr>
          <w:p w14:paraId="0CC126D1" w14:textId="2B3E9346"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21,6640% </w:t>
            </w:r>
          </w:p>
        </w:tc>
      </w:tr>
      <w:tr w:rsidR="0081316A" w:rsidRPr="0081316A" w14:paraId="7A8A0656" w14:textId="77777777" w:rsidTr="00A46A26">
        <w:trPr>
          <w:trHeight w:val="105"/>
          <w:jc w:val="center"/>
        </w:trPr>
        <w:tc>
          <w:tcPr>
            <w:tcW w:w="1413" w:type="dxa"/>
            <w:shd w:val="clear" w:color="auto" w:fill="auto"/>
            <w:vAlign w:val="center"/>
          </w:tcPr>
          <w:p w14:paraId="7BB1EF63" w14:textId="77777777" w:rsidR="0081316A" w:rsidRPr="00A46A26" w:rsidDel="0053317C"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13</w:t>
            </w:r>
          </w:p>
        </w:tc>
        <w:tc>
          <w:tcPr>
            <w:tcW w:w="2532" w:type="dxa"/>
            <w:shd w:val="clear" w:color="auto" w:fill="auto"/>
            <w:vAlign w:val="center"/>
          </w:tcPr>
          <w:p w14:paraId="743994DC"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2027</w:t>
            </w:r>
          </w:p>
        </w:tc>
        <w:tc>
          <w:tcPr>
            <w:tcW w:w="4272" w:type="dxa"/>
            <w:shd w:val="clear" w:color="auto" w:fill="auto"/>
          </w:tcPr>
          <w:p w14:paraId="6010AB57" w14:textId="7CDC03C8"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27,6552% </w:t>
            </w:r>
          </w:p>
        </w:tc>
      </w:tr>
      <w:tr w:rsidR="0081316A" w:rsidRPr="0081316A" w14:paraId="1E74BEBD" w14:textId="77777777" w:rsidTr="00A46A26">
        <w:trPr>
          <w:trHeight w:val="105"/>
          <w:jc w:val="center"/>
        </w:trPr>
        <w:tc>
          <w:tcPr>
            <w:tcW w:w="1413" w:type="dxa"/>
            <w:shd w:val="clear" w:color="auto" w:fill="auto"/>
            <w:vAlign w:val="center"/>
          </w:tcPr>
          <w:p w14:paraId="1C221A5D"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14</w:t>
            </w:r>
          </w:p>
        </w:tc>
        <w:tc>
          <w:tcPr>
            <w:tcW w:w="2532" w:type="dxa"/>
            <w:shd w:val="clear" w:color="auto" w:fill="auto"/>
            <w:vAlign w:val="center"/>
          </w:tcPr>
          <w:p w14:paraId="635A24D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Data de Vencimento da Primeira Série</w:t>
            </w:r>
          </w:p>
        </w:tc>
        <w:tc>
          <w:tcPr>
            <w:tcW w:w="4272" w:type="dxa"/>
            <w:shd w:val="clear" w:color="auto" w:fill="auto"/>
          </w:tcPr>
          <w:p w14:paraId="1444621D" w14:textId="24CA5CE6"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100,0000% </w:t>
            </w:r>
          </w:p>
        </w:tc>
      </w:tr>
    </w:tbl>
    <w:p w14:paraId="136E7030" w14:textId="77777777" w:rsidR="00B36CB7" w:rsidRDefault="00B36CB7" w:rsidP="00B36CB7">
      <w:pPr>
        <w:spacing w:after="0" w:line="320" w:lineRule="atLeast"/>
        <w:ind w:left="1134"/>
        <w:rPr>
          <w:rFonts w:ascii="Tahoma" w:hAnsi="Tahoma" w:cs="Tahoma"/>
          <w:i/>
          <w:sz w:val="22"/>
          <w:szCs w:val="22"/>
        </w:rPr>
      </w:pPr>
    </w:p>
    <w:p w14:paraId="4777411A" w14:textId="01C8E7BA" w:rsidR="00BE7FA3" w:rsidRDefault="00BE7FA3" w:rsidP="00A46A26">
      <w:pPr>
        <w:spacing w:line="320" w:lineRule="atLeast"/>
        <w:ind w:left="1134"/>
        <w:rPr>
          <w:rFonts w:ascii="Tahoma" w:hAnsi="Tahoma" w:cs="Tahoma"/>
          <w:i/>
          <w:sz w:val="22"/>
          <w:szCs w:val="22"/>
        </w:rPr>
      </w:pPr>
      <w:r w:rsidRPr="00BE7FA3">
        <w:rPr>
          <w:rFonts w:ascii="Tahoma" w:hAnsi="Tahoma" w:cs="Tahoma"/>
          <w:i/>
          <w:sz w:val="22"/>
          <w:szCs w:val="22"/>
        </w:rPr>
        <w:t>4.9.2</w:t>
      </w:r>
      <w:r w:rsidRPr="00BE7FA3">
        <w:rPr>
          <w:rFonts w:ascii="Tahoma" w:hAnsi="Tahoma" w:cs="Tahoma"/>
          <w:i/>
          <w:sz w:val="22"/>
          <w:szCs w:val="22"/>
        </w:rPr>
        <w:tab/>
      </w:r>
      <w:r w:rsidRPr="00A46A26">
        <w:rPr>
          <w:rFonts w:ascii="Tahoma" w:hAnsi="Tahoma" w:cs="Tahoma"/>
          <w:b/>
          <w:bCs/>
          <w:i/>
          <w:sz w:val="22"/>
          <w:szCs w:val="22"/>
        </w:rPr>
        <w:t>Amortização das Debêntures da Segunda Série</w:t>
      </w:r>
      <w:r w:rsidRPr="00BE7FA3">
        <w:rPr>
          <w:rFonts w:ascii="Tahoma" w:hAnsi="Tahoma" w:cs="Tahoma"/>
          <w:i/>
          <w:sz w:val="22"/>
          <w:szCs w:val="22"/>
        </w:rPr>
        <w:t>. Ressalvadas as hipóteses de vencimento antecipado das Debêntures da Segunda Série, conforme os termos previstos nesta Escritura de Emissão, o Valor Nominal Atualizado das Debêntures da Segunda Série será amortizado semestralmente, sempre no dia 15 dos meses de outubro e abril de cada ano sendo o primeiro pagamento em 15 de outubro de 2028 e o último na Data de Vencimento da Segunda Série, de acordo com as datas indicadas na tabela abaixo:</w:t>
      </w:r>
    </w:p>
    <w:p w14:paraId="1EAF9B73" w14:textId="77777777" w:rsidR="0081316A" w:rsidRPr="0081316A" w:rsidRDefault="0081316A" w:rsidP="00B36CB7">
      <w:pPr>
        <w:spacing w:after="0" w:line="320" w:lineRule="atLeast"/>
        <w:ind w:left="1134"/>
        <w:rPr>
          <w:rFonts w:ascii="Tahoma" w:hAnsi="Tahoma" w:cs="Tahoma"/>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4673"/>
      </w:tblGrid>
      <w:tr w:rsidR="00BE7FA3" w:rsidRPr="0081316A" w14:paraId="05D45188" w14:textId="77777777" w:rsidTr="007B4D6B">
        <w:trPr>
          <w:jc w:val="center"/>
        </w:trPr>
        <w:tc>
          <w:tcPr>
            <w:tcW w:w="1276" w:type="dxa"/>
            <w:shd w:val="clear" w:color="auto" w:fill="D9D9D9" w:themeFill="background1" w:themeFillShade="D9"/>
            <w:vAlign w:val="center"/>
          </w:tcPr>
          <w:p w14:paraId="11F0EBDE" w14:textId="77777777" w:rsidR="00BE7FA3" w:rsidRPr="007B4D6B" w:rsidRDefault="00BE7FA3" w:rsidP="00CF5CEE">
            <w:pPr>
              <w:tabs>
                <w:tab w:val="left" w:pos="709"/>
              </w:tabs>
              <w:suppressAutoHyphens/>
              <w:spacing w:line="300" w:lineRule="atLeast"/>
              <w:jc w:val="center"/>
              <w:rPr>
                <w:rFonts w:ascii="Tahoma" w:hAnsi="Tahoma" w:cs="Tahoma"/>
                <w:b/>
                <w:bCs/>
                <w:sz w:val="22"/>
                <w:szCs w:val="22"/>
              </w:rPr>
            </w:pPr>
            <w:r w:rsidRPr="007B4D6B">
              <w:rPr>
                <w:rFonts w:ascii="Tahoma" w:hAnsi="Tahoma" w:cs="Tahoma"/>
                <w:b/>
                <w:bCs/>
                <w:sz w:val="22"/>
                <w:szCs w:val="22"/>
              </w:rPr>
              <w:t>Parcela</w:t>
            </w:r>
          </w:p>
        </w:tc>
        <w:tc>
          <w:tcPr>
            <w:tcW w:w="2693" w:type="dxa"/>
            <w:shd w:val="clear" w:color="auto" w:fill="D9D9D9" w:themeFill="background1" w:themeFillShade="D9"/>
            <w:vAlign w:val="center"/>
          </w:tcPr>
          <w:p w14:paraId="62955147" w14:textId="77777777" w:rsidR="00BE7FA3" w:rsidRPr="007B4D6B" w:rsidRDefault="00BE7FA3" w:rsidP="00CF5CEE">
            <w:pPr>
              <w:tabs>
                <w:tab w:val="left" w:pos="709"/>
              </w:tabs>
              <w:suppressAutoHyphens/>
              <w:spacing w:line="300" w:lineRule="atLeast"/>
              <w:jc w:val="center"/>
              <w:rPr>
                <w:rFonts w:ascii="Tahoma" w:hAnsi="Tahoma" w:cs="Tahoma"/>
                <w:b/>
                <w:bCs/>
                <w:sz w:val="22"/>
                <w:szCs w:val="22"/>
              </w:rPr>
            </w:pPr>
            <w:r w:rsidRPr="007B4D6B">
              <w:rPr>
                <w:rFonts w:ascii="Tahoma" w:hAnsi="Tahoma" w:cs="Tahoma"/>
                <w:b/>
                <w:bCs/>
                <w:sz w:val="22"/>
                <w:szCs w:val="22"/>
              </w:rPr>
              <w:t xml:space="preserve">Data de Amortização </w:t>
            </w:r>
          </w:p>
        </w:tc>
        <w:tc>
          <w:tcPr>
            <w:tcW w:w="4673" w:type="dxa"/>
            <w:shd w:val="clear" w:color="auto" w:fill="D9D9D9" w:themeFill="background1" w:themeFillShade="D9"/>
            <w:vAlign w:val="center"/>
          </w:tcPr>
          <w:p w14:paraId="155C0263" w14:textId="77777777" w:rsidR="00BE7FA3" w:rsidRPr="007B4D6B" w:rsidRDefault="00BE7FA3" w:rsidP="00CF5CEE">
            <w:pPr>
              <w:tabs>
                <w:tab w:val="left" w:pos="709"/>
              </w:tabs>
              <w:suppressAutoHyphens/>
              <w:spacing w:line="300" w:lineRule="atLeast"/>
              <w:jc w:val="center"/>
              <w:rPr>
                <w:rFonts w:ascii="Tahoma" w:hAnsi="Tahoma" w:cs="Tahoma"/>
                <w:b/>
                <w:bCs/>
                <w:sz w:val="22"/>
                <w:szCs w:val="22"/>
              </w:rPr>
            </w:pPr>
            <w:r w:rsidRPr="007B4D6B">
              <w:rPr>
                <w:rFonts w:ascii="Tahoma" w:hAnsi="Tahoma" w:cs="Tahoma"/>
                <w:b/>
                <w:bCs/>
                <w:sz w:val="22"/>
                <w:szCs w:val="22"/>
              </w:rPr>
              <w:t>Percentual a ser Amortizado do Valor Nominal Atualizado das Debêntures da Segunda Série</w:t>
            </w:r>
          </w:p>
        </w:tc>
      </w:tr>
      <w:tr w:rsidR="0081316A" w:rsidRPr="0081316A" w14:paraId="667FFE52" w14:textId="77777777" w:rsidTr="007B4D6B">
        <w:trPr>
          <w:jc w:val="center"/>
        </w:trPr>
        <w:tc>
          <w:tcPr>
            <w:tcW w:w="1276" w:type="dxa"/>
            <w:shd w:val="clear" w:color="auto" w:fill="auto"/>
            <w:vAlign w:val="center"/>
          </w:tcPr>
          <w:p w14:paraId="3D487F69"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w:t>
            </w:r>
          </w:p>
        </w:tc>
        <w:tc>
          <w:tcPr>
            <w:tcW w:w="2693" w:type="dxa"/>
            <w:shd w:val="clear" w:color="auto" w:fill="auto"/>
            <w:vAlign w:val="center"/>
          </w:tcPr>
          <w:p w14:paraId="214CB10B"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2028</w:t>
            </w:r>
          </w:p>
        </w:tc>
        <w:tc>
          <w:tcPr>
            <w:tcW w:w="4673" w:type="dxa"/>
            <w:shd w:val="clear" w:color="auto" w:fill="auto"/>
          </w:tcPr>
          <w:p w14:paraId="1630BAEE" w14:textId="2A07856B"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0,1000% </w:t>
            </w:r>
          </w:p>
        </w:tc>
      </w:tr>
      <w:tr w:rsidR="0081316A" w:rsidRPr="0081316A" w14:paraId="36F2487C" w14:textId="77777777" w:rsidTr="007B4D6B">
        <w:trPr>
          <w:jc w:val="center"/>
        </w:trPr>
        <w:tc>
          <w:tcPr>
            <w:tcW w:w="1276" w:type="dxa"/>
            <w:shd w:val="clear" w:color="auto" w:fill="auto"/>
            <w:vAlign w:val="center"/>
          </w:tcPr>
          <w:p w14:paraId="574C8307"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2</w:t>
            </w:r>
          </w:p>
        </w:tc>
        <w:tc>
          <w:tcPr>
            <w:tcW w:w="2693" w:type="dxa"/>
            <w:shd w:val="clear" w:color="auto" w:fill="auto"/>
            <w:vAlign w:val="center"/>
          </w:tcPr>
          <w:p w14:paraId="2D4B8B52"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2029</w:t>
            </w:r>
          </w:p>
        </w:tc>
        <w:tc>
          <w:tcPr>
            <w:tcW w:w="4673" w:type="dxa"/>
            <w:shd w:val="clear" w:color="auto" w:fill="auto"/>
          </w:tcPr>
          <w:p w14:paraId="462C9238" w14:textId="11E9770A"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5,1066% </w:t>
            </w:r>
          </w:p>
        </w:tc>
      </w:tr>
      <w:tr w:rsidR="0081316A" w:rsidRPr="0081316A" w14:paraId="170F838C" w14:textId="77777777" w:rsidTr="007B4D6B">
        <w:trPr>
          <w:jc w:val="center"/>
        </w:trPr>
        <w:tc>
          <w:tcPr>
            <w:tcW w:w="1276" w:type="dxa"/>
            <w:shd w:val="clear" w:color="auto" w:fill="auto"/>
            <w:vAlign w:val="center"/>
          </w:tcPr>
          <w:p w14:paraId="07D3843C"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lastRenderedPageBreak/>
              <w:t>3</w:t>
            </w:r>
          </w:p>
        </w:tc>
        <w:tc>
          <w:tcPr>
            <w:tcW w:w="2693" w:type="dxa"/>
            <w:shd w:val="clear" w:color="auto" w:fill="auto"/>
            <w:vAlign w:val="center"/>
          </w:tcPr>
          <w:p w14:paraId="58849456"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2029</w:t>
            </w:r>
          </w:p>
        </w:tc>
        <w:tc>
          <w:tcPr>
            <w:tcW w:w="4673" w:type="dxa"/>
            <w:shd w:val="clear" w:color="auto" w:fill="auto"/>
          </w:tcPr>
          <w:p w14:paraId="713B9D54" w14:textId="29787000"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5,3814% </w:t>
            </w:r>
          </w:p>
        </w:tc>
      </w:tr>
      <w:tr w:rsidR="0081316A" w:rsidRPr="0081316A" w14:paraId="1768B961" w14:textId="77777777" w:rsidTr="007B4D6B">
        <w:trPr>
          <w:jc w:val="center"/>
        </w:trPr>
        <w:tc>
          <w:tcPr>
            <w:tcW w:w="1276" w:type="dxa"/>
            <w:shd w:val="clear" w:color="auto" w:fill="auto"/>
            <w:vAlign w:val="center"/>
          </w:tcPr>
          <w:p w14:paraId="49365838"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4</w:t>
            </w:r>
          </w:p>
        </w:tc>
        <w:tc>
          <w:tcPr>
            <w:tcW w:w="2693" w:type="dxa"/>
            <w:shd w:val="clear" w:color="auto" w:fill="auto"/>
            <w:vAlign w:val="center"/>
          </w:tcPr>
          <w:p w14:paraId="44E32553"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2030</w:t>
            </w:r>
          </w:p>
        </w:tc>
        <w:tc>
          <w:tcPr>
            <w:tcW w:w="4673" w:type="dxa"/>
            <w:shd w:val="clear" w:color="auto" w:fill="auto"/>
          </w:tcPr>
          <w:p w14:paraId="591BB7D8" w14:textId="6B5C0656"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6,3032% </w:t>
            </w:r>
          </w:p>
        </w:tc>
      </w:tr>
      <w:tr w:rsidR="0081316A" w:rsidRPr="0081316A" w14:paraId="6F37A014" w14:textId="77777777" w:rsidTr="007B4D6B">
        <w:trPr>
          <w:jc w:val="center"/>
        </w:trPr>
        <w:tc>
          <w:tcPr>
            <w:tcW w:w="1276" w:type="dxa"/>
            <w:shd w:val="clear" w:color="auto" w:fill="auto"/>
            <w:vAlign w:val="center"/>
          </w:tcPr>
          <w:p w14:paraId="279C84E6"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5</w:t>
            </w:r>
          </w:p>
        </w:tc>
        <w:tc>
          <w:tcPr>
            <w:tcW w:w="2693" w:type="dxa"/>
            <w:shd w:val="clear" w:color="auto" w:fill="auto"/>
            <w:vAlign w:val="center"/>
          </w:tcPr>
          <w:p w14:paraId="3AA32A0C"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2030</w:t>
            </w:r>
          </w:p>
        </w:tc>
        <w:tc>
          <w:tcPr>
            <w:tcW w:w="4673" w:type="dxa"/>
            <w:shd w:val="clear" w:color="auto" w:fill="auto"/>
          </w:tcPr>
          <w:p w14:paraId="2090D492" w14:textId="64C0A359"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6,7272% </w:t>
            </w:r>
          </w:p>
        </w:tc>
      </w:tr>
      <w:tr w:rsidR="0081316A" w:rsidRPr="0081316A" w14:paraId="095050A0" w14:textId="77777777" w:rsidTr="007B4D6B">
        <w:trPr>
          <w:jc w:val="center"/>
        </w:trPr>
        <w:tc>
          <w:tcPr>
            <w:tcW w:w="1276" w:type="dxa"/>
            <w:shd w:val="clear" w:color="auto" w:fill="auto"/>
            <w:vAlign w:val="center"/>
          </w:tcPr>
          <w:p w14:paraId="44052490"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6</w:t>
            </w:r>
          </w:p>
        </w:tc>
        <w:tc>
          <w:tcPr>
            <w:tcW w:w="2693" w:type="dxa"/>
            <w:shd w:val="clear" w:color="auto" w:fill="auto"/>
            <w:vAlign w:val="center"/>
          </w:tcPr>
          <w:p w14:paraId="1458878D"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2031</w:t>
            </w:r>
          </w:p>
        </w:tc>
        <w:tc>
          <w:tcPr>
            <w:tcW w:w="4673" w:type="dxa"/>
            <w:shd w:val="clear" w:color="auto" w:fill="auto"/>
          </w:tcPr>
          <w:p w14:paraId="2354DA88" w14:textId="779BFC5E"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6,4036% </w:t>
            </w:r>
          </w:p>
        </w:tc>
      </w:tr>
      <w:tr w:rsidR="0081316A" w:rsidRPr="0081316A" w14:paraId="6250792C" w14:textId="77777777" w:rsidTr="007B4D6B">
        <w:trPr>
          <w:jc w:val="center"/>
        </w:trPr>
        <w:tc>
          <w:tcPr>
            <w:tcW w:w="1276" w:type="dxa"/>
            <w:shd w:val="clear" w:color="auto" w:fill="auto"/>
            <w:vAlign w:val="center"/>
          </w:tcPr>
          <w:p w14:paraId="6931CCF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7</w:t>
            </w:r>
          </w:p>
        </w:tc>
        <w:tc>
          <w:tcPr>
            <w:tcW w:w="2693" w:type="dxa"/>
            <w:shd w:val="clear" w:color="auto" w:fill="auto"/>
            <w:vAlign w:val="center"/>
          </w:tcPr>
          <w:p w14:paraId="3690D41B"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2031</w:t>
            </w:r>
          </w:p>
        </w:tc>
        <w:tc>
          <w:tcPr>
            <w:tcW w:w="4673" w:type="dxa"/>
            <w:shd w:val="clear" w:color="auto" w:fill="auto"/>
          </w:tcPr>
          <w:p w14:paraId="6D25E85F" w14:textId="0F25BC2F"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6,8418% </w:t>
            </w:r>
          </w:p>
        </w:tc>
      </w:tr>
      <w:tr w:rsidR="0081316A" w:rsidRPr="0081316A" w14:paraId="6A610A7A" w14:textId="77777777" w:rsidTr="007B4D6B">
        <w:trPr>
          <w:jc w:val="center"/>
        </w:trPr>
        <w:tc>
          <w:tcPr>
            <w:tcW w:w="1276" w:type="dxa"/>
            <w:shd w:val="clear" w:color="auto" w:fill="auto"/>
            <w:vAlign w:val="center"/>
          </w:tcPr>
          <w:p w14:paraId="4445862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8</w:t>
            </w:r>
          </w:p>
        </w:tc>
        <w:tc>
          <w:tcPr>
            <w:tcW w:w="2693" w:type="dxa"/>
            <w:shd w:val="clear" w:color="auto" w:fill="auto"/>
            <w:vAlign w:val="center"/>
          </w:tcPr>
          <w:p w14:paraId="3A380844"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2032</w:t>
            </w:r>
          </w:p>
        </w:tc>
        <w:tc>
          <w:tcPr>
            <w:tcW w:w="4673" w:type="dxa"/>
            <w:shd w:val="clear" w:color="auto" w:fill="auto"/>
          </w:tcPr>
          <w:p w14:paraId="12A1F5D8" w14:textId="179428BE"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9,3379% </w:t>
            </w:r>
          </w:p>
        </w:tc>
      </w:tr>
      <w:tr w:rsidR="0081316A" w:rsidRPr="0081316A" w14:paraId="22751393" w14:textId="77777777" w:rsidTr="007B4D6B">
        <w:trPr>
          <w:jc w:val="center"/>
        </w:trPr>
        <w:tc>
          <w:tcPr>
            <w:tcW w:w="1276" w:type="dxa"/>
            <w:shd w:val="clear" w:color="auto" w:fill="auto"/>
            <w:vAlign w:val="center"/>
          </w:tcPr>
          <w:p w14:paraId="27DBCE34"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9</w:t>
            </w:r>
          </w:p>
        </w:tc>
        <w:tc>
          <w:tcPr>
            <w:tcW w:w="2693" w:type="dxa"/>
            <w:shd w:val="clear" w:color="auto" w:fill="auto"/>
            <w:vAlign w:val="center"/>
          </w:tcPr>
          <w:p w14:paraId="3682593D"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2032</w:t>
            </w:r>
          </w:p>
        </w:tc>
        <w:tc>
          <w:tcPr>
            <w:tcW w:w="4673" w:type="dxa"/>
            <w:shd w:val="clear" w:color="auto" w:fill="auto"/>
          </w:tcPr>
          <w:p w14:paraId="41A6436A" w14:textId="02CBCB20"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10,2997% </w:t>
            </w:r>
          </w:p>
        </w:tc>
      </w:tr>
      <w:tr w:rsidR="0081316A" w:rsidRPr="0081316A" w14:paraId="60347AED" w14:textId="77777777" w:rsidTr="007B4D6B">
        <w:trPr>
          <w:jc w:val="center"/>
        </w:trPr>
        <w:tc>
          <w:tcPr>
            <w:tcW w:w="1276" w:type="dxa"/>
            <w:shd w:val="clear" w:color="auto" w:fill="auto"/>
            <w:vAlign w:val="center"/>
          </w:tcPr>
          <w:p w14:paraId="007CAE9F"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10</w:t>
            </w:r>
          </w:p>
        </w:tc>
        <w:tc>
          <w:tcPr>
            <w:tcW w:w="2693" w:type="dxa"/>
            <w:shd w:val="clear" w:color="auto" w:fill="auto"/>
            <w:vAlign w:val="center"/>
          </w:tcPr>
          <w:p w14:paraId="4A43B06D"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2033</w:t>
            </w:r>
          </w:p>
        </w:tc>
        <w:tc>
          <w:tcPr>
            <w:tcW w:w="4673" w:type="dxa"/>
            <w:shd w:val="clear" w:color="auto" w:fill="auto"/>
          </w:tcPr>
          <w:p w14:paraId="21D414F3" w14:textId="61F73FE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10,9773% </w:t>
            </w:r>
          </w:p>
        </w:tc>
      </w:tr>
      <w:tr w:rsidR="0081316A" w:rsidRPr="0081316A" w14:paraId="22277040" w14:textId="77777777" w:rsidTr="007B4D6B">
        <w:trPr>
          <w:jc w:val="center"/>
        </w:trPr>
        <w:tc>
          <w:tcPr>
            <w:tcW w:w="1276" w:type="dxa"/>
            <w:shd w:val="clear" w:color="auto" w:fill="auto"/>
            <w:vAlign w:val="center"/>
          </w:tcPr>
          <w:p w14:paraId="585CCF5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11</w:t>
            </w:r>
          </w:p>
        </w:tc>
        <w:tc>
          <w:tcPr>
            <w:tcW w:w="2693" w:type="dxa"/>
            <w:shd w:val="clear" w:color="auto" w:fill="auto"/>
            <w:vAlign w:val="center"/>
          </w:tcPr>
          <w:p w14:paraId="7B8AC5AB"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2033</w:t>
            </w:r>
          </w:p>
        </w:tc>
        <w:tc>
          <w:tcPr>
            <w:tcW w:w="4673" w:type="dxa"/>
            <w:shd w:val="clear" w:color="auto" w:fill="auto"/>
          </w:tcPr>
          <w:p w14:paraId="15CE3081" w14:textId="73A4458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12,3308% </w:t>
            </w:r>
          </w:p>
        </w:tc>
      </w:tr>
      <w:tr w:rsidR="0081316A" w:rsidRPr="0081316A" w14:paraId="767DB2DF" w14:textId="77777777" w:rsidTr="007B4D6B">
        <w:trPr>
          <w:jc w:val="center"/>
        </w:trPr>
        <w:tc>
          <w:tcPr>
            <w:tcW w:w="1276" w:type="dxa"/>
            <w:shd w:val="clear" w:color="auto" w:fill="auto"/>
            <w:vAlign w:val="center"/>
          </w:tcPr>
          <w:p w14:paraId="5E0A013E"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12</w:t>
            </w:r>
          </w:p>
        </w:tc>
        <w:tc>
          <w:tcPr>
            <w:tcW w:w="2693" w:type="dxa"/>
            <w:shd w:val="clear" w:color="auto" w:fill="auto"/>
            <w:vAlign w:val="center"/>
          </w:tcPr>
          <w:p w14:paraId="40DE97FE"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2034</w:t>
            </w:r>
          </w:p>
        </w:tc>
        <w:tc>
          <w:tcPr>
            <w:tcW w:w="4673" w:type="dxa"/>
            <w:shd w:val="clear" w:color="auto" w:fill="auto"/>
          </w:tcPr>
          <w:p w14:paraId="3679B767" w14:textId="6FDE4DDD"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13,6927% </w:t>
            </w:r>
          </w:p>
        </w:tc>
      </w:tr>
      <w:tr w:rsidR="0081316A" w:rsidRPr="0081316A" w14:paraId="2B01BCE8" w14:textId="77777777" w:rsidTr="007B4D6B">
        <w:trPr>
          <w:jc w:val="center"/>
        </w:trPr>
        <w:tc>
          <w:tcPr>
            <w:tcW w:w="1276" w:type="dxa"/>
            <w:shd w:val="clear" w:color="auto" w:fill="auto"/>
            <w:vAlign w:val="center"/>
          </w:tcPr>
          <w:p w14:paraId="4F4407A7"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13</w:t>
            </w:r>
          </w:p>
        </w:tc>
        <w:tc>
          <w:tcPr>
            <w:tcW w:w="2693" w:type="dxa"/>
            <w:shd w:val="clear" w:color="auto" w:fill="auto"/>
            <w:vAlign w:val="center"/>
          </w:tcPr>
          <w:p w14:paraId="7FE66835"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2034</w:t>
            </w:r>
          </w:p>
        </w:tc>
        <w:tc>
          <w:tcPr>
            <w:tcW w:w="4673" w:type="dxa"/>
            <w:shd w:val="clear" w:color="auto" w:fill="auto"/>
          </w:tcPr>
          <w:p w14:paraId="4538B197" w14:textId="6A40B04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15,8650% </w:t>
            </w:r>
          </w:p>
        </w:tc>
      </w:tr>
      <w:tr w:rsidR="0081316A" w:rsidRPr="0081316A" w14:paraId="38EAAFC1" w14:textId="77777777" w:rsidTr="007B4D6B">
        <w:trPr>
          <w:jc w:val="center"/>
        </w:trPr>
        <w:tc>
          <w:tcPr>
            <w:tcW w:w="1276" w:type="dxa"/>
            <w:shd w:val="clear" w:color="auto" w:fill="auto"/>
            <w:vAlign w:val="center"/>
          </w:tcPr>
          <w:p w14:paraId="7CB8DBF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14</w:t>
            </w:r>
          </w:p>
        </w:tc>
        <w:tc>
          <w:tcPr>
            <w:tcW w:w="2693" w:type="dxa"/>
            <w:shd w:val="clear" w:color="auto" w:fill="auto"/>
            <w:vAlign w:val="center"/>
          </w:tcPr>
          <w:p w14:paraId="5ADB3160"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2035</w:t>
            </w:r>
          </w:p>
        </w:tc>
        <w:tc>
          <w:tcPr>
            <w:tcW w:w="4673" w:type="dxa"/>
            <w:shd w:val="clear" w:color="auto" w:fill="auto"/>
          </w:tcPr>
          <w:p w14:paraId="260214F5" w14:textId="35B0F51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21,5528% </w:t>
            </w:r>
          </w:p>
        </w:tc>
      </w:tr>
      <w:tr w:rsidR="0081316A" w:rsidRPr="0081316A" w14:paraId="09AE8B64" w14:textId="77777777" w:rsidTr="007B4D6B">
        <w:trPr>
          <w:jc w:val="center"/>
        </w:trPr>
        <w:tc>
          <w:tcPr>
            <w:tcW w:w="1276" w:type="dxa"/>
            <w:shd w:val="clear" w:color="auto" w:fill="auto"/>
            <w:vAlign w:val="center"/>
          </w:tcPr>
          <w:p w14:paraId="1E655429"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15</w:t>
            </w:r>
          </w:p>
        </w:tc>
        <w:tc>
          <w:tcPr>
            <w:tcW w:w="2693" w:type="dxa"/>
            <w:shd w:val="clear" w:color="auto" w:fill="auto"/>
            <w:vAlign w:val="center"/>
          </w:tcPr>
          <w:p w14:paraId="305A6297"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2035</w:t>
            </w:r>
          </w:p>
        </w:tc>
        <w:tc>
          <w:tcPr>
            <w:tcW w:w="4673" w:type="dxa"/>
            <w:shd w:val="clear" w:color="auto" w:fill="auto"/>
          </w:tcPr>
          <w:p w14:paraId="16850F74" w14:textId="05B919FF"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27,4743% </w:t>
            </w:r>
          </w:p>
        </w:tc>
      </w:tr>
      <w:tr w:rsidR="0081316A" w:rsidRPr="0081316A" w14:paraId="68C88A57" w14:textId="77777777" w:rsidTr="007B4D6B">
        <w:trPr>
          <w:jc w:val="center"/>
        </w:trPr>
        <w:tc>
          <w:tcPr>
            <w:tcW w:w="1276" w:type="dxa"/>
            <w:shd w:val="clear" w:color="auto" w:fill="auto"/>
            <w:vAlign w:val="center"/>
          </w:tcPr>
          <w:p w14:paraId="0826424A"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16</w:t>
            </w:r>
          </w:p>
        </w:tc>
        <w:tc>
          <w:tcPr>
            <w:tcW w:w="2693" w:type="dxa"/>
            <w:shd w:val="clear" w:color="auto" w:fill="auto"/>
            <w:vAlign w:val="center"/>
          </w:tcPr>
          <w:p w14:paraId="3EC9C4E2"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2036</w:t>
            </w:r>
          </w:p>
        </w:tc>
        <w:tc>
          <w:tcPr>
            <w:tcW w:w="4673" w:type="dxa"/>
            <w:shd w:val="clear" w:color="auto" w:fill="auto"/>
          </w:tcPr>
          <w:p w14:paraId="5D92EE30" w14:textId="0E2492B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50,0000% </w:t>
            </w:r>
          </w:p>
        </w:tc>
      </w:tr>
      <w:tr w:rsidR="0081316A" w:rsidRPr="0081316A" w14:paraId="6E74F60D" w14:textId="77777777" w:rsidTr="007B4D6B">
        <w:trPr>
          <w:trHeight w:val="105"/>
          <w:jc w:val="center"/>
        </w:trPr>
        <w:tc>
          <w:tcPr>
            <w:tcW w:w="1276" w:type="dxa"/>
            <w:shd w:val="clear" w:color="auto" w:fill="auto"/>
            <w:vAlign w:val="center"/>
          </w:tcPr>
          <w:p w14:paraId="707022D0"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17</w:t>
            </w:r>
          </w:p>
        </w:tc>
        <w:tc>
          <w:tcPr>
            <w:tcW w:w="2693" w:type="dxa"/>
            <w:shd w:val="clear" w:color="auto" w:fill="auto"/>
            <w:vAlign w:val="center"/>
          </w:tcPr>
          <w:p w14:paraId="18F48565"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Data de Vencimento da Segunda Série</w:t>
            </w:r>
          </w:p>
        </w:tc>
        <w:tc>
          <w:tcPr>
            <w:tcW w:w="4673" w:type="dxa"/>
            <w:shd w:val="clear" w:color="auto" w:fill="auto"/>
          </w:tcPr>
          <w:p w14:paraId="77AE22AB" w14:textId="2475A572"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100,0000% </w:t>
            </w:r>
          </w:p>
        </w:tc>
      </w:tr>
    </w:tbl>
    <w:p w14:paraId="1E5FC7A0" w14:textId="77777777" w:rsidR="00BE7FA3" w:rsidRPr="007B4D6B" w:rsidRDefault="00BE7FA3" w:rsidP="007B4D6B">
      <w:pPr>
        <w:ind w:left="1134"/>
        <w:rPr>
          <w:rFonts w:ascii="Tahoma" w:hAnsi="Tahoma" w:cs="Tahoma"/>
          <w:i/>
          <w:sz w:val="22"/>
          <w:szCs w:val="22"/>
        </w:rPr>
      </w:pPr>
    </w:p>
    <w:p w14:paraId="13D1A470" w14:textId="4C4CDF34" w:rsidR="007B0C41" w:rsidRDefault="00860705"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w:t>
      </w:r>
      <w:r w:rsidR="00F02FCF" w:rsidRPr="008D5FF3">
        <w:rPr>
          <w:rFonts w:ascii="Tahoma" w:hAnsi="Tahoma" w:cs="Tahoma"/>
          <w:b w:val="0"/>
          <w:sz w:val="22"/>
          <w:szCs w:val="22"/>
        </w:rPr>
        <w:t xml:space="preserve">s Partes resolvem alterar a </w:t>
      </w:r>
      <w:r w:rsidR="009A413E" w:rsidRPr="00482BCA">
        <w:rPr>
          <w:rFonts w:ascii="Tahoma" w:hAnsi="Tahoma" w:cs="Tahoma"/>
          <w:b w:val="0"/>
          <w:sz w:val="22"/>
          <w:szCs w:val="22"/>
        </w:rPr>
        <w:t>alínea “g” da Cláusula 4.16.1 da Escritura de Emissão</w:t>
      </w:r>
      <w:r w:rsidR="00F02FCF" w:rsidRPr="008D5FF3">
        <w:rPr>
          <w:rFonts w:ascii="Tahoma" w:hAnsi="Tahoma" w:cs="Tahoma"/>
          <w:b w:val="0"/>
          <w:sz w:val="22"/>
          <w:szCs w:val="22"/>
        </w:rPr>
        <w:t>, que passa a vigorar com as seguintes redações:</w:t>
      </w:r>
    </w:p>
    <w:p w14:paraId="2B069F5C" w14:textId="2BDBD0D5" w:rsidR="008D5FF3" w:rsidRDefault="008D5FF3" w:rsidP="00482BCA">
      <w:pPr>
        <w:spacing w:after="240" w:line="320" w:lineRule="atLeast"/>
        <w:ind w:left="1134"/>
        <w:rPr>
          <w:rFonts w:ascii="Tahoma" w:hAnsi="Tahoma" w:cs="Tahoma"/>
          <w:i/>
          <w:sz w:val="22"/>
          <w:szCs w:val="22"/>
        </w:rPr>
      </w:pPr>
      <w:r w:rsidRPr="008B2F91">
        <w:rPr>
          <w:rFonts w:ascii="Tahoma" w:hAnsi="Tahoma" w:cs="Tahoma"/>
          <w:sz w:val="22"/>
          <w:szCs w:val="22"/>
        </w:rPr>
        <w:t>“</w:t>
      </w:r>
      <w:r w:rsidRPr="00482BCA">
        <w:rPr>
          <w:rFonts w:ascii="Tahoma" w:hAnsi="Tahoma" w:cs="Tahoma"/>
          <w:i/>
          <w:sz w:val="22"/>
          <w:szCs w:val="22"/>
        </w:rPr>
        <w:t>Para fins e efeitos da presente Escritura de Emissão, a conclusão do Projeto ocorrerá por meio do cumprimento cumulativo e apresentação pela Emissora ao Agente Fiduciário dos seguintes documentos (“</w:t>
      </w:r>
      <w:r w:rsidRPr="00482BCA">
        <w:rPr>
          <w:rFonts w:ascii="Tahoma" w:hAnsi="Tahoma" w:cs="Tahoma"/>
          <w:i/>
          <w:sz w:val="22"/>
          <w:szCs w:val="22"/>
          <w:u w:val="single"/>
        </w:rPr>
        <w:t>Conclusão do Projeto</w:t>
      </w:r>
      <w:r w:rsidRPr="00482BCA">
        <w:rPr>
          <w:rFonts w:ascii="Tahoma" w:hAnsi="Tahoma" w:cs="Tahoma"/>
          <w:i/>
          <w:sz w:val="22"/>
          <w:szCs w:val="22"/>
        </w:rPr>
        <w:t>”)</w:t>
      </w:r>
      <w:r>
        <w:rPr>
          <w:rFonts w:ascii="Tahoma" w:hAnsi="Tahoma" w:cs="Tahoma"/>
          <w:i/>
          <w:sz w:val="22"/>
          <w:szCs w:val="22"/>
        </w:rPr>
        <w:t>:</w:t>
      </w:r>
    </w:p>
    <w:p w14:paraId="2408F6A6" w14:textId="031CCC4D" w:rsidR="008D5FF3" w:rsidRDefault="008D5FF3" w:rsidP="00482BCA">
      <w:pPr>
        <w:spacing w:after="240" w:line="320" w:lineRule="atLeast"/>
        <w:ind w:left="1134"/>
        <w:rPr>
          <w:rFonts w:ascii="Tahoma" w:hAnsi="Tahoma" w:cs="Tahoma"/>
          <w:i/>
          <w:sz w:val="22"/>
          <w:szCs w:val="22"/>
        </w:rPr>
      </w:pPr>
      <w:r w:rsidRPr="00482BCA">
        <w:rPr>
          <w:rFonts w:ascii="Tahoma" w:hAnsi="Tahoma" w:cs="Tahoma"/>
          <w:i/>
          <w:sz w:val="22"/>
          <w:szCs w:val="22"/>
        </w:rPr>
        <w:t>(...)</w:t>
      </w:r>
    </w:p>
    <w:p w14:paraId="6487F0FC" w14:textId="20EB3370" w:rsidR="00BC6542" w:rsidRPr="00482BCA" w:rsidRDefault="008D5FF3" w:rsidP="009A25F4">
      <w:pPr>
        <w:spacing w:after="240" w:line="320" w:lineRule="atLeast"/>
        <w:ind w:left="1134"/>
        <w:rPr>
          <w:b/>
        </w:rPr>
      </w:pPr>
      <w:r w:rsidRPr="008D5FF3">
        <w:rPr>
          <w:rFonts w:ascii="Tahoma" w:hAnsi="Tahoma" w:cs="Tahoma"/>
          <w:i/>
          <w:sz w:val="22"/>
          <w:szCs w:val="22"/>
        </w:rPr>
        <w:t>(g)</w:t>
      </w:r>
      <w:r w:rsidRPr="008D5FF3">
        <w:rPr>
          <w:rFonts w:ascii="Tahoma" w:hAnsi="Tahoma" w:cs="Tahoma"/>
          <w:i/>
          <w:sz w:val="22"/>
          <w:szCs w:val="22"/>
        </w:rPr>
        <w:tab/>
      </w:r>
      <w:r w:rsidRPr="00482BCA">
        <w:rPr>
          <w:rFonts w:ascii="Tahoma" w:hAnsi="Tahoma" w:cs="Tahoma"/>
          <w:i/>
          <w:sz w:val="22"/>
          <w:szCs w:val="22"/>
        </w:rPr>
        <w:t>atendimento do índice de cobertura do serviço da dívida (“</w:t>
      </w:r>
      <w:r w:rsidRPr="00482BCA">
        <w:rPr>
          <w:rFonts w:ascii="Tahoma" w:hAnsi="Tahoma" w:cs="Tahoma"/>
          <w:bCs/>
          <w:i/>
          <w:sz w:val="22"/>
          <w:szCs w:val="22"/>
          <w:u w:val="single"/>
        </w:rPr>
        <w:t>ICSD</w:t>
      </w:r>
      <w:r w:rsidRPr="00482BCA">
        <w:rPr>
          <w:rFonts w:ascii="Tahoma" w:hAnsi="Tahoma" w:cs="Tahoma"/>
          <w:i/>
          <w:sz w:val="22"/>
          <w:szCs w:val="22"/>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482BCA">
        <w:rPr>
          <w:rFonts w:ascii="Tahoma" w:hAnsi="Tahoma" w:cs="Tahoma"/>
          <w:b/>
          <w:bCs/>
          <w:i/>
          <w:sz w:val="22"/>
          <w:szCs w:val="22"/>
        </w:rPr>
        <w:t>Anexo I</w:t>
      </w:r>
      <w:r w:rsidRPr="00482BCA">
        <w:rPr>
          <w:rFonts w:ascii="Tahoma" w:hAnsi="Tahoma" w:cs="Tahoma"/>
          <w:i/>
          <w:sz w:val="22"/>
          <w:szCs w:val="22"/>
        </w:rPr>
        <w:t xml:space="preserve"> a esta Escritura de Emissão. Para as dívidas onerosas cujos pagamentos não sejam mensais deverá ser considerado apenas o serviço da dívida apurado nos meses de pagamento contidos no referido período de 12 (doze) meses.</w:t>
      </w:r>
    </w:p>
    <w:p w14:paraId="681C0D16" w14:textId="7A2D8EDB" w:rsidR="00F02FCF" w:rsidRDefault="008D5FF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lastRenderedPageBreak/>
        <w:t>As Partes resolvem, de comum acordo, alterar a Cláusula 4.18.2 da Escritura de Emissão para ajustar a redação da Hipótese de Vencimento Antecipado Não Automático prevista na alínea (l), o qual passa a vigorar com a seguinte redação:</w:t>
      </w:r>
    </w:p>
    <w:p w14:paraId="3F9E1AA7" w14:textId="5B5970D0" w:rsidR="008D5FF3" w:rsidRDefault="008D5FF3" w:rsidP="000E479E">
      <w:pPr>
        <w:spacing w:after="240" w:line="320" w:lineRule="atLeast"/>
        <w:ind w:left="1134"/>
        <w:rPr>
          <w:rFonts w:ascii="Tahoma" w:hAnsi="Tahoma" w:cs="Tahoma"/>
          <w:i/>
          <w:sz w:val="22"/>
          <w:szCs w:val="22"/>
        </w:rPr>
      </w:pPr>
      <w:r w:rsidRPr="00482BCA">
        <w:rPr>
          <w:rFonts w:ascii="Tahoma" w:hAnsi="Tahoma" w:cs="Tahoma"/>
          <w:i/>
          <w:sz w:val="22"/>
          <w:szCs w:val="22"/>
        </w:rPr>
        <w:t>“</w:t>
      </w:r>
      <w:r>
        <w:rPr>
          <w:rFonts w:ascii="Tahoma" w:hAnsi="Tahoma" w:cs="Tahoma"/>
          <w:i/>
          <w:sz w:val="22"/>
          <w:szCs w:val="22"/>
        </w:rPr>
        <w:t xml:space="preserve">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w:t>
      </w:r>
      <w:r w:rsidR="000E479E">
        <w:rPr>
          <w:rFonts w:ascii="Tahoma" w:hAnsi="Tahoma" w:cs="Tahoma"/>
          <w:i/>
          <w:sz w:val="22"/>
          <w:szCs w:val="22"/>
        </w:rPr>
        <w:t>qualquer uma das seguintes hipóteses (“</w:t>
      </w:r>
      <w:r w:rsidR="000E479E" w:rsidRPr="00482BCA">
        <w:rPr>
          <w:rFonts w:ascii="Tahoma" w:hAnsi="Tahoma" w:cs="Tahoma"/>
          <w:i/>
          <w:sz w:val="22"/>
          <w:szCs w:val="22"/>
          <w:u w:val="single"/>
        </w:rPr>
        <w:t>Hipóteses de Vencimento Antecipado Não Automático</w:t>
      </w:r>
      <w:r w:rsidR="000E479E">
        <w:rPr>
          <w:rFonts w:ascii="Tahoma" w:hAnsi="Tahoma" w:cs="Tahoma"/>
          <w:i/>
          <w:sz w:val="22"/>
          <w:szCs w:val="22"/>
        </w:rPr>
        <w:t>” e, em conjunto com as Hipóteses de Vencimento Antecipado Automático, “Hipóteses de Vencimento Antecipado”):</w:t>
      </w:r>
    </w:p>
    <w:p w14:paraId="1149CA3C" w14:textId="1701EE0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w:t>
      </w:r>
    </w:p>
    <w:p w14:paraId="401540E2" w14:textId="1538CE3A"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(l)</w:t>
      </w:r>
      <w:r w:rsidRPr="000E479E">
        <w:rPr>
          <w:rFonts w:ascii="Tahoma" w:hAnsi="Tahoma" w:cs="Tahoma"/>
          <w:i/>
          <w:sz w:val="22"/>
          <w:szCs w:val="22"/>
        </w:rPr>
        <w:t xml:space="preserve"> </w:t>
      </w:r>
      <w:r w:rsidRPr="008B2F91">
        <w:rPr>
          <w:rFonts w:ascii="Tahoma" w:hAnsi="Tahoma" w:cs="Tahoma"/>
          <w:i/>
          <w:sz w:val="22"/>
          <w:szCs w:val="22"/>
        </w:rPr>
        <w:tab/>
      </w:r>
      <w:r w:rsidRPr="00482BCA">
        <w:rPr>
          <w:rFonts w:ascii="Tahoma" w:hAnsi="Tahoma" w:cs="Tahoma"/>
          <w:i/>
          <w:sz w:val="22"/>
          <w:szCs w:val="22"/>
        </w:rPr>
        <w:t>alteração, alienação ou transferência do controle acionário direto ou indireto da Emissora, exceto (qualquer uma das exceções, uma “</w:t>
      </w:r>
      <w:r w:rsidRPr="00482BCA">
        <w:rPr>
          <w:rFonts w:ascii="Tahoma" w:hAnsi="Tahoma" w:cs="Tahoma"/>
          <w:i/>
          <w:sz w:val="22"/>
          <w:szCs w:val="22"/>
          <w:u w:val="single"/>
        </w:rPr>
        <w:t>Alteração de Controle Autorizada</w:t>
      </w:r>
      <w:r w:rsidRPr="00482BCA">
        <w:rPr>
          <w:rFonts w:ascii="Tahoma" w:hAnsi="Tahoma" w:cs="Tahoma"/>
          <w:i/>
          <w:sz w:val="22"/>
          <w:szCs w:val="22"/>
        </w:rPr>
        <w:t>”): (i) se previamente aprovado por Debenturistas detentores de, no mínimo, a maioria das Debêntures presentes na Assembleia Geral de Debenturistas convocada para tal finalidade, ou (</w:t>
      </w:r>
      <w:proofErr w:type="spellStart"/>
      <w:r w:rsidRPr="00482BCA">
        <w:rPr>
          <w:rFonts w:ascii="Tahoma" w:hAnsi="Tahoma" w:cs="Tahoma"/>
          <w:i/>
          <w:sz w:val="22"/>
          <w:szCs w:val="22"/>
        </w:rPr>
        <w:t>ii</w:t>
      </w:r>
      <w:proofErr w:type="spellEnd"/>
      <w:r w:rsidRPr="00482BCA">
        <w:rPr>
          <w:rFonts w:ascii="Tahoma" w:hAnsi="Tahoma" w:cs="Tahoma"/>
          <w:i/>
          <w:sz w:val="22"/>
          <w:szCs w:val="22"/>
        </w:rPr>
        <w:t>) se a classificação de risco (rating) das Debêntures</w:t>
      </w:r>
      <w:r w:rsidR="009A25F4">
        <w:rPr>
          <w:rFonts w:ascii="Tahoma" w:hAnsi="Tahoma" w:cs="Tahoma"/>
          <w:i/>
          <w:sz w:val="22"/>
          <w:szCs w:val="22"/>
        </w:rPr>
        <w:t xml:space="preserve"> (caso haja apenas uma agência de classificação de risco contratada pela Emissora),</w:t>
      </w:r>
      <w:r w:rsidRPr="00482BCA">
        <w:rPr>
          <w:rFonts w:ascii="Tahoma" w:hAnsi="Tahoma" w:cs="Tahoma"/>
          <w:i/>
          <w:sz w:val="22"/>
          <w:szCs w:val="22"/>
        </w:rPr>
        <w:t xml:space="preserve"> ou </w:t>
      </w:r>
      <w:r w:rsidR="009A25F4">
        <w:rPr>
          <w:rFonts w:ascii="Tahoma" w:hAnsi="Tahoma" w:cs="Tahoma"/>
          <w:i/>
          <w:sz w:val="22"/>
          <w:szCs w:val="22"/>
        </w:rPr>
        <w:t xml:space="preserve">ao menos uma </w:t>
      </w:r>
      <w:r w:rsidRPr="00482BCA">
        <w:rPr>
          <w:rFonts w:ascii="Tahoma" w:hAnsi="Tahoma" w:cs="Tahoma"/>
          <w:i/>
          <w:sz w:val="22"/>
          <w:szCs w:val="22"/>
        </w:rPr>
        <w:t>classificaç</w:t>
      </w:r>
      <w:r w:rsidR="009A25F4">
        <w:rPr>
          <w:rFonts w:ascii="Tahoma" w:hAnsi="Tahoma" w:cs="Tahoma"/>
          <w:i/>
          <w:sz w:val="22"/>
          <w:szCs w:val="22"/>
        </w:rPr>
        <w:t>ão</w:t>
      </w:r>
      <w:r w:rsidRPr="00482BCA">
        <w:rPr>
          <w:rFonts w:ascii="Tahoma" w:hAnsi="Tahoma" w:cs="Tahoma"/>
          <w:i/>
          <w:sz w:val="22"/>
          <w:szCs w:val="22"/>
        </w:rPr>
        <w:t xml:space="preserve"> de risco (</w:t>
      </w:r>
      <w:r w:rsidRPr="00482BCA">
        <w:rPr>
          <w:rFonts w:ascii="Tahoma" w:hAnsi="Tahoma" w:cs="Tahoma"/>
          <w:i/>
          <w:iCs/>
          <w:sz w:val="22"/>
          <w:szCs w:val="22"/>
        </w:rPr>
        <w:t>rating</w:t>
      </w:r>
      <w:r w:rsidRPr="00482BCA">
        <w:rPr>
          <w:rFonts w:ascii="Tahoma" w:hAnsi="Tahoma" w:cs="Tahoma"/>
          <w:i/>
          <w:sz w:val="22"/>
          <w:szCs w:val="22"/>
        </w:rPr>
        <w:t xml:space="preserve">) das Debêntures </w:t>
      </w:r>
      <w:r w:rsidR="009A25F4">
        <w:rPr>
          <w:rFonts w:ascii="Tahoma" w:hAnsi="Tahoma" w:cs="Tahoma"/>
          <w:i/>
          <w:sz w:val="22"/>
          <w:szCs w:val="22"/>
        </w:rPr>
        <w:t>(</w:t>
      </w:r>
      <w:r w:rsidRPr="00482BCA">
        <w:rPr>
          <w:rFonts w:ascii="Tahoma" w:hAnsi="Tahoma" w:cs="Tahoma"/>
          <w:i/>
          <w:sz w:val="22"/>
          <w:szCs w:val="22"/>
        </w:rPr>
        <w:t>caso haja mais de uma agência de classificação de risco contratadas pela Emissora</w:t>
      </w:r>
      <w:r w:rsidR="00CF6395">
        <w:rPr>
          <w:rFonts w:ascii="Tahoma" w:hAnsi="Tahoma" w:cs="Tahoma"/>
          <w:i/>
          <w:sz w:val="22"/>
          <w:szCs w:val="22"/>
        </w:rPr>
        <w:t>)</w:t>
      </w:r>
      <w:r w:rsidRPr="00482BCA">
        <w:rPr>
          <w:rFonts w:ascii="Tahoma" w:hAnsi="Tahoma" w:cs="Tahoma"/>
          <w:i/>
          <w:sz w:val="22"/>
          <w:szCs w:val="22"/>
        </w:rPr>
        <w:t>, não for(em) alterada(s) ou for(em) reduzida(s) em relação à(s) classificação(</w:t>
      </w:r>
      <w:proofErr w:type="spellStart"/>
      <w:r w:rsidRPr="00482BCA">
        <w:rPr>
          <w:rFonts w:ascii="Tahoma" w:hAnsi="Tahoma" w:cs="Tahoma"/>
          <w:i/>
          <w:sz w:val="22"/>
          <w:szCs w:val="22"/>
        </w:rPr>
        <w:t>ões</w:t>
      </w:r>
      <w:proofErr w:type="spellEnd"/>
      <w:r w:rsidRPr="00482BCA">
        <w:rPr>
          <w:rFonts w:ascii="Tahoma" w:hAnsi="Tahoma" w:cs="Tahoma"/>
          <w:i/>
          <w:sz w:val="22"/>
          <w:szCs w:val="22"/>
        </w:rPr>
        <w:t>) de risco vigente(s) no Dia Útil imediatamente anterior à data do anúncio da referida alteração, alienação ou transferência de controle, em decorrência da referida disposição de controle, dentro dos seguintes limites:</w:t>
      </w:r>
      <w:r w:rsidRPr="00482BCA">
        <w:rPr>
          <w:rFonts w:ascii="Tahoma" w:hAnsi="Tahoma" w:cs="Tahoma"/>
          <w:i/>
          <w:iCs/>
          <w:sz w:val="22"/>
          <w:szCs w:val="22"/>
        </w:rPr>
        <w:t xml:space="preserve"> </w:t>
      </w:r>
      <w:r w:rsidRPr="00482BCA">
        <w:rPr>
          <w:rFonts w:ascii="Tahoma" w:hAnsi="Tahoma" w:cs="Tahoma"/>
          <w:i/>
          <w:sz w:val="22"/>
          <w:szCs w:val="22"/>
        </w:rPr>
        <w:t>(a)</w:t>
      </w:r>
      <w:r w:rsidR="00DD72D6">
        <w:rPr>
          <w:rFonts w:ascii="Tahoma" w:hAnsi="Tahoma" w:cs="Tahoma"/>
          <w:i/>
          <w:sz w:val="22"/>
          <w:szCs w:val="22"/>
        </w:rPr>
        <w:t> </w:t>
      </w:r>
      <w:r w:rsidRPr="00482BCA">
        <w:rPr>
          <w:rFonts w:ascii="Tahoma" w:hAnsi="Tahoma" w:cs="Tahoma"/>
          <w:i/>
          <w:sz w:val="22"/>
          <w:szCs w:val="22"/>
        </w:rPr>
        <w:t>caso a classificação de risco das Debêntures seja igual o</w:t>
      </w:r>
      <w:r w:rsidR="00DD72D6">
        <w:rPr>
          <w:rFonts w:ascii="Tahoma" w:hAnsi="Tahoma" w:cs="Tahoma"/>
          <w:i/>
          <w:sz w:val="22"/>
          <w:szCs w:val="22"/>
        </w:rPr>
        <w:t>u</w:t>
      </w:r>
      <w:r w:rsidRPr="00482BCA">
        <w:rPr>
          <w:rFonts w:ascii="Tahoma" w:hAnsi="Tahoma" w:cs="Tahoma"/>
          <w:i/>
          <w:sz w:val="22"/>
          <w:szCs w:val="22"/>
        </w:rPr>
        <w:t xml:space="preserve"> superior a AAA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w:t>
      </w:r>
      <w:proofErr w:type="spellStart"/>
      <w:r w:rsidRPr="00482BCA">
        <w:rPr>
          <w:rFonts w:ascii="Tahoma" w:hAnsi="Tahoma" w:cs="Tahoma"/>
          <w:i/>
          <w:sz w:val="22"/>
          <w:szCs w:val="22"/>
        </w:rPr>
        <w:t>Aaa</w:t>
      </w:r>
      <w:proofErr w:type="spellEnd"/>
      <w:r w:rsidRPr="00482BCA">
        <w:rPr>
          <w:rFonts w:ascii="Tahoma" w:hAnsi="Tahoma" w:cs="Tahoma"/>
          <w:i/>
          <w:sz w:val="22"/>
          <w:szCs w:val="22"/>
        </w:rPr>
        <w:t xml:space="preserve">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Aa3 pela Moody’s, e (b)</w:t>
      </w:r>
      <w:r w:rsidR="00DD72D6">
        <w:rPr>
          <w:rFonts w:ascii="Tahoma" w:hAnsi="Tahoma" w:cs="Tahoma"/>
          <w:i/>
          <w:sz w:val="22"/>
          <w:szCs w:val="22"/>
        </w:rPr>
        <w:t> </w:t>
      </w:r>
      <w:r w:rsidRPr="00482BCA">
        <w:rPr>
          <w:rFonts w:ascii="Tahoma" w:hAnsi="Tahoma" w:cs="Tahoma"/>
          <w:i/>
          <w:sz w:val="22"/>
          <w:szCs w:val="22"/>
        </w:rPr>
        <w:t xml:space="preserve">caso a classificação de risco das Debêntures seja igual ou inferior a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Aa1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A1 pela Moody’s, devendo ser observado, ainda, o disposto na </w:t>
      </w:r>
      <w:r w:rsidRPr="002F05D8">
        <w:rPr>
          <w:rFonts w:ascii="Tahoma" w:hAnsi="Tahoma" w:cs="Tahoma"/>
          <w:i/>
          <w:sz w:val="22"/>
          <w:szCs w:val="22"/>
        </w:rPr>
        <w:t>Cláusula 4.17.9 acima</w:t>
      </w:r>
      <w:r w:rsidR="00CF6395" w:rsidRPr="002F05D8">
        <w:rPr>
          <w:rFonts w:ascii="Tahoma" w:hAnsi="Tahoma" w:cs="Tahoma"/>
          <w:i/>
          <w:sz w:val="22"/>
          <w:szCs w:val="22"/>
        </w:rPr>
        <w:t>. 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2F05D8">
        <w:rPr>
          <w:rFonts w:ascii="Tahoma" w:hAnsi="Tahoma" w:cs="Tahoma"/>
          <w:i/>
          <w:sz w:val="22"/>
          <w:szCs w:val="22"/>
        </w:rPr>
        <w:t>;</w:t>
      </w:r>
    </w:p>
    <w:p w14:paraId="2593FAFC" w14:textId="407724E9" w:rsidR="000E479E" w:rsidRPr="00482BCA" w:rsidRDefault="000E479E" w:rsidP="00482BCA">
      <w:pPr>
        <w:spacing w:after="240" w:line="320" w:lineRule="atLeast"/>
        <w:ind w:left="1134"/>
        <w:rPr>
          <w:rFonts w:ascii="Tahoma" w:hAnsi="Tahoma" w:cs="Tahoma"/>
          <w:b/>
          <w:i/>
          <w:sz w:val="22"/>
          <w:szCs w:val="22"/>
        </w:rPr>
      </w:pPr>
      <w:r>
        <w:rPr>
          <w:rFonts w:ascii="Tahoma" w:hAnsi="Tahoma" w:cs="Tahoma"/>
          <w:i/>
          <w:sz w:val="22"/>
          <w:szCs w:val="22"/>
        </w:rPr>
        <w:lastRenderedPageBreak/>
        <w:t>(...)”</w:t>
      </w: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As Partes concordam e convencionam que a celebração deste Aditamento poderá ser feita por meio eletrônico, sendo considera</w:t>
      </w:r>
      <w:r w:rsidR="00C06754" w:rsidRPr="00482BCA">
        <w:rPr>
          <w:rFonts w:ascii="Tahoma" w:hAnsi="Tahoma" w:cs="Tahoma"/>
          <w:b w:val="0"/>
          <w:sz w:val="22"/>
          <w:szCs w:val="22"/>
        </w:rPr>
        <w:t xml:space="preserve">das válidas apenas as assinaturas eletrônicas realizadas por meio de certificado digital, validado conforme a Infraestrutura de Chaves </w:t>
      </w:r>
      <w:r w:rsidR="00C06754" w:rsidRPr="00482BCA">
        <w:rPr>
          <w:rFonts w:ascii="Tahoma" w:hAnsi="Tahoma" w:cs="Tahoma"/>
          <w:b w:val="0"/>
          <w:sz w:val="22"/>
          <w:szCs w:val="22"/>
        </w:rPr>
        <w:lastRenderedPageBreak/>
        <w:t>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3B3C28B7" w:rsidR="001D0677" w:rsidRPr="008D5FF3"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4" w:name="_Hlk30179452"/>
      <w:r w:rsidRPr="008D5FF3">
        <w:rPr>
          <w:rFonts w:ascii="Tahoma" w:hAnsi="Tahoma" w:cs="Tahoma"/>
          <w:sz w:val="22"/>
          <w:szCs w:val="22"/>
        </w:rPr>
        <w:t>CLÁUSULA QUINTA –</w:t>
      </w:r>
      <w:r w:rsidR="00403305">
        <w:rPr>
          <w:rFonts w:ascii="Tahoma" w:hAnsi="Tahoma" w:cs="Tahoma"/>
          <w:sz w:val="22"/>
          <w:szCs w:val="22"/>
        </w:rPr>
        <w:t xml:space="preserve"> </w:t>
      </w:r>
      <w:r w:rsidR="006E11FC" w:rsidRPr="008D5FF3">
        <w:rPr>
          <w:rFonts w:ascii="Tahoma" w:hAnsi="Tahoma" w:cs="Tahoma"/>
          <w:sz w:val="22"/>
          <w:szCs w:val="22"/>
        </w:rPr>
        <w:t>DO FORO</w:t>
      </w:r>
    </w:p>
    <w:bookmarkEnd w:id="4"/>
    <w:p w14:paraId="14EA21C7" w14:textId="155E0B31" w:rsidR="007B0C41" w:rsidRPr="008D5FF3" w:rsidRDefault="0048469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3122F1">
        <w:rPr>
          <w:rFonts w:ascii="Tahoma" w:hAnsi="Tahoma" w:cs="Tahoma"/>
          <w:b w:val="0"/>
          <w:bCs/>
          <w:sz w:val="22"/>
          <w:szCs w:val="22"/>
        </w:rPr>
        <w:t>Est</w:t>
      </w:r>
      <w:r w:rsidR="006E11FC" w:rsidRPr="003122F1">
        <w:rPr>
          <w:rFonts w:ascii="Tahoma" w:hAnsi="Tahoma" w:cs="Tahoma"/>
          <w:b w:val="0"/>
          <w:bCs/>
          <w:sz w:val="22"/>
          <w:szCs w:val="22"/>
        </w:rPr>
        <w:t>e Aditamento</w:t>
      </w:r>
      <w:r w:rsidRPr="003122F1">
        <w:rPr>
          <w:rFonts w:ascii="Tahoma" w:hAnsi="Tahoma" w:cs="Tahoma"/>
          <w:b w:val="0"/>
          <w:bCs/>
          <w:sz w:val="22"/>
          <w:szCs w:val="22"/>
        </w:rPr>
        <w:t xml:space="preserve"> </w:t>
      </w:r>
      <w:r w:rsidR="00997420" w:rsidRPr="003122F1">
        <w:rPr>
          <w:rFonts w:ascii="Tahoma" w:hAnsi="Tahoma" w:cs="Tahoma"/>
          <w:b w:val="0"/>
          <w:bCs/>
          <w:sz w:val="22"/>
          <w:szCs w:val="22"/>
        </w:rPr>
        <w:t>será</w:t>
      </w:r>
      <w:r w:rsidRPr="003122F1">
        <w:rPr>
          <w:rFonts w:ascii="Tahoma" w:hAnsi="Tahoma" w:cs="Tahoma"/>
          <w:b w:val="0"/>
          <w:bCs/>
          <w:sz w:val="22"/>
          <w:szCs w:val="22"/>
        </w:rPr>
        <w:t xml:space="preserve"> regid</w:t>
      </w:r>
      <w:r w:rsidR="006E11FC" w:rsidRPr="003122F1">
        <w:rPr>
          <w:rFonts w:ascii="Tahoma" w:hAnsi="Tahoma" w:cs="Tahoma"/>
          <w:b w:val="0"/>
          <w:bCs/>
          <w:sz w:val="22"/>
          <w:szCs w:val="22"/>
        </w:rPr>
        <w:t>o</w:t>
      </w:r>
      <w:r w:rsidRPr="003122F1">
        <w:rPr>
          <w:rFonts w:ascii="Tahoma" w:hAnsi="Tahoma" w:cs="Tahoma"/>
          <w:b w:val="0"/>
          <w:bCs/>
          <w:sz w:val="22"/>
          <w:szCs w:val="22"/>
        </w:rPr>
        <w:t xml:space="preserve"> pelas </w:t>
      </w:r>
      <w:r w:rsidR="00240EEB" w:rsidRPr="003122F1">
        <w:rPr>
          <w:rFonts w:ascii="Tahoma" w:hAnsi="Tahoma" w:cs="Tahoma"/>
          <w:b w:val="0"/>
          <w:bCs/>
          <w:sz w:val="22"/>
          <w:szCs w:val="22"/>
        </w:rPr>
        <w:t>l</w:t>
      </w:r>
      <w:r w:rsidRPr="003122F1">
        <w:rPr>
          <w:rFonts w:ascii="Tahoma" w:hAnsi="Tahoma" w:cs="Tahoma"/>
          <w:b w:val="0"/>
          <w:bCs/>
          <w:sz w:val="22"/>
          <w:szCs w:val="22"/>
        </w:rPr>
        <w:t>eis da República Federativa do Brasil.</w:t>
      </w:r>
      <w:r w:rsidR="00997420" w:rsidRPr="003122F1">
        <w:rPr>
          <w:rFonts w:ascii="Tahoma" w:hAnsi="Tahoma" w:cs="Tahoma"/>
          <w:b w:val="0"/>
          <w:bCs/>
          <w:sz w:val="22"/>
          <w:szCs w:val="22"/>
        </w:rPr>
        <w:t xml:space="preserve"> Fica eleito</w:t>
      </w:r>
      <w:r w:rsidR="00997420" w:rsidRPr="00482BCA">
        <w:rPr>
          <w:rFonts w:ascii="Tahoma" w:hAnsi="Tahoma" w:cs="Tahoma"/>
          <w:sz w:val="22"/>
          <w:szCs w:val="22"/>
        </w:rPr>
        <w:t xml:space="preserve">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E637210"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w:t>
      </w:r>
      <w:r w:rsidR="00C841E2">
        <w:rPr>
          <w:rFonts w:ascii="Tahoma" w:hAnsi="Tahoma" w:cs="Tahoma"/>
          <w:sz w:val="22"/>
          <w:szCs w:val="22"/>
        </w:rPr>
        <w:t>4.7</w:t>
      </w:r>
      <w:r w:rsidR="00997420" w:rsidRPr="00482BCA">
        <w:rPr>
          <w:rFonts w:ascii="Tahoma" w:hAnsi="Tahoma" w:cs="Tahoma"/>
          <w:sz w:val="22"/>
          <w:szCs w:val="22"/>
        </w:rPr>
        <w:t xml:space="preserve"> d</w:t>
      </w:r>
      <w:r w:rsidR="003B0090">
        <w:rPr>
          <w:rFonts w:ascii="Tahoma" w:hAnsi="Tahoma" w:cs="Tahoma"/>
          <w:sz w:val="22"/>
          <w:szCs w:val="22"/>
        </w:rPr>
        <w:t>este Aditamento</w:t>
      </w:r>
      <w:r w:rsidRPr="008D5FF3">
        <w:rPr>
          <w:rFonts w:ascii="Tahoma" w:hAnsi="Tahoma" w:cs="Tahoma"/>
          <w:sz w:val="22"/>
          <w:szCs w:val="22"/>
        </w:rPr>
        <w:t>, em conjunto com as 2 (duas) testemunhas abaixo assinadas.</w:t>
      </w:r>
    </w:p>
    <w:p w14:paraId="26B51EAB" w14:textId="3BBBD7D9"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ins w:id="5" w:author="OLIVEIRA Fabricio (ENGIE BRASIL ENERGIA S.A.)" w:date="2020-11-22T19:18:00Z">
        <w:r w:rsidR="00ED1B6A">
          <w:rPr>
            <w:rFonts w:ascii="Tahoma" w:hAnsi="Tahoma" w:cs="Tahoma"/>
            <w:sz w:val="22"/>
            <w:szCs w:val="22"/>
          </w:rPr>
          <w:t>23</w:t>
        </w:r>
      </w:ins>
      <w:r w:rsidR="006E11FC" w:rsidRPr="008D5FF3">
        <w:rPr>
          <w:rFonts w:ascii="Tahoma" w:hAnsi="Tahoma" w:cs="Tahoma"/>
          <w:sz w:val="22"/>
          <w:szCs w:val="22"/>
        </w:rPr>
        <w:t xml:space="preserve"> de </w:t>
      </w:r>
      <w:ins w:id="6" w:author="OLIVEIRA Fabricio (ENGIE BRASIL ENERGIA S.A.)" w:date="2020-11-22T19:18:00Z">
        <w:r w:rsidR="00ED1B6A">
          <w:rPr>
            <w:rFonts w:ascii="Tahoma" w:hAnsi="Tahoma" w:cs="Tahoma"/>
            <w:sz w:val="22"/>
            <w:szCs w:val="22"/>
          </w:rPr>
          <w:t>novembro</w:t>
        </w:r>
      </w:ins>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747BEA90" w14:textId="6DA3B148" w:rsidR="006E11FC" w:rsidRPr="008D5FF3" w:rsidRDefault="006E11FC" w:rsidP="003122F1">
      <w:pPr>
        <w:spacing w:after="240" w:line="320" w:lineRule="atLeast"/>
        <w:jc w:val="center"/>
        <w:rPr>
          <w:rFonts w:ascii="Tahoma" w:hAnsi="Tahoma" w:cs="Tahoma"/>
          <w:sz w:val="22"/>
          <w:szCs w:val="22"/>
        </w:rPr>
      </w:pPr>
      <w:r w:rsidRPr="008D5FF3">
        <w:rPr>
          <w:rFonts w:ascii="Tahoma" w:hAnsi="Tahoma" w:cs="Tahoma"/>
          <w:i/>
          <w:sz w:val="22"/>
          <w:szCs w:val="22"/>
        </w:rPr>
        <w:t>(restante da página deixado intencionalmente em branco)</w:t>
      </w: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3C37D9F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1ª (Primeira)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 com Esforços Restritos,</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18E5CC66" w:rsidR="00F02FCF"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42DF1FF3" w14:textId="77777777" w:rsidR="007601B8" w:rsidRDefault="007601B8" w:rsidP="00482BCA">
      <w:pPr>
        <w:spacing w:after="240" w:line="320" w:lineRule="atLeast"/>
        <w:jc w:val="center"/>
        <w:rPr>
          <w:rFonts w:ascii="Tahoma" w:hAnsi="Tahoma" w:cs="Tahoma"/>
          <w:b/>
          <w:bCs/>
          <w:sz w:val="22"/>
          <w:szCs w:val="22"/>
        </w:rPr>
      </w:pPr>
    </w:p>
    <w:p w14:paraId="33CC8D28" w14:textId="77777777" w:rsidR="00ED1B6A" w:rsidRPr="008D5FF3" w:rsidRDefault="00ED1B6A" w:rsidP="00482BCA">
      <w:pPr>
        <w:spacing w:after="240" w:line="320" w:lineRule="atLeast"/>
        <w:jc w:val="center"/>
        <w:rPr>
          <w:rFonts w:ascii="Tahoma" w:hAnsi="Tahoma" w:cs="Tahoma"/>
          <w:b/>
          <w:bCs/>
          <w:sz w:val="22"/>
          <w:szCs w:val="22"/>
        </w:rPr>
      </w:pP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7601B8">
      <w:pPr>
        <w:spacing w:after="0"/>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3A62FF41" w14:textId="77777777" w:rsidR="00D37A87" w:rsidRPr="00D37A87" w:rsidRDefault="00D37A87" w:rsidP="007601B8">
            <w:pPr>
              <w:widowControl w:val="0"/>
              <w:suppressAutoHyphens/>
              <w:spacing w:after="0"/>
              <w:jc w:val="left"/>
              <w:rPr>
                <w:ins w:id="7" w:author="OLIVEIRA Fabricio (ENGIE BRASIL ENERGIA S.A.)" w:date="2020-11-22T19:18:00Z"/>
                <w:rFonts w:ascii="Tahoma" w:hAnsi="Tahoma" w:cs="Tahoma"/>
                <w:sz w:val="22"/>
                <w:szCs w:val="22"/>
              </w:rPr>
            </w:pPr>
            <w:ins w:id="8" w:author="OLIVEIRA Fabricio (ENGIE BRASIL ENERGIA S.A.)" w:date="2020-11-22T19:18:00Z">
              <w:r w:rsidRPr="00D37A87">
                <w:rPr>
                  <w:rFonts w:ascii="Tahoma" w:hAnsi="Tahoma" w:cs="Tahoma"/>
                  <w:sz w:val="22"/>
                  <w:szCs w:val="22"/>
                </w:rPr>
                <w:t>Nome: Sérgio Roberto Maes</w:t>
              </w:r>
            </w:ins>
          </w:p>
          <w:p w14:paraId="02E72A32" w14:textId="77777777" w:rsidR="00D37A87" w:rsidRPr="00D37A87" w:rsidRDefault="00D37A87" w:rsidP="007601B8">
            <w:pPr>
              <w:widowControl w:val="0"/>
              <w:suppressAutoHyphens/>
              <w:spacing w:after="0"/>
              <w:jc w:val="left"/>
              <w:rPr>
                <w:ins w:id="9" w:author="OLIVEIRA Fabricio (ENGIE BRASIL ENERGIA S.A.)" w:date="2020-11-22T19:18:00Z"/>
                <w:rFonts w:ascii="Tahoma" w:hAnsi="Tahoma" w:cs="Tahoma"/>
                <w:sz w:val="22"/>
                <w:szCs w:val="22"/>
              </w:rPr>
            </w:pPr>
            <w:ins w:id="10" w:author="OLIVEIRA Fabricio (ENGIE BRASIL ENERGIA S.A.)" w:date="2020-11-22T19:18:00Z">
              <w:r w:rsidRPr="00D37A87">
                <w:rPr>
                  <w:rFonts w:ascii="Tahoma" w:hAnsi="Tahoma" w:cs="Tahoma"/>
                  <w:sz w:val="22"/>
                  <w:szCs w:val="22"/>
                </w:rPr>
                <w:t>Cargo: Diretor Técnico-Operacional</w:t>
              </w:r>
            </w:ins>
          </w:p>
          <w:p w14:paraId="4F88CE34" w14:textId="0345FFAB" w:rsidR="00F02FCF" w:rsidRPr="008D5FF3" w:rsidRDefault="00D37A87" w:rsidP="007601B8">
            <w:pPr>
              <w:widowControl w:val="0"/>
              <w:suppressAutoHyphens/>
              <w:spacing w:after="0"/>
              <w:jc w:val="left"/>
              <w:rPr>
                <w:rFonts w:ascii="Tahoma" w:hAnsi="Tahoma" w:cs="Tahoma"/>
                <w:sz w:val="22"/>
                <w:szCs w:val="22"/>
              </w:rPr>
            </w:pPr>
            <w:ins w:id="11" w:author="OLIVEIRA Fabricio (ENGIE BRASIL ENERGIA S.A.)" w:date="2020-11-22T19:18:00Z">
              <w:r w:rsidRPr="00D37A87">
                <w:rPr>
                  <w:rFonts w:ascii="Tahoma" w:hAnsi="Tahoma" w:cs="Tahoma"/>
                  <w:sz w:val="22"/>
                  <w:szCs w:val="22"/>
                </w:rPr>
                <w:t>CPF: 399.277.509-78</w:t>
              </w:r>
            </w:ins>
            <w:r w:rsidR="00F02FCF" w:rsidRPr="008D5FF3">
              <w:rPr>
                <w:rFonts w:ascii="Tahoma" w:hAnsi="Tahoma" w:cs="Tahoma"/>
                <w:sz w:val="22"/>
                <w:szCs w:val="22"/>
              </w:rPr>
              <w:t xml:space="preserve"> </w:t>
            </w:r>
          </w:p>
        </w:tc>
        <w:tc>
          <w:tcPr>
            <w:tcW w:w="500" w:type="dxa"/>
          </w:tcPr>
          <w:p w14:paraId="4E5B7017" w14:textId="77777777" w:rsidR="00F02FCF" w:rsidRPr="008D5FF3" w:rsidRDefault="00F02FCF" w:rsidP="007601B8">
            <w:pPr>
              <w:widowControl w:val="0"/>
              <w:tabs>
                <w:tab w:val="left" w:pos="1134"/>
              </w:tabs>
              <w:suppressAutoHyphens/>
              <w:spacing w:after="0"/>
              <w:rPr>
                <w:rFonts w:ascii="Tahoma" w:hAnsi="Tahoma" w:cs="Tahoma"/>
                <w:sz w:val="22"/>
                <w:szCs w:val="22"/>
              </w:rPr>
            </w:pPr>
          </w:p>
        </w:tc>
        <w:tc>
          <w:tcPr>
            <w:tcW w:w="4111" w:type="dxa"/>
            <w:tcBorders>
              <w:top w:val="single" w:sz="6" w:space="0" w:color="auto"/>
            </w:tcBorders>
          </w:tcPr>
          <w:p w14:paraId="3CD6AFD6" w14:textId="77777777" w:rsidR="007601B8" w:rsidRPr="007601B8" w:rsidRDefault="007601B8" w:rsidP="007601B8">
            <w:pPr>
              <w:widowControl w:val="0"/>
              <w:tabs>
                <w:tab w:val="left" w:pos="1134"/>
              </w:tabs>
              <w:suppressAutoHyphens/>
              <w:spacing w:after="0"/>
              <w:jc w:val="left"/>
              <w:rPr>
                <w:ins w:id="12" w:author="OLIVEIRA Fabricio (ENGIE BRASIL ENERGIA S.A.)" w:date="2020-11-22T19:19:00Z"/>
                <w:rFonts w:ascii="Tahoma" w:hAnsi="Tahoma" w:cs="Tahoma"/>
                <w:sz w:val="22"/>
                <w:szCs w:val="22"/>
              </w:rPr>
            </w:pPr>
            <w:ins w:id="13" w:author="OLIVEIRA Fabricio (ENGIE BRASIL ENERGIA S.A.)" w:date="2020-11-22T19:19:00Z">
              <w:r w:rsidRPr="007601B8">
                <w:rPr>
                  <w:rFonts w:ascii="Tahoma" w:hAnsi="Tahoma" w:cs="Tahoma"/>
                  <w:sz w:val="22"/>
                  <w:szCs w:val="22"/>
                </w:rPr>
                <w:t>Nome: Patrícia Fabiana Barbosa Pinto</w:t>
              </w:r>
            </w:ins>
          </w:p>
          <w:p w14:paraId="132480AF" w14:textId="77777777" w:rsidR="007601B8" w:rsidRPr="007601B8" w:rsidRDefault="007601B8" w:rsidP="007601B8">
            <w:pPr>
              <w:widowControl w:val="0"/>
              <w:tabs>
                <w:tab w:val="left" w:pos="1134"/>
              </w:tabs>
              <w:suppressAutoHyphens/>
              <w:spacing w:after="0"/>
              <w:jc w:val="left"/>
              <w:rPr>
                <w:ins w:id="14" w:author="OLIVEIRA Fabricio (ENGIE BRASIL ENERGIA S.A.)" w:date="2020-11-22T19:19:00Z"/>
                <w:rFonts w:ascii="Tahoma" w:hAnsi="Tahoma" w:cs="Tahoma"/>
                <w:sz w:val="22"/>
                <w:szCs w:val="22"/>
              </w:rPr>
            </w:pPr>
            <w:ins w:id="15" w:author="OLIVEIRA Fabricio (ENGIE BRASIL ENERGIA S.A.)" w:date="2020-11-22T19:19:00Z">
              <w:r w:rsidRPr="007601B8">
                <w:rPr>
                  <w:rFonts w:ascii="Tahoma" w:hAnsi="Tahoma" w:cs="Tahoma"/>
                  <w:sz w:val="22"/>
                  <w:szCs w:val="22"/>
                </w:rPr>
                <w:t>Farrapeira Müller</w:t>
              </w:r>
            </w:ins>
          </w:p>
          <w:p w14:paraId="7A69682D" w14:textId="77777777" w:rsidR="007601B8" w:rsidRPr="007601B8" w:rsidRDefault="007601B8" w:rsidP="007601B8">
            <w:pPr>
              <w:widowControl w:val="0"/>
              <w:tabs>
                <w:tab w:val="left" w:pos="1134"/>
              </w:tabs>
              <w:suppressAutoHyphens/>
              <w:spacing w:after="0"/>
              <w:jc w:val="left"/>
              <w:rPr>
                <w:ins w:id="16" w:author="OLIVEIRA Fabricio (ENGIE BRASIL ENERGIA S.A.)" w:date="2020-11-22T19:19:00Z"/>
                <w:rFonts w:ascii="Tahoma" w:hAnsi="Tahoma" w:cs="Tahoma"/>
                <w:sz w:val="22"/>
                <w:szCs w:val="22"/>
              </w:rPr>
            </w:pPr>
            <w:ins w:id="17" w:author="OLIVEIRA Fabricio (ENGIE BRASIL ENERGIA S.A.)" w:date="2020-11-22T19:19:00Z">
              <w:r w:rsidRPr="007601B8">
                <w:rPr>
                  <w:rFonts w:ascii="Tahoma" w:hAnsi="Tahoma" w:cs="Tahoma"/>
                  <w:sz w:val="22"/>
                  <w:szCs w:val="22"/>
                </w:rPr>
                <w:t>Cargo: Diretora Administrativa, Financeira e</w:t>
              </w:r>
            </w:ins>
          </w:p>
          <w:p w14:paraId="38CE85CD" w14:textId="77777777" w:rsidR="007601B8" w:rsidRPr="007601B8" w:rsidRDefault="007601B8" w:rsidP="007601B8">
            <w:pPr>
              <w:widowControl w:val="0"/>
              <w:tabs>
                <w:tab w:val="left" w:pos="1134"/>
              </w:tabs>
              <w:suppressAutoHyphens/>
              <w:spacing w:after="0"/>
              <w:jc w:val="left"/>
              <w:rPr>
                <w:ins w:id="18" w:author="OLIVEIRA Fabricio (ENGIE BRASIL ENERGIA S.A.)" w:date="2020-11-22T19:19:00Z"/>
                <w:rFonts w:ascii="Tahoma" w:hAnsi="Tahoma" w:cs="Tahoma"/>
                <w:sz w:val="22"/>
                <w:szCs w:val="22"/>
              </w:rPr>
            </w:pPr>
            <w:ins w:id="19" w:author="OLIVEIRA Fabricio (ENGIE BRASIL ENERGIA S.A.)" w:date="2020-11-22T19:19:00Z">
              <w:r w:rsidRPr="007601B8">
                <w:rPr>
                  <w:rFonts w:ascii="Tahoma" w:hAnsi="Tahoma" w:cs="Tahoma"/>
                  <w:sz w:val="22"/>
                  <w:szCs w:val="22"/>
                </w:rPr>
                <w:t>de Relações com Investidores</w:t>
              </w:r>
            </w:ins>
          </w:p>
          <w:p w14:paraId="24E7FBF9" w14:textId="113480F7" w:rsidR="00F02FCF" w:rsidRPr="008D5FF3" w:rsidRDefault="007601B8" w:rsidP="007601B8">
            <w:pPr>
              <w:widowControl w:val="0"/>
              <w:tabs>
                <w:tab w:val="left" w:pos="1134"/>
              </w:tabs>
              <w:suppressAutoHyphens/>
              <w:spacing w:after="0"/>
              <w:jc w:val="left"/>
              <w:rPr>
                <w:rFonts w:ascii="Tahoma" w:hAnsi="Tahoma" w:cs="Tahoma"/>
                <w:sz w:val="22"/>
                <w:szCs w:val="22"/>
              </w:rPr>
            </w:pPr>
            <w:ins w:id="20" w:author="OLIVEIRA Fabricio (ENGIE BRASIL ENERGIA S.A.)" w:date="2020-11-22T19:19:00Z">
              <w:r w:rsidRPr="007601B8">
                <w:rPr>
                  <w:rFonts w:ascii="Tahoma" w:hAnsi="Tahoma" w:cs="Tahoma"/>
                  <w:sz w:val="22"/>
                  <w:szCs w:val="22"/>
                </w:rPr>
                <w:t>CPF: 022.594.699-81</w:t>
              </w:r>
            </w:ins>
            <w:r w:rsidR="00F02FCF" w:rsidRPr="008D5FF3">
              <w:rPr>
                <w:rFonts w:ascii="Tahoma" w:hAnsi="Tahoma" w:cs="Tahoma"/>
                <w:sz w:val="22"/>
                <w:szCs w:val="22"/>
              </w:rPr>
              <w:t xml:space="preserve">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1E86F90A"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da 1ª</w:t>
      </w:r>
      <w:r w:rsidR="0081316A">
        <w:rPr>
          <w:rFonts w:ascii="Tahoma" w:hAnsi="Tahoma" w:cs="Tahoma"/>
          <w:i/>
          <w:sz w:val="22"/>
          <w:szCs w:val="22"/>
        </w:rPr>
        <w:t xml:space="preserve"> </w:t>
      </w:r>
      <w:r w:rsidRPr="008D5FF3">
        <w:rPr>
          <w:rFonts w:ascii="Tahoma" w:hAnsi="Tahoma" w:cs="Tahoma"/>
          <w:i/>
          <w:sz w:val="22"/>
          <w:szCs w:val="22"/>
        </w:rPr>
        <w:t>(Primeira)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5F480B0F"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2644381B" w:rsidR="00F02FCF"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2293C60" w14:textId="22FDFD2D" w:rsidR="007601B8" w:rsidRDefault="007601B8" w:rsidP="00482BCA">
      <w:pPr>
        <w:spacing w:after="240" w:line="320" w:lineRule="atLeast"/>
        <w:jc w:val="center"/>
        <w:rPr>
          <w:rFonts w:ascii="Tahoma" w:hAnsi="Tahoma" w:cs="Tahoma"/>
          <w:b/>
          <w:bCs/>
          <w:sz w:val="22"/>
          <w:szCs w:val="22"/>
        </w:rPr>
      </w:pPr>
    </w:p>
    <w:p w14:paraId="04E67A13" w14:textId="77777777" w:rsidR="007601B8" w:rsidRPr="008D5FF3" w:rsidRDefault="007601B8" w:rsidP="00482BCA">
      <w:pPr>
        <w:spacing w:after="240" w:line="320" w:lineRule="atLeast"/>
        <w:jc w:val="center"/>
        <w:rPr>
          <w:rFonts w:ascii="Tahoma" w:hAnsi="Tahoma" w:cs="Tahoma"/>
          <w:b/>
          <w:bCs/>
          <w:sz w:val="22"/>
          <w:szCs w:val="22"/>
        </w:rPr>
      </w:pP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7377D2">
      <w:pPr>
        <w:spacing w:after="0"/>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491D7B" w14:textId="77777777" w:rsidR="007377D2" w:rsidRPr="007377D2" w:rsidRDefault="007377D2" w:rsidP="007377D2">
            <w:pPr>
              <w:widowControl w:val="0"/>
              <w:suppressAutoHyphens/>
              <w:spacing w:after="0"/>
              <w:jc w:val="left"/>
              <w:rPr>
                <w:ins w:id="21" w:author="OLIVEIRA Fabricio (ENGIE BRASIL ENERGIA S.A.)" w:date="2020-11-22T19:20:00Z"/>
                <w:rFonts w:ascii="Tahoma" w:hAnsi="Tahoma" w:cs="Tahoma"/>
                <w:sz w:val="22"/>
                <w:szCs w:val="22"/>
              </w:rPr>
            </w:pPr>
            <w:ins w:id="22" w:author="OLIVEIRA Fabricio (ENGIE BRASIL ENERGIA S.A.)" w:date="2020-11-22T19:20:00Z">
              <w:r w:rsidRPr="007377D2">
                <w:rPr>
                  <w:rFonts w:ascii="Tahoma" w:hAnsi="Tahoma" w:cs="Tahoma"/>
                  <w:sz w:val="22"/>
                  <w:szCs w:val="22"/>
                </w:rPr>
                <w:t xml:space="preserve">Nome: Eduardo Antonio </w:t>
              </w:r>
              <w:proofErr w:type="spellStart"/>
              <w:r w:rsidRPr="007377D2">
                <w:rPr>
                  <w:rFonts w:ascii="Tahoma" w:hAnsi="Tahoma" w:cs="Tahoma"/>
                  <w:sz w:val="22"/>
                  <w:szCs w:val="22"/>
                </w:rPr>
                <w:t>Gori</w:t>
              </w:r>
              <w:proofErr w:type="spellEnd"/>
              <w:r w:rsidRPr="007377D2">
                <w:rPr>
                  <w:rFonts w:ascii="Tahoma" w:hAnsi="Tahoma" w:cs="Tahoma"/>
                  <w:sz w:val="22"/>
                  <w:szCs w:val="22"/>
                </w:rPr>
                <w:t xml:space="preserve"> Sattamini</w:t>
              </w:r>
            </w:ins>
          </w:p>
          <w:p w14:paraId="19FCAB16" w14:textId="77777777" w:rsidR="007377D2" w:rsidRPr="007377D2" w:rsidRDefault="007377D2" w:rsidP="007377D2">
            <w:pPr>
              <w:widowControl w:val="0"/>
              <w:suppressAutoHyphens/>
              <w:spacing w:after="0"/>
              <w:jc w:val="left"/>
              <w:rPr>
                <w:ins w:id="23" w:author="OLIVEIRA Fabricio (ENGIE BRASIL ENERGIA S.A.)" w:date="2020-11-22T19:20:00Z"/>
                <w:rFonts w:ascii="Tahoma" w:hAnsi="Tahoma" w:cs="Tahoma"/>
                <w:sz w:val="22"/>
                <w:szCs w:val="22"/>
              </w:rPr>
            </w:pPr>
            <w:ins w:id="24" w:author="OLIVEIRA Fabricio (ENGIE BRASIL ENERGIA S.A.)" w:date="2020-11-22T19:20:00Z">
              <w:r w:rsidRPr="007377D2">
                <w:rPr>
                  <w:rFonts w:ascii="Tahoma" w:hAnsi="Tahoma" w:cs="Tahoma"/>
                  <w:sz w:val="22"/>
                  <w:szCs w:val="22"/>
                </w:rPr>
                <w:t>Cargo: Diretor Presidente e de Relações</w:t>
              </w:r>
            </w:ins>
          </w:p>
          <w:p w14:paraId="0D3C35B3" w14:textId="77777777" w:rsidR="007377D2" w:rsidRPr="007377D2" w:rsidRDefault="007377D2" w:rsidP="007377D2">
            <w:pPr>
              <w:widowControl w:val="0"/>
              <w:suppressAutoHyphens/>
              <w:spacing w:after="0"/>
              <w:jc w:val="left"/>
              <w:rPr>
                <w:ins w:id="25" w:author="OLIVEIRA Fabricio (ENGIE BRASIL ENERGIA S.A.)" w:date="2020-11-22T19:20:00Z"/>
                <w:rFonts w:ascii="Tahoma" w:hAnsi="Tahoma" w:cs="Tahoma"/>
                <w:sz w:val="22"/>
                <w:szCs w:val="22"/>
              </w:rPr>
            </w:pPr>
            <w:ins w:id="26" w:author="OLIVEIRA Fabricio (ENGIE BRASIL ENERGIA S.A.)" w:date="2020-11-22T19:20:00Z">
              <w:r w:rsidRPr="007377D2">
                <w:rPr>
                  <w:rFonts w:ascii="Tahoma" w:hAnsi="Tahoma" w:cs="Tahoma"/>
                  <w:sz w:val="22"/>
                  <w:szCs w:val="22"/>
                </w:rPr>
                <w:t>com Investidores</w:t>
              </w:r>
            </w:ins>
          </w:p>
          <w:p w14:paraId="12A54EA7" w14:textId="5EB8FCBD" w:rsidR="00F02FCF" w:rsidRPr="008D5FF3" w:rsidRDefault="007377D2" w:rsidP="007377D2">
            <w:pPr>
              <w:widowControl w:val="0"/>
              <w:suppressAutoHyphens/>
              <w:spacing w:after="0"/>
              <w:jc w:val="left"/>
              <w:rPr>
                <w:rFonts w:ascii="Tahoma" w:hAnsi="Tahoma" w:cs="Tahoma"/>
                <w:sz w:val="22"/>
                <w:szCs w:val="22"/>
              </w:rPr>
            </w:pPr>
            <w:ins w:id="27" w:author="OLIVEIRA Fabricio (ENGIE BRASIL ENERGIA S.A.)" w:date="2020-11-22T19:20:00Z">
              <w:r w:rsidRPr="007377D2">
                <w:rPr>
                  <w:rFonts w:ascii="Tahoma" w:hAnsi="Tahoma" w:cs="Tahoma"/>
                  <w:sz w:val="22"/>
                  <w:szCs w:val="22"/>
                </w:rPr>
                <w:t>CPF: 821.111.117-91</w:t>
              </w:r>
            </w:ins>
          </w:p>
        </w:tc>
        <w:tc>
          <w:tcPr>
            <w:tcW w:w="500" w:type="dxa"/>
          </w:tcPr>
          <w:p w14:paraId="6AC712EA" w14:textId="77777777" w:rsidR="00F02FCF" w:rsidRPr="008D5FF3" w:rsidRDefault="00F02FCF" w:rsidP="007377D2">
            <w:pPr>
              <w:widowControl w:val="0"/>
              <w:tabs>
                <w:tab w:val="left" w:pos="1134"/>
              </w:tabs>
              <w:suppressAutoHyphens/>
              <w:spacing w:after="0"/>
              <w:rPr>
                <w:rFonts w:ascii="Tahoma" w:hAnsi="Tahoma" w:cs="Tahoma"/>
                <w:sz w:val="22"/>
                <w:szCs w:val="22"/>
              </w:rPr>
            </w:pPr>
          </w:p>
        </w:tc>
        <w:tc>
          <w:tcPr>
            <w:tcW w:w="4111" w:type="dxa"/>
            <w:tcBorders>
              <w:top w:val="single" w:sz="6" w:space="0" w:color="auto"/>
            </w:tcBorders>
          </w:tcPr>
          <w:p w14:paraId="11449B0D" w14:textId="77777777" w:rsidR="007377D2" w:rsidRPr="007377D2" w:rsidRDefault="007377D2" w:rsidP="007377D2">
            <w:pPr>
              <w:widowControl w:val="0"/>
              <w:tabs>
                <w:tab w:val="left" w:pos="1134"/>
              </w:tabs>
              <w:suppressAutoHyphens/>
              <w:spacing w:after="0"/>
              <w:jc w:val="left"/>
              <w:rPr>
                <w:ins w:id="28" w:author="OLIVEIRA Fabricio (ENGIE BRASIL ENERGIA S.A.)" w:date="2020-11-22T19:20:00Z"/>
                <w:rFonts w:ascii="Tahoma" w:hAnsi="Tahoma" w:cs="Tahoma"/>
                <w:sz w:val="22"/>
                <w:szCs w:val="22"/>
              </w:rPr>
            </w:pPr>
            <w:ins w:id="29" w:author="OLIVEIRA Fabricio (ENGIE BRASIL ENERGIA S.A.)" w:date="2020-11-22T19:20:00Z">
              <w:r w:rsidRPr="007377D2">
                <w:rPr>
                  <w:rFonts w:ascii="Tahoma" w:hAnsi="Tahoma" w:cs="Tahoma"/>
                  <w:sz w:val="22"/>
                  <w:szCs w:val="22"/>
                </w:rPr>
                <w:t>Nome: Marcelo Cardoso Malta</w:t>
              </w:r>
            </w:ins>
          </w:p>
          <w:p w14:paraId="0FFCFC8B" w14:textId="77777777" w:rsidR="007377D2" w:rsidRPr="007377D2" w:rsidRDefault="007377D2" w:rsidP="007377D2">
            <w:pPr>
              <w:widowControl w:val="0"/>
              <w:tabs>
                <w:tab w:val="left" w:pos="1134"/>
              </w:tabs>
              <w:suppressAutoHyphens/>
              <w:spacing w:after="0"/>
              <w:jc w:val="left"/>
              <w:rPr>
                <w:ins w:id="30" w:author="OLIVEIRA Fabricio (ENGIE BRASIL ENERGIA S.A.)" w:date="2020-11-22T19:20:00Z"/>
                <w:rFonts w:ascii="Tahoma" w:hAnsi="Tahoma" w:cs="Tahoma"/>
                <w:sz w:val="22"/>
                <w:szCs w:val="22"/>
              </w:rPr>
            </w:pPr>
            <w:ins w:id="31" w:author="OLIVEIRA Fabricio (ENGIE BRASIL ENERGIA S.A.)" w:date="2020-11-22T19:20:00Z">
              <w:r w:rsidRPr="007377D2">
                <w:rPr>
                  <w:rFonts w:ascii="Tahoma" w:hAnsi="Tahoma" w:cs="Tahoma"/>
                  <w:sz w:val="22"/>
                  <w:szCs w:val="22"/>
                </w:rPr>
                <w:t>Cargo: Diretor Financeiro</w:t>
              </w:r>
            </w:ins>
          </w:p>
          <w:p w14:paraId="722D8853" w14:textId="0C1A0EDD" w:rsidR="00F02FCF" w:rsidRPr="008D5FF3" w:rsidRDefault="007377D2" w:rsidP="007377D2">
            <w:pPr>
              <w:widowControl w:val="0"/>
              <w:tabs>
                <w:tab w:val="left" w:pos="1134"/>
              </w:tabs>
              <w:suppressAutoHyphens/>
              <w:spacing w:after="0"/>
              <w:jc w:val="left"/>
              <w:rPr>
                <w:rFonts w:ascii="Tahoma" w:hAnsi="Tahoma" w:cs="Tahoma"/>
                <w:sz w:val="22"/>
                <w:szCs w:val="22"/>
              </w:rPr>
            </w:pPr>
            <w:ins w:id="32" w:author="OLIVEIRA Fabricio (ENGIE BRASIL ENERGIA S.A.)" w:date="2020-11-22T19:20:00Z">
              <w:r w:rsidRPr="007377D2">
                <w:rPr>
                  <w:rFonts w:ascii="Tahoma" w:hAnsi="Tahoma" w:cs="Tahoma"/>
                  <w:sz w:val="22"/>
                  <w:szCs w:val="22"/>
                </w:rPr>
                <w:t>CPF: 001.323.137-58</w:t>
              </w:r>
            </w:ins>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10BF48D8"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1E041292" w:rsidR="00F02FCF"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1D4923C4" w14:textId="19EDCD94" w:rsidR="00150CBD" w:rsidRDefault="00150CBD" w:rsidP="00482BCA">
      <w:pPr>
        <w:spacing w:after="240" w:line="320" w:lineRule="atLeast"/>
        <w:rPr>
          <w:rFonts w:ascii="Tahoma" w:hAnsi="Tahoma" w:cs="Tahoma"/>
          <w:b/>
          <w:bCs/>
          <w:sz w:val="22"/>
          <w:szCs w:val="22"/>
        </w:rPr>
      </w:pPr>
    </w:p>
    <w:p w14:paraId="52F46328" w14:textId="77777777" w:rsidR="00150CBD" w:rsidRPr="008D5FF3" w:rsidRDefault="00150CBD" w:rsidP="00482BCA">
      <w:pPr>
        <w:spacing w:after="240" w:line="320" w:lineRule="atLeast"/>
        <w:rPr>
          <w:rFonts w:ascii="Tahoma" w:hAnsi="Tahoma" w:cs="Tahoma"/>
          <w:b/>
          <w:bCs/>
          <w:sz w:val="22"/>
          <w:szCs w:val="22"/>
        </w:rPr>
      </w:pP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150CBD">
      <w:pPr>
        <w:spacing w:after="0"/>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03E2040B" w14:textId="77777777" w:rsidR="00150CBD" w:rsidRPr="00150CBD" w:rsidRDefault="00150CBD" w:rsidP="00150CBD">
            <w:pPr>
              <w:widowControl w:val="0"/>
              <w:tabs>
                <w:tab w:val="left" w:pos="1134"/>
              </w:tabs>
              <w:suppressAutoHyphens/>
              <w:spacing w:after="0"/>
              <w:jc w:val="left"/>
              <w:rPr>
                <w:ins w:id="33" w:author="OLIVEIRA Fabricio (ENGIE BRASIL ENERGIA S.A.)" w:date="2020-11-22T19:21:00Z"/>
                <w:rFonts w:ascii="Tahoma" w:hAnsi="Tahoma" w:cs="Tahoma"/>
                <w:sz w:val="22"/>
                <w:szCs w:val="22"/>
              </w:rPr>
            </w:pPr>
            <w:ins w:id="34" w:author="OLIVEIRA Fabricio (ENGIE BRASIL ENERGIA S.A.)" w:date="2020-11-22T19:21:00Z">
              <w:r w:rsidRPr="00150CBD">
                <w:rPr>
                  <w:rFonts w:ascii="Tahoma" w:hAnsi="Tahoma" w:cs="Tahoma"/>
                  <w:sz w:val="22"/>
                  <w:szCs w:val="22"/>
                </w:rPr>
                <w:t>Nome: Fabricio Schiller Oliveira</w:t>
              </w:r>
            </w:ins>
          </w:p>
          <w:p w14:paraId="200E28D9" w14:textId="025F531C" w:rsidR="00F02FCF" w:rsidRPr="008D5FF3" w:rsidRDefault="00150CBD" w:rsidP="00150CBD">
            <w:pPr>
              <w:widowControl w:val="0"/>
              <w:tabs>
                <w:tab w:val="left" w:pos="1134"/>
              </w:tabs>
              <w:suppressAutoHyphens/>
              <w:spacing w:after="0"/>
              <w:jc w:val="left"/>
              <w:rPr>
                <w:rFonts w:ascii="Tahoma" w:hAnsi="Tahoma" w:cs="Tahoma"/>
                <w:sz w:val="22"/>
                <w:szCs w:val="22"/>
              </w:rPr>
            </w:pPr>
            <w:ins w:id="35" w:author="OLIVEIRA Fabricio (ENGIE BRASIL ENERGIA S.A.)" w:date="2020-11-22T19:21:00Z">
              <w:r w:rsidRPr="00150CBD">
                <w:rPr>
                  <w:rFonts w:ascii="Tahoma" w:hAnsi="Tahoma" w:cs="Tahoma"/>
                  <w:sz w:val="22"/>
                  <w:szCs w:val="22"/>
                </w:rPr>
                <w:t>CPF: 065.334.989-08</w:t>
              </w:r>
            </w:ins>
          </w:p>
        </w:tc>
        <w:tc>
          <w:tcPr>
            <w:tcW w:w="500" w:type="dxa"/>
          </w:tcPr>
          <w:p w14:paraId="5A41D3CA" w14:textId="77777777" w:rsidR="00F02FCF" w:rsidRPr="008D5FF3" w:rsidRDefault="00F02FCF" w:rsidP="00150CBD">
            <w:pPr>
              <w:widowControl w:val="0"/>
              <w:tabs>
                <w:tab w:val="left" w:pos="1134"/>
              </w:tabs>
              <w:suppressAutoHyphens/>
              <w:spacing w:after="0"/>
              <w:rPr>
                <w:rFonts w:ascii="Tahoma" w:hAnsi="Tahoma" w:cs="Tahoma"/>
                <w:sz w:val="22"/>
                <w:szCs w:val="22"/>
              </w:rPr>
            </w:pPr>
          </w:p>
        </w:tc>
        <w:tc>
          <w:tcPr>
            <w:tcW w:w="4111" w:type="dxa"/>
            <w:tcBorders>
              <w:top w:val="single" w:sz="6" w:space="0" w:color="auto"/>
            </w:tcBorders>
          </w:tcPr>
          <w:p w14:paraId="6FF5E4D0" w14:textId="77777777" w:rsidR="00150CBD" w:rsidRPr="00150CBD" w:rsidRDefault="00150CBD" w:rsidP="00150CBD">
            <w:pPr>
              <w:widowControl w:val="0"/>
              <w:tabs>
                <w:tab w:val="left" w:pos="1134"/>
              </w:tabs>
              <w:suppressAutoHyphens/>
              <w:spacing w:after="0"/>
              <w:jc w:val="left"/>
              <w:rPr>
                <w:ins w:id="36" w:author="OLIVEIRA Fabricio (ENGIE BRASIL ENERGIA S.A.)" w:date="2020-11-22T19:21:00Z"/>
                <w:rFonts w:ascii="Tahoma" w:hAnsi="Tahoma" w:cs="Tahoma"/>
                <w:sz w:val="22"/>
                <w:szCs w:val="22"/>
              </w:rPr>
            </w:pPr>
            <w:ins w:id="37" w:author="OLIVEIRA Fabricio (ENGIE BRASIL ENERGIA S.A.)" w:date="2020-11-22T19:21:00Z">
              <w:r w:rsidRPr="00150CBD">
                <w:rPr>
                  <w:rFonts w:ascii="Tahoma" w:hAnsi="Tahoma" w:cs="Tahoma"/>
                  <w:sz w:val="22"/>
                  <w:szCs w:val="22"/>
                </w:rPr>
                <w:t>Nome: Osmar Osmarino Bento</w:t>
              </w:r>
            </w:ins>
          </w:p>
          <w:p w14:paraId="2A66C6BF" w14:textId="082EB195" w:rsidR="00F02FCF" w:rsidRPr="008D5FF3" w:rsidRDefault="00150CBD" w:rsidP="00150CBD">
            <w:pPr>
              <w:widowControl w:val="0"/>
              <w:tabs>
                <w:tab w:val="left" w:pos="1134"/>
              </w:tabs>
              <w:suppressAutoHyphens/>
              <w:spacing w:after="0"/>
              <w:jc w:val="left"/>
              <w:rPr>
                <w:rFonts w:ascii="Tahoma" w:hAnsi="Tahoma" w:cs="Tahoma"/>
                <w:sz w:val="22"/>
                <w:szCs w:val="22"/>
              </w:rPr>
            </w:pPr>
            <w:ins w:id="38" w:author="OLIVEIRA Fabricio (ENGIE BRASIL ENERGIA S.A.)" w:date="2020-11-22T19:21:00Z">
              <w:r w:rsidRPr="00150CBD">
                <w:rPr>
                  <w:rFonts w:ascii="Tahoma" w:hAnsi="Tahoma" w:cs="Tahoma"/>
                  <w:sz w:val="22"/>
                  <w:szCs w:val="22"/>
                </w:rPr>
                <w:t>CPF: 691.060.889-53</w:t>
              </w:r>
            </w:ins>
          </w:p>
        </w:tc>
      </w:tr>
    </w:tbl>
    <w:p w14:paraId="50F54F36" w14:textId="77777777" w:rsidR="00F02FCF" w:rsidRPr="008D5FF3" w:rsidRDefault="00F02FCF" w:rsidP="00150CBD">
      <w:pPr>
        <w:spacing w:after="0"/>
        <w:jc w:val="center"/>
        <w:rPr>
          <w:rFonts w:ascii="Tahoma" w:hAnsi="Tahoma" w:cs="Tahoma"/>
          <w:sz w:val="22"/>
          <w:szCs w:val="22"/>
        </w:rPr>
      </w:pPr>
    </w:p>
    <w:sectPr w:rsidR="00F02FCF" w:rsidRPr="008D5FF3" w:rsidSect="006E63E1">
      <w:headerReference w:type="default" r:id="rId12"/>
      <w:footerReference w:type="even" r:id="rId13"/>
      <w:footerReference w:type="default" r:id="rId14"/>
      <w:headerReference w:type="first" r:id="rId15"/>
      <w:footerReference w:type="first" r:id="rId16"/>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33430" w14:textId="77777777" w:rsidR="00854FDC" w:rsidRDefault="00854FDC">
      <w:r>
        <w:separator/>
      </w:r>
    </w:p>
  </w:endnote>
  <w:endnote w:type="continuationSeparator" w:id="0">
    <w:p w14:paraId="43799F7C" w14:textId="77777777" w:rsidR="00854FDC" w:rsidRDefault="0085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3A8A" w14:textId="0A6B57BE" w:rsidR="00C33103" w:rsidRPr="00381233" w:rsidRDefault="00ED520D" w:rsidP="00AB5579">
    <w:pPr>
      <w:pStyle w:val="Rodap"/>
      <w:framePr w:wrap="around" w:vAnchor="text" w:hAnchor="margin" w:xAlign="right" w:y="1"/>
      <w:rPr>
        <w:rStyle w:val="Nmerodepgina"/>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4384" behindDoc="0" locked="0" layoutInCell="0" allowOverlap="1" wp14:anchorId="5311BCC9" wp14:editId="44ABD179">
              <wp:simplePos x="0" y="0"/>
              <wp:positionH relativeFrom="page">
                <wp:posOffset>0</wp:posOffset>
              </wp:positionH>
              <wp:positionV relativeFrom="page">
                <wp:posOffset>10227945</wp:posOffset>
              </wp:positionV>
              <wp:extent cx="7560310" cy="273050"/>
              <wp:effectExtent l="0" t="0" r="0" b="12700"/>
              <wp:wrapNone/>
              <wp:docPr id="1" name="MSIPCM9af147cda93f18a8c9cee8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w:t>
                          </w:r>
                          <w:proofErr w:type="spellStart"/>
                          <w:r w:rsidRPr="00ED520D">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11BCC9" id="_x0000_t202" coordsize="21600,21600" o:spt="202" path="m,l,21600r21600,l21600,xe">
              <v:stroke joinstyle="miter"/>
              <v:path gradientshapeok="t" o:connecttype="rect"/>
            </v:shapetype>
            <v:shape id="MSIPCM9af147cda93f18a8c9cee8b8"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pnrwIAAEcFAAAOAAAAZHJzL2Uyb0RvYy54bWysVEtvEzEQviPxHywfONHu5v2gmyqkKlRK&#10;20gp6tnx2tmVdj2u7TQbEP+dsddJaeGEuNjz8jy+mfHFZVNX5FkYW4LKaOc8pUQoDnmpthn99nB9&#10;NqbEOqZyVoESGT0ISy9n799d7PVUdKGAKheGoBNlp3ud0cI5PU0SywtRM3sOWihUSjA1c8iabZIb&#10;tkfvdZV003SY7MHk2gAX1qL0qlXSWfAvpeDuXkorHKkyirm5cJpwbvyZzC7YdGuYLkoe02D/kEXN&#10;SoVBT66umGNkZ8o/XNUlN2BBunMOdQJSllyEGrCaTvqmmnXBtAi1IDhWn2Cy/88tv3teGVLm2DtK&#10;FKuxRbfrm9XidsJkpz/iOZv0ZGfMxnzChRhvsJ25sBwR/PHhaQfu01dmiwXkouWmZ+NBdzgaTCbp&#10;x6gX5bZwUTvu44RExWOZuyLKB5PBSb6qGBe1UMc3rck1gBOmpaODG5WLJjpor5Upa2YOr6zWOAI4&#10;m9GuE98+gI6S9BR4KeQxJgp/+tHYaztFhNYaMXLNZ2g8TFFuUeg73khT+xt7SVCPQ3Y4DZZoHOEo&#10;HA2Gaa+DKo667qiXDsLkJS+vtbHui4CaeCKjBrMO88Sel9ZhRDQ9mvhgCq7LqgrDWymyz+iwhy5f&#10;afBFpfChr6HN1VOu2TSxgA3kB6zLQLsUVvPrEoMvmXUrZnALMF/cbHePh6wAg0CkKCnAfP+b3Nvj&#10;cKKWkj1uVUbt044ZQUl1o3Bsu4N+mvo9DBwSJhCTTr+PzOYoVbt6AbixOJOYViC9rauOpDRQP+Lm&#10;z304VDHFMWhGN0dy4ZBDBf4cXMzngcaN08wt1Vpz79qj5TF9aB6Z0RF4hy27g+Pisekb/FvbFuf5&#10;zoEsQ3M8si2cEXDc1tCz+LP47+B3Pli9/H+zX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zVfKZ68CAABHBQAADgAA&#10;AAAAAAAAAAAAAAAuAgAAZHJzL2Uyb0RvYy54bWxQSwECLQAUAAYACAAAACEAfHYI4d8AAAALAQAA&#10;DwAAAAAAAAAAAAAAAAAJBQAAZHJzL2Rvd25yZXYueG1sUEsFBgAAAAAEAAQA8wAAABUGAAAAAA==&#10;" o:allowincell="f" filled="f" stroked="f" strokeweight=".5pt">
              <v:textbox inset="20pt,0,,0">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w:t>
                    </w:r>
                    <w:proofErr w:type="spellStart"/>
                    <w:r w:rsidRPr="00ED520D">
                      <w:rPr>
                        <w:rFonts w:ascii="Calibri" w:hAnsi="Calibri" w:cs="Calibri"/>
                        <w:color w:val="000000"/>
                        <w:sz w:val="20"/>
                      </w:rPr>
                      <w:t>Only</w:t>
                    </w:r>
                    <w:proofErr w:type="spellEnd"/>
                  </w:p>
                </w:txbxContent>
              </v:textbox>
              <w10:wrap anchorx="page" anchory="page"/>
            </v:shape>
          </w:pict>
        </mc:Fallback>
      </mc:AlternateContent>
    </w: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B824" w14:textId="53F7B3C3"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0F837" w14:textId="77777777" w:rsidR="00854FDC" w:rsidRDefault="00854FDC">
      <w:r>
        <w:separator/>
      </w:r>
    </w:p>
  </w:footnote>
  <w:footnote w:type="continuationSeparator" w:id="0">
    <w:p w14:paraId="50A591BA" w14:textId="77777777" w:rsidR="00854FDC" w:rsidRDefault="0085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130E" w14:textId="2A2C46E2" w:rsidR="00C33103" w:rsidRPr="00022A8D" w:rsidRDefault="00C33103" w:rsidP="00022A8D">
    <w:pPr>
      <w:pStyle w:val="Cabealho"/>
      <w:spacing w:after="0"/>
      <w:jc w:val="right"/>
      <w:rPr>
        <w:rFonts w:ascii="Tahoma" w:hAnsi="Tahoma" w:cs="Tahoma"/>
        <w:i/>
        <w:sz w:val="22"/>
        <w:szCs w:val="22"/>
      </w:rPr>
    </w:pPr>
    <w:bookmarkStart w:id="39"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3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3F48"/>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3F7A"/>
    <w:rsid w:val="0014438E"/>
    <w:rsid w:val="001444F0"/>
    <w:rsid w:val="001448B6"/>
    <w:rsid w:val="00144B43"/>
    <w:rsid w:val="00145D0A"/>
    <w:rsid w:val="00145DFB"/>
    <w:rsid w:val="00146001"/>
    <w:rsid w:val="00146241"/>
    <w:rsid w:val="00146FF5"/>
    <w:rsid w:val="0014738C"/>
    <w:rsid w:val="00150B01"/>
    <w:rsid w:val="00150CBD"/>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A7622"/>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090"/>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05"/>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23E"/>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1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377D2"/>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1B8"/>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4D6B"/>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4FDC"/>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0FC"/>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497B"/>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0DCA"/>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A26"/>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6CB7"/>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5A5F"/>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1E2"/>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87"/>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3C14"/>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6A"/>
    <w:rsid w:val="00ED1BA6"/>
    <w:rsid w:val="00ED2093"/>
    <w:rsid w:val="00ED2C52"/>
    <w:rsid w:val="00ED2D59"/>
    <w:rsid w:val="00ED3237"/>
    <w:rsid w:val="00ED3C25"/>
    <w:rsid w:val="00ED4B0B"/>
    <w:rsid w:val="00ED520D"/>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bf472f7-a010-4b5a-bb99-a26ed4c99680"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EBC8B-B071-4909-9B75-34226915F12C}">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AF30CE77-0842-4338-9484-DF640D7ACE35}">
  <ds:schemaRefs>
    <ds:schemaRef ds:uri="http://schemas.microsoft.com/sharepoint/v3/contenttype/forms"/>
  </ds:schemaRefs>
</ds:datastoreItem>
</file>

<file path=customXml/itemProps3.xml><?xml version="1.0" encoding="utf-8"?>
<ds:datastoreItem xmlns:ds="http://schemas.openxmlformats.org/officeDocument/2006/customXml" ds:itemID="{7D33DB86-5086-4ABE-8559-82329D66097F}">
  <ds:schemaRefs>
    <ds:schemaRef ds:uri="http://schemas.openxmlformats.org/officeDocument/2006/bibliography"/>
  </ds:schemaRefs>
</ds:datastoreItem>
</file>

<file path=customXml/itemProps4.xml><?xml version="1.0" encoding="utf-8"?>
<ds:datastoreItem xmlns:ds="http://schemas.openxmlformats.org/officeDocument/2006/customXml" ds:itemID="{5F0334AD-47EB-439A-B944-F475BEC107FE}">
  <ds:schemaRefs>
    <ds:schemaRef ds:uri="Microsoft.SharePoint.Taxonomy.ContentTypeSync"/>
  </ds:schemaRefs>
</ds:datastoreItem>
</file>

<file path=customXml/itemProps5.xml><?xml version="1.0" encoding="utf-8"?>
<ds:datastoreItem xmlns:ds="http://schemas.openxmlformats.org/officeDocument/2006/customXml" ds:itemID="{E3599C76-545C-470B-805B-97C642EF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2849</Words>
  <Characters>15388</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OLIVEIRA Fabricio (ENGIE BRASIL ENERGIA S.A.)</cp:lastModifiedBy>
  <cp:revision>11</cp:revision>
  <cp:lastPrinted>2019-06-10T13:46:00Z</cp:lastPrinted>
  <dcterms:created xsi:type="dcterms:W3CDTF">2020-10-08T23:04:00Z</dcterms:created>
  <dcterms:modified xsi:type="dcterms:W3CDTF">2020-11-22T22:22:00Z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y fmtid="{D5CDD505-2E9C-101B-9397-08002B2CF9AE}" pid="6" name="_dlc_DocIdItemGuid">
    <vt:lpwstr>f2854679-8b6f-47a7-ba4b-a3e64870dd4b</vt:lpwstr>
  </property>
  <property fmtid="{D5CDD505-2E9C-101B-9397-08002B2CF9AE}" pid="7" name="ContentTypeId">
    <vt:lpwstr>0x010100B5AD72C81E6D2D4B8C481EB02B6FD1C6</vt:lpwstr>
  </property>
  <property fmtid="{D5CDD505-2E9C-101B-9397-08002B2CF9AE}" pid="8" name="MSIP_Label_38dfde47-f100-441b-b584-049a7fefba8a_Enabled">
    <vt:lpwstr>true</vt:lpwstr>
  </property>
  <property fmtid="{D5CDD505-2E9C-101B-9397-08002B2CF9AE}" pid="9" name="MSIP_Label_38dfde47-f100-441b-b584-049a7fefba8a_SetDate">
    <vt:lpwstr>2020-10-08T17:51:54Z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50c24e1d-a45b-410e-ac15-190dd953b575</vt:lpwstr>
  </property>
  <property fmtid="{D5CDD505-2E9C-101B-9397-08002B2CF9AE}" pid="14" name="MSIP_Label_38dfde47-f100-441b-b584-049a7fefba8a_ContentBits">
    <vt:lpwstr>2</vt:lpwstr>
  </property>
  <property fmtid="{D5CDD505-2E9C-101B-9397-08002B2CF9AE}" pid="15" name="Security Classification">
    <vt:lpwstr/>
  </property>
</Properties>
</file>