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3F45" w14:textId="07BBE0F7" w:rsidR="001D7764" w:rsidRPr="005D33BD" w:rsidRDefault="005D33BD" w:rsidP="002C5A68">
      <w:pPr>
        <w:pStyle w:val="Recuodecorpodetexto2"/>
        <w:spacing w:before="120"/>
        <w:ind w:left="4678"/>
        <w:rPr>
          <w:sz w:val="22"/>
          <w:szCs w:val="22"/>
        </w:rPr>
      </w:pPr>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0F9E1E6"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das debêntures da </w:t>
      </w:r>
      <w:r w:rsidR="00F42F89">
        <w:rPr>
          <w:rFonts w:ascii="Arial" w:hAnsi="Arial" w:cs="Arial"/>
          <w:sz w:val="22"/>
          <w:szCs w:val="22"/>
        </w:rPr>
        <w:t>1ª (primeira)</w:t>
      </w:r>
      <w:r w:rsidRPr="005D33BD">
        <w:rPr>
          <w:rFonts w:ascii="Arial" w:hAnsi="Arial" w:cs="Arial"/>
          <w:sz w:val="22"/>
          <w:szCs w:val="22"/>
        </w:rPr>
        <w:t xml:space="preserve"> Emissão da Usina Termelétrica Pampa Sul S.A. (“</w:t>
      </w:r>
      <w:r w:rsidRPr="005D33BD">
        <w:rPr>
          <w:rFonts w:ascii="Arial" w:hAnsi="Arial" w:cs="Arial"/>
          <w:b/>
          <w:sz w:val="22"/>
          <w:szCs w:val="22"/>
        </w:rPr>
        <w:t>DEBENTURISTAS</w:t>
      </w:r>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Florianópolis, Estado de Santa Catarina, na Rua Apóstolo Pítsica,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47461425"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 xml:space="preserve">(i)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eradora de 345 MW de capacidade instalada, utilizando carvão mineral nacional como combustível, localizada no Município de Candiota,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0CF167F4" w:rsidR="00871BC0" w:rsidRPr="00871BC0" w:rsidRDefault="001327E6" w:rsidP="002C5A68">
      <w:pPr>
        <w:pStyle w:val="BNDES"/>
        <w:numPr>
          <w:ilvl w:val="0"/>
          <w:numId w:val="1"/>
        </w:numPr>
        <w:spacing w:before="120"/>
        <w:rPr>
          <w:rFonts w:cs="Arial"/>
          <w:sz w:val="22"/>
          <w:szCs w:val="22"/>
        </w:rPr>
      </w:pPr>
      <w:r w:rsidRPr="00D56F1A">
        <w:rPr>
          <w:rFonts w:cs="Arial"/>
          <w:sz w:val="22"/>
          <w:szCs w:val="22"/>
        </w:rPr>
        <w:lastRenderedPageBreak/>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w:t>
      </w:r>
      <w:r w:rsidR="00694A3B">
        <w:rPr>
          <w:rFonts w:cs="Arial"/>
          <w:sz w:val="22"/>
          <w:szCs w:val="22"/>
        </w:rPr>
        <w:t>julho</w:t>
      </w:r>
      <w:r w:rsidR="00694A3B"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2B2E3EF8" w14:textId="447EC6C3" w:rsidR="009770D7" w:rsidRDefault="00B64969" w:rsidP="002C5A68">
      <w:pPr>
        <w:pStyle w:val="BNDES"/>
        <w:numPr>
          <w:ilvl w:val="0"/>
          <w:numId w:val="1"/>
        </w:numPr>
        <w:spacing w:before="120"/>
        <w:rPr>
          <w:rFonts w:cs="Arial"/>
          <w:sz w:val="22"/>
          <w:szCs w:val="22"/>
        </w:rPr>
      </w:pPr>
      <w:r>
        <w:rPr>
          <w:rFonts w:cs="Arial"/>
          <w:sz w:val="22"/>
          <w:szCs w:val="22"/>
        </w:rPr>
        <w:t xml:space="preserve">o BNDES concorda em compartilhar com os DEBENTURISTAS a garantia constituída por meio do CONTRATO, por meio de aditamento a este, para inclusão </w:t>
      </w:r>
      <w:r w:rsidR="0055585E">
        <w:rPr>
          <w:rFonts w:cs="Arial"/>
          <w:sz w:val="22"/>
          <w:szCs w:val="22"/>
        </w:rPr>
        <w:t>dos DEBENTURISTAS,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4E9C049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lastRenderedPageBreak/>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04A85DD4"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 xml:space="preserve">a este CONTRATO </w:t>
      </w:r>
      <w:r w:rsidR="00021580" w:rsidRPr="0001297D">
        <w:rPr>
          <w:rFonts w:cs="Arial"/>
          <w:sz w:val="22"/>
          <w:szCs w:val="22"/>
        </w:rPr>
        <w:lastRenderedPageBreak/>
        <w:t>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0" w:name="_Ref112167089"/>
      <w:bookmarkStart w:id="1"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0"/>
      <w:bookmarkEnd w:id="1"/>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lastRenderedPageBreak/>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r w:rsidR="000F46F7" w:rsidRPr="005D33BD">
        <w:rPr>
          <w:rFonts w:cs="Arial"/>
          <w:i/>
          <w:sz w:val="22"/>
          <w:szCs w:val="22"/>
        </w:rPr>
        <w:t>Property All Risks</w:t>
      </w:r>
      <w:r w:rsidR="000F46F7" w:rsidRPr="005D33BD">
        <w:rPr>
          <w:rFonts w:cs="Arial"/>
          <w:sz w:val="22"/>
          <w:szCs w:val="22"/>
        </w:rPr>
        <w:t xml:space="preserve">), </w:t>
      </w:r>
      <w:r w:rsidR="000F46F7" w:rsidRPr="005D33BD">
        <w:rPr>
          <w:rFonts w:cs="Arial"/>
          <w:sz w:val="22"/>
          <w:szCs w:val="22"/>
        </w:rPr>
        <w:lastRenderedPageBreak/>
        <w:t>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25151D50"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a ESCRITURA DE EMISSÃO</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4E479BE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xml:space="preserve">, e (ii)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w:t>
      </w:r>
      <w:r w:rsidRPr="00E671B2">
        <w:rPr>
          <w:rFonts w:ascii="Arial" w:hAnsi="Arial" w:cs="Arial"/>
          <w:i/>
          <w:sz w:val="22"/>
          <w:szCs w:val="22"/>
        </w:rPr>
        <w:lastRenderedPageBreak/>
        <w:t xml:space="preserve">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2" w:name="_DV_C57"/>
      <w:r w:rsidRPr="005D33BD">
        <w:rPr>
          <w:rFonts w:cs="Arial"/>
          <w:sz w:val="22"/>
          <w:szCs w:val="22"/>
        </w:rPr>
        <w:lastRenderedPageBreak/>
        <w:t>a</w:t>
      </w:r>
      <w:bookmarkStart w:id="3" w:name="_DV_M101"/>
      <w:bookmarkEnd w:id="2"/>
      <w:bookmarkEnd w:id="3"/>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terceiros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(ii)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4" w:name="_DV_C50"/>
      <w:r w:rsidRPr="005D33BD">
        <w:rPr>
          <w:rFonts w:cs="Arial"/>
          <w:sz w:val="22"/>
          <w:szCs w:val="22"/>
        </w:rPr>
        <w:t>, entregue com 5 (cinco) dias de antecedência</w:t>
      </w:r>
      <w:bookmarkEnd w:id="4"/>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fornecer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5" w:name="_DV_M156"/>
      <w:bookmarkEnd w:id="5"/>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6" w:name="_DV_M160"/>
      <w:bookmarkEnd w:id="6"/>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7" w:name="_DV_M162"/>
      <w:bookmarkEnd w:id="7"/>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8" w:name="_DV_M233"/>
      <w:bookmarkEnd w:id="8"/>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arts.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9"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9"/>
    <w:p w14:paraId="0B985474" w14:textId="41CA856F" w:rsidR="00694A3B" w:rsidRPr="00666E18" w:rsidRDefault="00694A3B" w:rsidP="00694A3B">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876517" w:rsidRPr="00666E18">
        <w:rPr>
          <w:kern w:val="32"/>
          <w:sz w:val="22"/>
          <w:szCs w:val="22"/>
        </w:rPr>
        <w:t>PRIMEIRO</w:t>
      </w:r>
    </w:p>
    <w:p w14:paraId="6DEC99D7" w14:textId="0DA839C2" w:rsidR="00694A3B" w:rsidRPr="00666E18" w:rsidRDefault="00694A3B" w:rsidP="00694A3B">
      <w:pPr>
        <w:pStyle w:val="BNDES"/>
        <w:tabs>
          <w:tab w:val="left" w:pos="1701"/>
        </w:tabs>
        <w:spacing w:before="120"/>
        <w:rPr>
          <w:rFonts w:cs="Arial"/>
          <w:sz w:val="22"/>
          <w:szCs w:val="22"/>
        </w:rPr>
      </w:pPr>
      <w:r w:rsidRPr="00666E18">
        <w:rPr>
          <w:rFonts w:cs="Arial"/>
          <w:sz w:val="22"/>
          <w:szCs w:val="22"/>
        </w:rPr>
        <w:tab/>
        <w:t xml:space="preserve">Sem prejuízo dos melhores esforços da PAMPA SUL para viabilizar os registros previstos acima, caso qualquer de tais providências não possa ser concluída no prazo acima indicado por qualquer motivo não imputável à PAMPA SUL, inclusive em razão das restrições de funcionamento de instituições e órgãos e de circulação de pessoas em decorrência da pandemia do COVID-19, tal prazo poderá ser estendido por até igual período, </w:t>
      </w:r>
      <w:r w:rsidRPr="00666E18">
        <w:rPr>
          <w:rFonts w:cs="Arial"/>
          <w:sz w:val="22"/>
          <w:szCs w:val="22"/>
        </w:rPr>
        <w:lastRenderedPageBreak/>
        <w:t>a exclusivo critério do BNDES e sem necessidade de anuência prévia do AGENTE FIDUCIÁRIO ou dos DEBENTURISTAS.</w:t>
      </w:r>
      <w:r w:rsidR="00666E18">
        <w:rPr>
          <w:rFonts w:cs="Arial"/>
          <w:sz w:val="22"/>
          <w:szCs w:val="22"/>
        </w:rPr>
        <w:t xml:space="preserve"> </w:t>
      </w:r>
      <w:r w:rsidR="00666E18" w:rsidRPr="00666E18">
        <w:rPr>
          <w:rFonts w:cs="Arial"/>
          <w:b/>
          <w:bCs/>
          <w:sz w:val="22"/>
          <w:szCs w:val="22"/>
          <w:highlight w:val="yellow"/>
        </w:rPr>
        <w:t>[NOTA SF: MANUTENÇÃO DESTE PARÁGRAFO A SER CONFIRMADA PELO BNDES]</w:t>
      </w:r>
    </w:p>
    <w:p w14:paraId="4FB80DAD" w14:textId="0917FAE1" w:rsidR="00694A3B" w:rsidRPr="00666E18" w:rsidRDefault="00694A3B" w:rsidP="002C5A68">
      <w:pPr>
        <w:pStyle w:val="Ttulo1"/>
        <w:tabs>
          <w:tab w:val="left" w:pos="567"/>
        </w:tabs>
        <w:spacing w:before="120" w:line="240" w:lineRule="auto"/>
        <w:ind w:left="567" w:hanging="567"/>
        <w:rPr>
          <w:kern w:val="32"/>
          <w:sz w:val="22"/>
          <w:szCs w:val="22"/>
        </w:rPr>
      </w:pPr>
    </w:p>
    <w:p w14:paraId="24E82D0E" w14:textId="6A250FE9" w:rsidR="00A55929" w:rsidRPr="005D33BD" w:rsidRDefault="00A55929" w:rsidP="002C5A68">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694A3B" w:rsidRPr="00666E18">
        <w:rPr>
          <w:kern w:val="32"/>
          <w:sz w:val="22"/>
          <w:szCs w:val="22"/>
        </w:rPr>
        <w:t>SEGUNDO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0"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0"/>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11"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11"/>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12" w:name="_Hlk42281305"/>
            <w:r w:rsidRPr="00985D20">
              <w:rPr>
                <w:rFonts w:ascii="Arial" w:hAnsi="Arial" w:cs="Arial"/>
                <w:color w:val="000000"/>
                <w:sz w:val="22"/>
                <w:szCs w:val="22"/>
              </w:rPr>
              <w:t>spestruturacao@simplificpavarini.com.br</w:t>
            </w:r>
            <w:bookmarkEnd w:id="12"/>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Pítsica,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Farrapeira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3" w:name="_DV_M106"/>
      <w:bookmarkStart w:id="14" w:name="_DV_M107"/>
      <w:bookmarkStart w:id="15" w:name="_DV_M108"/>
      <w:bookmarkEnd w:id="13"/>
      <w:bookmarkEnd w:id="14"/>
      <w:bookmarkEnd w:id="15"/>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lastRenderedPageBreak/>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351B2F">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Turbinas a vapor de condensação com módulos acoplados tipo "Tandem" (eixo e rotores em linha) - Potência 345MW - Rotação 3600RPM - Número de série: 84068100 -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vácuo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Aquecedor HP (válvula incluída)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Desaerador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Hangzhou Steam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Turbina a Vapor Auxiliar (Turbina de Bomba de Água de Alimentação)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Nanjing Huaxing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Vaso de Pressão (Todos os Vasos de Pressão e Vasos de Pressão Normal)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Filtro de água elétrico (para bomba de água de ciclo aberto)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Pall Filter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Equipamento de Purificação de Óleo (Para Turbina)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Xylem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de Ciclo Aberto e Bomba de Água de Ciclo Fechado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Material de isolamento térmico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Pruss Armaturen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Válvula de bypass HP / LP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Refrigerador de Ciclo Fechado (Trocador de Calor de Placa e Trocador de Calor para Resfriador de Escória)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Shanghai Taprogge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Sistema de Limpeza de Esferas de Tubo Condensador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Beijing Guodian</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MSP / CRHP / HRHP / HPFWP (Encanamentos e acessórios para tubos e ping)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de reposição condensada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transferência de óleo lubrificante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Xylem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que ataca a válvula de bypass HP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drenagem de baixa pressão aquecedor (motor incluído)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351B2F">
            <w:pPr>
              <w:rPr>
                <w:rFonts w:ascii="Arial" w:hAnsi="Arial" w:cs="Arial"/>
                <w:sz w:val="18"/>
                <w:szCs w:val="18"/>
              </w:rPr>
            </w:pPr>
            <w:r w:rsidRPr="0042768F">
              <w:rPr>
                <w:rFonts w:ascii="Arial" w:hAnsi="Arial" w:cs="Arial"/>
                <w:sz w:val="18"/>
                <w:szCs w:val="18"/>
              </w:rPr>
              <w:t>Condensador e Aquecedor LP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Geradores elétricos trifásicos de corrente alternada com potência nominal de 345MW, frequência de 60Hz, tensão nominal de 21kV, rotação 3.600 rpm - Número de série: 85016400 - Nota Fiscal de Entrada nº 1200 - Main Invoice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Transformador stand-by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Geradoras de vapor tipo Torre - Modelo Dongfang 345MW (CFB) - Marca: Dongfang - Número de série: 84021100 -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Saimo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Alimentador de Carvão Gravimétrico Tipe Belt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Wuhan Greatall Dynamic Equipament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fluidizado de alta pressão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calibração induzido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Primário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secundário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Hangzhou RUNPAQ Energy Equipament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Caldeira de Inicialização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Sichuan New Hairun Pump</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Sistema de óleo diesel leve (somente bombas de óleo e purificador)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Ximing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Alimentador de carvão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Jinghui Eletricak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Amortecedor (amortecedor de combustão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Zhejiang Feida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351B2F">
            <w:pPr>
              <w:rPr>
                <w:rFonts w:ascii="Arial" w:hAnsi="Arial" w:cs="Arial"/>
                <w:sz w:val="18"/>
                <w:szCs w:val="18"/>
              </w:rPr>
            </w:pPr>
            <w:r w:rsidRPr="0042768F">
              <w:rPr>
                <w:rFonts w:ascii="Arial" w:hAnsi="Arial" w:cs="Arial"/>
                <w:sz w:val="18"/>
                <w:szCs w:val="18"/>
              </w:rPr>
              <w:t>Precipitador eletrostático - Nota Fiscal de Entradanº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351B2F">
            <w:pPr>
              <w:rPr>
                <w:rFonts w:ascii="Arial" w:hAnsi="Arial" w:cs="Arial"/>
                <w:sz w:val="18"/>
                <w:szCs w:val="18"/>
              </w:rPr>
            </w:pPr>
            <w:r w:rsidRPr="0042768F">
              <w:rPr>
                <w:rFonts w:ascii="Arial" w:hAnsi="Arial" w:cs="Arial"/>
                <w:sz w:val="18"/>
                <w:szCs w:val="18"/>
              </w:rPr>
              <w:t>Bomba de água de alimentação (bomba de reforço,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351B2F">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351B2F">
            <w:pPr>
              <w:rPr>
                <w:rFonts w:ascii="Arial" w:hAnsi="Arial" w:cs="Arial"/>
                <w:sz w:val="18"/>
                <w:szCs w:val="18"/>
              </w:rPr>
            </w:pPr>
            <w:r w:rsidRPr="0042768F">
              <w:rPr>
                <w:rFonts w:ascii="Arial" w:hAnsi="Arial" w:cs="Arial"/>
                <w:sz w:val="18"/>
                <w:szCs w:val="18"/>
              </w:rPr>
              <w:t>Bomba de Água Condensada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351B2F">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351B2F">
            <w:pPr>
              <w:jc w:val="both"/>
              <w:rPr>
                <w:rFonts w:ascii="Arial" w:hAnsi="Arial" w:cs="Arial"/>
                <w:sz w:val="18"/>
                <w:szCs w:val="18"/>
              </w:rPr>
            </w:pPr>
            <w:r w:rsidRPr="0042768F">
              <w:rPr>
                <w:rFonts w:ascii="Arial" w:hAnsi="Arial" w:cs="Arial"/>
                <w:sz w:val="18"/>
                <w:szCs w:val="18"/>
              </w:rPr>
              <w:t>* A Contitech,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Seagul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351B2F">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351B2F">
            <w:pPr>
              <w:rPr>
                <w:rFonts w:ascii="Arial" w:hAnsi="Arial" w:cs="Arial"/>
                <w:sz w:val="18"/>
                <w:szCs w:val="18"/>
              </w:rPr>
            </w:pPr>
            <w:r w:rsidRPr="0042768F">
              <w:rPr>
                <w:rFonts w:ascii="Arial" w:hAnsi="Arial" w:cs="Arial"/>
                <w:sz w:val="18"/>
                <w:szCs w:val="18"/>
              </w:rPr>
              <w:t>Igersoll Rand</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351B2F">
            <w:pPr>
              <w:rPr>
                <w:rFonts w:ascii="Arial" w:hAnsi="Arial" w:cs="Arial"/>
                <w:sz w:val="18"/>
                <w:szCs w:val="18"/>
              </w:rPr>
            </w:pPr>
            <w:r w:rsidRPr="0042768F">
              <w:rPr>
                <w:rFonts w:ascii="Arial" w:hAnsi="Arial" w:cs="Arial"/>
                <w:sz w:val="18"/>
                <w:szCs w:val="18"/>
              </w:rPr>
              <w:t>Igersoll Rand</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351B2F">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Rua Joaquim Floriano 466, bloco B, conj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Contrato de Penhor de Máquinas e Equipamentos e Outras Avenças nº ................, celebrado em .....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V.S</w:t>
      </w:r>
      <w:r w:rsidRPr="005D33BD">
        <w:rPr>
          <w:rFonts w:ascii="Arial" w:hAnsi="Arial" w:cs="Arial"/>
          <w:sz w:val="22"/>
          <w:szCs w:val="22"/>
          <w:vertAlign w:val="superscript"/>
        </w:rPr>
        <w:t>as</w:t>
      </w:r>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16" w:name="_DV_M320"/>
      <w:bookmarkStart w:id="17" w:name="_DV_M321"/>
      <w:bookmarkEnd w:id="16"/>
      <w:bookmarkEnd w:id="17"/>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18" w:name="_DV_M322"/>
      <w:bookmarkEnd w:id="18"/>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com sede no Município de Florianópolis, Estado de Santa Catarina, na Rua Apóstolo Pítsica,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19" w:name="_DV_M323"/>
      <w:bookmarkStart w:id="20" w:name="_DV_M324"/>
      <w:bookmarkEnd w:id="19"/>
      <w:bookmarkEnd w:id="20"/>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21" w:name="_DV_M325"/>
      <w:bookmarkEnd w:id="21"/>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65FCD48" w:rsidR="00601C7C" w:rsidRPr="00A476A5" w:rsidRDefault="00601C7C" w:rsidP="00601C7C">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22" w:name="_DV_M326"/>
      <w:bookmarkStart w:id="23" w:name="_DV_M333"/>
      <w:bookmarkEnd w:id="22"/>
      <w:bookmarkEnd w:id="23"/>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 xml:space="preserve">requerer todas e quaisquer aprovações prévias ou consentimentos que possam ser necessários para a transferência dos BENS de sua titularidade a terceiros, </w:t>
      </w:r>
      <w:r w:rsidRPr="005D33BD">
        <w:rPr>
          <w:rFonts w:cs="Arial"/>
          <w:sz w:val="22"/>
          <w:szCs w:val="22"/>
        </w:rPr>
        <w:lastRenderedPageBreak/>
        <w:t>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t>Rio de Janeiro,    de           de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666E18"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6452264"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1pt;height:35.45pt" o:ole="">
            <v:imagedata r:id="rId10" o:title=""/>
          </v:shape>
          <o:OLEObject Type="Embed" ProgID="Equation.3" ShapeID="_x0000_i1026" DrawAspect="Content" ObjectID="_1656452263"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lastRenderedPageBreak/>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w:t>
      </w:r>
      <w:r w:rsidRPr="00FE53BA">
        <w:rPr>
          <w:rFonts w:cs="Arial"/>
          <w:sz w:val="22"/>
          <w:szCs w:val="22"/>
        </w:rPr>
        <w:lastRenderedPageBreak/>
        <w:t xml:space="preserve">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lastRenderedPageBreak/>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926EA9">
      <w:pPr>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5A579B1C"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AB0C8F" w:rsidRPr="005D33BD">
        <w:rPr>
          <w:rFonts w:ascii="Arial" w:eastAsia="SimSun" w:hAnsi="Arial" w:cs="Arial"/>
          <w:b/>
          <w:bCs/>
          <w:smallCaps/>
          <w:sz w:val="22"/>
          <w:szCs w:val="22"/>
        </w:rPr>
        <w:t xml:space="preserve"> </w:t>
      </w:r>
    </w:p>
    <w:p w14:paraId="3A1C963D" w14:textId="04F85F9E" w:rsidR="00595276" w:rsidRDefault="00595276" w:rsidP="002C5A68">
      <w:pPr>
        <w:spacing w:before="120"/>
        <w:jc w:val="center"/>
        <w:rPr>
          <w:rFonts w:ascii="Arial" w:hAnsi="Arial" w:cs="Arial"/>
          <w:b/>
          <w:sz w:val="22"/>
          <w:szCs w:val="22"/>
        </w:rPr>
      </w:pPr>
    </w:p>
    <w:p w14:paraId="063A9DFD" w14:textId="77777777"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p>
    <w:p w14:paraId="11CB9A07" w14:textId="77777777" w:rsidR="00666E18" w:rsidRDefault="00666E18" w:rsidP="00666E18">
      <w:pPr>
        <w:spacing w:line="276" w:lineRule="auto"/>
        <w:jc w:val="center"/>
        <w:rPr>
          <w:rFonts w:ascii="Arial" w:hAnsi="Arial" w:cs="Arial"/>
          <w:b/>
          <w:bCs/>
          <w:caps/>
          <w:sz w:val="22"/>
          <w:szCs w:val="22"/>
          <w:u w:val="single"/>
        </w:rPr>
      </w:pPr>
    </w:p>
    <w:p w14:paraId="4AE0AAFA" w14:textId="77777777" w:rsidR="00666E18" w:rsidRPr="00666E18" w:rsidRDefault="00666E18" w:rsidP="00666E18">
      <w:pPr>
        <w:spacing w:line="276" w:lineRule="auto"/>
        <w:jc w:val="both"/>
        <w:rPr>
          <w:rFonts w:ascii="Arial" w:hAnsi="Arial" w:cs="Arial"/>
          <w:b/>
          <w:bCs/>
          <w:caps/>
          <w:sz w:val="22"/>
          <w:szCs w:val="22"/>
          <w:u w:val="single"/>
        </w:rPr>
      </w:pPr>
      <w:r w:rsidRPr="00666E18">
        <w:rPr>
          <w:rFonts w:ascii="Arial" w:hAnsi="Arial" w:cs="Arial"/>
          <w:sz w:val="22"/>
          <w:szCs w:val="22"/>
        </w:rPr>
        <w:t>Termos iniciados em letras maiúsculas na tabela abaixo deverão ter o mesmo significado a eles atribuído na ESCRITURA DE EMISSÃO salvo se definidos de outra forma.</w:t>
      </w:r>
    </w:p>
    <w:p w14:paraId="280C07A6" w14:textId="77777777" w:rsidR="00666E18" w:rsidRDefault="00666E18" w:rsidP="00666E18">
      <w:pPr>
        <w:spacing w:line="276" w:lineRule="auto"/>
        <w:jc w:val="center"/>
        <w:rPr>
          <w:rFonts w:ascii="Arial" w:hAnsi="Arial" w:cs="Arial"/>
          <w:b/>
          <w:bCs/>
          <w:caps/>
          <w:sz w:val="22"/>
          <w:szCs w:val="22"/>
          <w:u w:val="single"/>
        </w:rPr>
      </w:pPr>
    </w:p>
    <w:p w14:paraId="708E2213" w14:textId="77777777" w:rsidR="00666E18" w:rsidRPr="00782A71" w:rsidRDefault="00666E18" w:rsidP="00666E18">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666E18" w:rsidRPr="00CC74C9" w14:paraId="60FB9E2B" w14:textId="77777777" w:rsidTr="00323DF7">
        <w:tc>
          <w:tcPr>
            <w:tcW w:w="2937" w:type="dxa"/>
            <w:tcMar>
              <w:top w:w="0" w:type="dxa"/>
              <w:left w:w="28" w:type="dxa"/>
              <w:bottom w:w="0" w:type="dxa"/>
              <w:right w:w="28" w:type="dxa"/>
            </w:tcMar>
          </w:tcPr>
          <w:p w14:paraId="17BE2AA4" w14:textId="77777777" w:rsidR="00666E18" w:rsidRPr="00653F74" w:rsidRDefault="00666E18" w:rsidP="00323DF7">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7576933E" w14:textId="77777777" w:rsidR="00666E18" w:rsidRPr="00653F74" w:rsidRDefault="00666E18" w:rsidP="00323DF7">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666E18" w:rsidRPr="00CC74C9" w14:paraId="11FE1318" w14:textId="77777777" w:rsidTr="00323DF7">
        <w:tc>
          <w:tcPr>
            <w:tcW w:w="2937" w:type="dxa"/>
            <w:tcMar>
              <w:top w:w="0" w:type="dxa"/>
              <w:left w:w="28" w:type="dxa"/>
              <w:bottom w:w="0" w:type="dxa"/>
              <w:right w:w="28" w:type="dxa"/>
            </w:tcMar>
          </w:tcPr>
          <w:p w14:paraId="2FEFC026" w14:textId="77777777" w:rsidR="00666E18" w:rsidRPr="00653F74" w:rsidRDefault="00666E18"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BAB3432" w14:textId="77777777" w:rsidR="00666E18" w:rsidRPr="00653F74" w:rsidRDefault="00666E18" w:rsidP="00323DF7">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666E18" w:rsidRPr="00CC74C9" w14:paraId="471520E9" w14:textId="77777777" w:rsidTr="00323DF7">
        <w:tc>
          <w:tcPr>
            <w:tcW w:w="2937" w:type="dxa"/>
            <w:tcMar>
              <w:top w:w="0" w:type="dxa"/>
              <w:left w:w="28" w:type="dxa"/>
              <w:bottom w:w="0" w:type="dxa"/>
              <w:right w:w="28" w:type="dxa"/>
            </w:tcMar>
          </w:tcPr>
          <w:p w14:paraId="5B2F4AA5" w14:textId="77777777" w:rsidR="00666E18" w:rsidRPr="00653F74" w:rsidRDefault="00666E18"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404F8E5B" w14:textId="77777777" w:rsidR="00666E18" w:rsidRPr="00653F74" w:rsidRDefault="00666E18" w:rsidP="00323DF7">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666E18" w:rsidRPr="00CC74C9" w14:paraId="74AAE002" w14:textId="77777777" w:rsidTr="00323DF7">
        <w:tc>
          <w:tcPr>
            <w:tcW w:w="2937" w:type="dxa"/>
            <w:tcMar>
              <w:top w:w="0" w:type="dxa"/>
              <w:left w:w="28" w:type="dxa"/>
              <w:bottom w:w="0" w:type="dxa"/>
              <w:right w:w="28" w:type="dxa"/>
            </w:tcMar>
          </w:tcPr>
          <w:p w14:paraId="109C5B0C" w14:textId="77777777" w:rsidR="00666E18" w:rsidRPr="00653F74" w:rsidRDefault="00666E18"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595D8B03" w14:textId="77777777" w:rsidR="00666E18" w:rsidRPr="00653F74" w:rsidRDefault="00666E18" w:rsidP="00323DF7">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666E18" w:rsidRPr="00CC74C9" w14:paraId="28A833AD" w14:textId="77777777" w:rsidTr="00323DF7">
        <w:tc>
          <w:tcPr>
            <w:tcW w:w="2937" w:type="dxa"/>
            <w:tcMar>
              <w:top w:w="0" w:type="dxa"/>
              <w:left w:w="28" w:type="dxa"/>
              <w:bottom w:w="0" w:type="dxa"/>
              <w:right w:w="28" w:type="dxa"/>
            </w:tcMar>
          </w:tcPr>
          <w:p w14:paraId="5A609879" w14:textId="77777777" w:rsidR="00666E18" w:rsidRPr="00653F74" w:rsidRDefault="00666E18"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46C63B97" w14:textId="77777777" w:rsidR="00666E18" w:rsidRPr="00653F74" w:rsidRDefault="00666E18" w:rsidP="00323DF7">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3DE8DD55" w14:textId="77777777" w:rsidR="00666E18" w:rsidRPr="00653F74" w:rsidRDefault="00666E18" w:rsidP="00666E18">
            <w:pPr>
              <w:pStyle w:val="PargrafodaLista"/>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297FD8AD" w14:textId="77777777" w:rsidR="00666E18" w:rsidRPr="00653F74" w:rsidRDefault="00666E18" w:rsidP="00666E18">
            <w:pPr>
              <w:pStyle w:val="PargrafodaLista"/>
              <w:numPr>
                <w:ilvl w:val="0"/>
                <w:numId w:val="52"/>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666E18" w:rsidRPr="00CC74C9" w14:paraId="18ADE73C" w14:textId="77777777" w:rsidTr="00323DF7">
        <w:tc>
          <w:tcPr>
            <w:tcW w:w="2937" w:type="dxa"/>
            <w:tcMar>
              <w:top w:w="0" w:type="dxa"/>
              <w:left w:w="28" w:type="dxa"/>
              <w:bottom w:w="0" w:type="dxa"/>
              <w:right w:w="28" w:type="dxa"/>
            </w:tcMar>
          </w:tcPr>
          <w:p w14:paraId="57D32A9E" w14:textId="77777777" w:rsidR="00666E18" w:rsidRPr="00653F74" w:rsidRDefault="00666E18" w:rsidP="00323DF7">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5B16E722" w14:textId="77777777" w:rsidR="00666E18" w:rsidRPr="00653F74" w:rsidRDefault="00666E18" w:rsidP="00323DF7">
            <w:pPr>
              <w:spacing w:line="320" w:lineRule="exact"/>
              <w:jc w:val="both"/>
              <w:rPr>
                <w:rStyle w:val="CabealhoChar"/>
                <w:rFonts w:cs="Arial"/>
                <w:sz w:val="22"/>
                <w:szCs w:val="22"/>
              </w:rPr>
            </w:pPr>
            <w:bookmarkStart w:id="24"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 xml:space="preserve">Atualização Monetária das </w:t>
            </w:r>
            <w:r w:rsidRPr="00FD210D">
              <w:rPr>
                <w:rFonts w:ascii="Arial" w:hAnsi="Arial" w:cs="Arial"/>
                <w:bCs/>
                <w:sz w:val="22"/>
                <w:szCs w:val="22"/>
                <w:u w:val="single"/>
              </w:rPr>
              <w:lastRenderedPageBreak/>
              <w:t>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24"/>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666E18" w:rsidRPr="00CC74C9" w14:paraId="1296BCE9" w14:textId="77777777" w:rsidTr="00323DF7">
        <w:tc>
          <w:tcPr>
            <w:tcW w:w="2937" w:type="dxa"/>
            <w:tcMar>
              <w:top w:w="0" w:type="dxa"/>
              <w:left w:w="28" w:type="dxa"/>
              <w:bottom w:w="0" w:type="dxa"/>
              <w:right w:w="28" w:type="dxa"/>
            </w:tcMar>
          </w:tcPr>
          <w:p w14:paraId="628CA124" w14:textId="77777777" w:rsidR="00666E18" w:rsidRPr="00653F74" w:rsidRDefault="00666E18" w:rsidP="00323DF7">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480ED2B2" w14:textId="77777777" w:rsidR="00666E18" w:rsidRDefault="00666E18" w:rsidP="00323DF7">
            <w:pPr>
              <w:spacing w:line="320" w:lineRule="exact"/>
              <w:jc w:val="both"/>
              <w:rPr>
                <w:rFonts w:ascii="Arial" w:hAnsi="Arial" w:cs="Arial"/>
                <w:sz w:val="22"/>
                <w:szCs w:val="22"/>
              </w:rPr>
            </w:pPr>
            <w:r w:rsidRPr="00FD210D">
              <w:rPr>
                <w:rFonts w:ascii="Arial" w:hAnsi="Arial" w:cs="Arial"/>
                <w:sz w:val="22"/>
                <w:szCs w:val="22"/>
              </w:rPr>
              <w:t>Sobre o Valor Nominal Atualizado das Debêntures da Primeira Série incidirão juros remuneratórios correspondentes a [</w:t>
            </w:r>
            <w:r w:rsidRPr="00FD210D">
              <w:rPr>
                <w:rFonts w:ascii="Arial" w:hAnsi="Arial" w:cs="Arial"/>
                <w:sz w:val="22"/>
                <w:szCs w:val="22"/>
                <w:highlight w:val="yellow"/>
              </w:rPr>
              <w:t>--</w:t>
            </w:r>
            <w:r w:rsidRPr="00FD210D">
              <w:rPr>
                <w:rFonts w:ascii="Arial" w:hAnsi="Arial" w:cs="Arial"/>
                <w:sz w:val="22"/>
                <w:szCs w:val="22"/>
              </w:rPr>
              <w:t>]% ([</w:t>
            </w:r>
            <w:r w:rsidRPr="00FD210D">
              <w:rPr>
                <w:rFonts w:ascii="Arial" w:hAnsi="Arial" w:cs="Arial"/>
                <w:sz w:val="22"/>
                <w:szCs w:val="22"/>
                <w:highlight w:val="yellow"/>
              </w:rPr>
              <w:t>--</w:t>
            </w:r>
            <w:r w:rsidRPr="00FD210D">
              <w:rPr>
                <w:rFonts w:ascii="Arial" w:hAnsi="Arial" w:cs="Arial"/>
                <w:sz w:val="22"/>
                <w:szCs w:val="22"/>
              </w:rPr>
              <w:t>] por cento)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inferior a AAA pela Standard &amp; Poor’s ou Fitch Ratings ou Aaa pela Moody’s, sobre o Valor Nominal Atualizado das Debêntures da Primeira Série passarão a incidir juros remuneratórios correspondentes a [</w:t>
            </w:r>
            <w:r w:rsidRPr="006C1BF4">
              <w:rPr>
                <w:rFonts w:ascii="Arial" w:hAnsi="Arial" w:cs="Arial"/>
                <w:sz w:val="22"/>
                <w:szCs w:val="22"/>
                <w:highlight w:val="yellow"/>
              </w:rPr>
              <w:t>--</w:t>
            </w:r>
            <w:r w:rsidRPr="00FD210D">
              <w:rPr>
                <w:rFonts w:ascii="Arial" w:hAnsi="Arial" w:cs="Arial"/>
                <w:sz w:val="22"/>
                <w:szCs w:val="22"/>
              </w:rPr>
              <w:t>]% ([</w:t>
            </w:r>
            <w:r w:rsidRPr="006C1BF4">
              <w:rPr>
                <w:rFonts w:ascii="Arial" w:hAnsi="Arial" w:cs="Arial"/>
                <w:sz w:val="22"/>
                <w:szCs w:val="22"/>
                <w:highlight w:val="yellow"/>
              </w:rPr>
              <w:t>--</w:t>
            </w:r>
            <w:r w:rsidRPr="00FD210D">
              <w:rPr>
                <w:rFonts w:ascii="Arial" w:hAnsi="Arial" w:cs="Arial"/>
                <w:sz w:val="22"/>
                <w:szCs w:val="22"/>
              </w:rPr>
              <w:t>] por cento)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7BB5D0B9" w14:textId="77777777" w:rsidR="00666E18" w:rsidRDefault="00666E18" w:rsidP="00323DF7">
            <w:pPr>
              <w:spacing w:line="320" w:lineRule="exact"/>
              <w:jc w:val="both"/>
              <w:rPr>
                <w:rStyle w:val="CabealhoChar"/>
                <w:rFonts w:cs="Arial"/>
                <w:sz w:val="22"/>
                <w:szCs w:val="22"/>
              </w:rPr>
            </w:pPr>
          </w:p>
          <w:p w14:paraId="09155627" w14:textId="77777777" w:rsidR="00666E18" w:rsidRPr="00653F74" w:rsidRDefault="00666E18" w:rsidP="00323DF7">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FD210D">
              <w:rPr>
                <w:rFonts w:ascii="Arial" w:hAnsi="Arial" w:cs="Arial"/>
                <w:sz w:val="22"/>
                <w:szCs w:val="22"/>
                <w:highlight w:val="yellow"/>
              </w:rPr>
              <w:t>--</w:t>
            </w:r>
            <w:r w:rsidRPr="00FD210D">
              <w:rPr>
                <w:rFonts w:ascii="Arial" w:hAnsi="Arial" w:cs="Arial"/>
                <w:sz w:val="22"/>
                <w:szCs w:val="22"/>
              </w:rPr>
              <w:t>]% ([</w:t>
            </w:r>
            <w:r w:rsidRPr="00FD210D">
              <w:rPr>
                <w:rFonts w:ascii="Arial" w:hAnsi="Arial" w:cs="Arial"/>
                <w:sz w:val="22"/>
                <w:szCs w:val="22"/>
                <w:highlight w:val="yellow"/>
              </w:rPr>
              <w:t>--</w:t>
            </w:r>
            <w:r w:rsidRPr="00FD210D">
              <w:rPr>
                <w:rFonts w:ascii="Arial" w:hAnsi="Arial" w:cs="Arial"/>
                <w:sz w:val="22"/>
                <w:szCs w:val="22"/>
              </w:rPr>
              <w:t>] por cento)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lastRenderedPageBreak/>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6C1BF4">
              <w:rPr>
                <w:rFonts w:ascii="Arial" w:hAnsi="Arial" w:cs="Arial"/>
                <w:sz w:val="22"/>
                <w:szCs w:val="22"/>
                <w:highlight w:val="yellow"/>
              </w:rPr>
              <w:t>--</w:t>
            </w:r>
            <w:r w:rsidRPr="00FD210D">
              <w:rPr>
                <w:rFonts w:ascii="Arial" w:hAnsi="Arial" w:cs="Arial"/>
                <w:sz w:val="22"/>
                <w:szCs w:val="22"/>
              </w:rPr>
              <w:t>]% ([</w:t>
            </w:r>
            <w:r w:rsidRPr="006C1BF4">
              <w:rPr>
                <w:rFonts w:ascii="Arial" w:hAnsi="Arial" w:cs="Arial"/>
                <w:sz w:val="22"/>
                <w:szCs w:val="22"/>
                <w:highlight w:val="yellow"/>
              </w:rPr>
              <w:t>--</w:t>
            </w:r>
            <w:r w:rsidRPr="00FD210D">
              <w:rPr>
                <w:rFonts w:ascii="Arial" w:hAnsi="Arial" w:cs="Arial"/>
                <w:sz w:val="22"/>
                <w:szCs w:val="22"/>
              </w:rPr>
              <w:t>] por cento)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666E18" w:rsidRPr="00CC74C9" w14:paraId="3EF9D15A" w14:textId="77777777" w:rsidTr="00323DF7">
        <w:tc>
          <w:tcPr>
            <w:tcW w:w="2937" w:type="dxa"/>
            <w:tcMar>
              <w:top w:w="0" w:type="dxa"/>
              <w:left w:w="28" w:type="dxa"/>
              <w:bottom w:w="0" w:type="dxa"/>
              <w:right w:w="28" w:type="dxa"/>
            </w:tcMar>
          </w:tcPr>
          <w:p w14:paraId="3BD9E699" w14:textId="77777777" w:rsidR="00666E18" w:rsidRPr="00653F74" w:rsidRDefault="00666E18"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31705F03" w14:textId="77777777" w:rsidR="00666E18" w:rsidRPr="00653F74" w:rsidRDefault="00666E18" w:rsidP="00323DF7">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666E18" w:rsidRPr="00CC74C9" w14:paraId="40AF3391" w14:textId="77777777" w:rsidTr="00323DF7">
        <w:tc>
          <w:tcPr>
            <w:tcW w:w="2937" w:type="dxa"/>
            <w:tcMar>
              <w:top w:w="0" w:type="dxa"/>
              <w:left w:w="28" w:type="dxa"/>
              <w:bottom w:w="0" w:type="dxa"/>
              <w:right w:w="28" w:type="dxa"/>
            </w:tcMar>
          </w:tcPr>
          <w:p w14:paraId="10E14CAE" w14:textId="77777777" w:rsidR="00666E18" w:rsidRPr="00653F74" w:rsidRDefault="00666E18" w:rsidP="00323DF7">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2E4760AA" w14:textId="77777777" w:rsidR="00666E18" w:rsidRDefault="00666E18" w:rsidP="00323DF7">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25" w:name="_Hlk45735546"/>
            <w:r w:rsidRPr="00E65A9F">
              <w:rPr>
                <w:rFonts w:ascii="Arial" w:hAnsi="Arial" w:cs="Arial"/>
                <w:bCs/>
                <w:sz w:val="22"/>
                <w:szCs w:val="22"/>
                <w:u w:val="single"/>
              </w:rPr>
              <w:t>Data de Pagamento da Remuneração das Debêntures da Primeira Série</w:t>
            </w:r>
            <w:bookmarkEnd w:id="25"/>
            <w:r w:rsidRPr="00E65A9F">
              <w:rPr>
                <w:rFonts w:ascii="Arial" w:hAnsi="Arial" w:cs="Arial"/>
                <w:sz w:val="22"/>
                <w:szCs w:val="22"/>
              </w:rPr>
              <w:t>”)</w:t>
            </w:r>
            <w:r>
              <w:rPr>
                <w:rFonts w:ascii="Arial" w:hAnsi="Arial" w:cs="Arial"/>
                <w:sz w:val="22"/>
                <w:szCs w:val="22"/>
              </w:rPr>
              <w:t>.</w:t>
            </w:r>
          </w:p>
          <w:p w14:paraId="03542F1B" w14:textId="77777777" w:rsidR="00666E18" w:rsidRDefault="00666E18" w:rsidP="00323DF7">
            <w:pPr>
              <w:spacing w:line="320" w:lineRule="exact"/>
              <w:jc w:val="both"/>
              <w:rPr>
                <w:rFonts w:ascii="Arial" w:hAnsi="Arial" w:cs="Arial"/>
                <w:snapToGrid w:val="0"/>
                <w:sz w:val="22"/>
                <w:szCs w:val="22"/>
              </w:rPr>
            </w:pPr>
          </w:p>
          <w:p w14:paraId="4F9FCE03" w14:textId="77777777" w:rsidR="00666E18" w:rsidRPr="00653F74" w:rsidRDefault="00666E18" w:rsidP="00323DF7">
            <w:pPr>
              <w:spacing w:line="320" w:lineRule="exact"/>
              <w:jc w:val="both"/>
              <w:rPr>
                <w:rFonts w:ascii="Arial" w:hAnsi="Arial" w:cs="Arial"/>
                <w:snapToGrid w:val="0"/>
                <w:sz w:val="22"/>
                <w:szCs w:val="22"/>
              </w:rPr>
            </w:pPr>
            <w:r w:rsidRPr="00E65A9F">
              <w:rPr>
                <w:rFonts w:ascii="Arial" w:hAnsi="Arial" w:cs="Arial"/>
                <w:snapToGrid w:val="0"/>
                <w:sz w:val="22"/>
                <w:szCs w:val="22"/>
              </w:rPr>
              <w:t xml:space="preserve">Ressalvadas as hipóteses de vencimento antecipado das obrigações decorrentes das Debêntures, nos termos previstos na Escritura de Emissão, a Remuneração das Debêntures da Segunda Série será paga, semestralmente, sempre no dia 15 dos meses de outubro e abril de cada ano sendo o primeiro </w:t>
            </w:r>
            <w:r w:rsidRPr="00E65A9F">
              <w:rPr>
                <w:rFonts w:ascii="Arial" w:hAnsi="Arial" w:cs="Arial"/>
                <w:snapToGrid w:val="0"/>
                <w:sz w:val="22"/>
                <w:szCs w:val="22"/>
              </w:rPr>
              <w:lastRenderedPageBreak/>
              <w:t>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666E18" w:rsidRPr="00CC74C9" w14:paraId="3F1C872B" w14:textId="77777777" w:rsidTr="00323DF7">
        <w:tc>
          <w:tcPr>
            <w:tcW w:w="2937" w:type="dxa"/>
            <w:tcMar>
              <w:top w:w="0" w:type="dxa"/>
              <w:left w:w="28" w:type="dxa"/>
              <w:bottom w:w="0" w:type="dxa"/>
              <w:right w:w="28" w:type="dxa"/>
            </w:tcMar>
          </w:tcPr>
          <w:p w14:paraId="1C5A106E" w14:textId="77777777" w:rsidR="00666E18" w:rsidRPr="00653F74" w:rsidRDefault="00666E18" w:rsidP="00323DF7">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4634FBC4" w14:textId="77777777" w:rsidR="00666E18" w:rsidRPr="00653F74" w:rsidRDefault="00666E18" w:rsidP="00323DF7">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79AB63B1" w14:textId="77777777" w:rsidR="00666E18" w:rsidRPr="0053614B" w:rsidRDefault="00666E18" w:rsidP="00323DF7">
            <w:pPr>
              <w:spacing w:line="320" w:lineRule="exact"/>
              <w:jc w:val="both"/>
              <w:rPr>
                <w:rFonts w:ascii="Arial" w:hAnsi="Arial" w:cs="Arial"/>
                <w:iCs/>
                <w:sz w:val="22"/>
                <w:szCs w:val="22"/>
              </w:rPr>
            </w:pPr>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666E18" w:rsidRPr="00CC74C9" w14:paraId="7A8FE146" w14:textId="77777777" w:rsidTr="00323DF7">
        <w:tc>
          <w:tcPr>
            <w:tcW w:w="2937" w:type="dxa"/>
            <w:tcMar>
              <w:top w:w="0" w:type="dxa"/>
              <w:left w:w="28" w:type="dxa"/>
              <w:bottom w:w="0" w:type="dxa"/>
              <w:right w:w="28" w:type="dxa"/>
            </w:tcMar>
          </w:tcPr>
          <w:p w14:paraId="447A5EDA" w14:textId="77777777" w:rsidR="00666E18" w:rsidRPr="00653F74" w:rsidRDefault="00666E18" w:rsidP="00323DF7">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2595B00E" w14:textId="77777777" w:rsidR="00666E18" w:rsidRPr="00653F74" w:rsidRDefault="00666E18" w:rsidP="00323DF7">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666E18" w:rsidRPr="00CC74C9" w14:paraId="010DEDD9" w14:textId="77777777" w:rsidTr="00323DF7">
        <w:tc>
          <w:tcPr>
            <w:tcW w:w="2937" w:type="dxa"/>
            <w:tcMar>
              <w:top w:w="0" w:type="dxa"/>
              <w:left w:w="28" w:type="dxa"/>
              <w:bottom w:w="0" w:type="dxa"/>
              <w:right w:w="28" w:type="dxa"/>
            </w:tcMar>
          </w:tcPr>
          <w:p w14:paraId="7CC2329C" w14:textId="77777777" w:rsidR="00666E18" w:rsidRPr="00653F74" w:rsidRDefault="00666E18" w:rsidP="00323DF7">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411C985D" w14:textId="77777777" w:rsidR="00666E18" w:rsidRPr="00653F74" w:rsidRDefault="00666E18" w:rsidP="00323DF7">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p>
        </w:tc>
      </w:tr>
    </w:tbl>
    <w:p w14:paraId="4778F422" w14:textId="77777777" w:rsidR="00666E18" w:rsidRDefault="00666E18" w:rsidP="002C5A68">
      <w:pPr>
        <w:spacing w:before="120"/>
        <w:jc w:val="center"/>
        <w:rPr>
          <w:rFonts w:ascii="Arial" w:hAnsi="Arial" w:cs="Arial"/>
          <w:b/>
          <w:sz w:val="22"/>
          <w:szCs w:val="22"/>
        </w:rPr>
      </w:pPr>
    </w:p>
    <w:sectPr w:rsidR="00666E18"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5EB6B" w14:textId="77777777" w:rsidR="00C26209" w:rsidRDefault="00C26209">
      <w:r>
        <w:separator/>
      </w:r>
    </w:p>
  </w:endnote>
  <w:endnote w:type="continuationSeparator" w:id="0">
    <w:p w14:paraId="647A5781" w14:textId="77777777" w:rsidR="00C26209" w:rsidRDefault="00C2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03C9" w14:textId="77777777" w:rsidR="00687010" w:rsidRDefault="006870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687010" w:rsidRDefault="0068701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EDB9" w14:textId="77777777" w:rsidR="00687010" w:rsidRDefault="00687010" w:rsidP="00BF78C0">
    <w:pPr>
      <w:pStyle w:val="Rodap"/>
      <w:jc w:val="right"/>
      <w:rPr>
        <w:rFonts w:ascii="Arial" w:hAnsi="Arial" w:cs="Arial"/>
      </w:rPr>
    </w:pPr>
  </w:p>
  <w:p w14:paraId="0618846A" w14:textId="77777777" w:rsidR="00687010" w:rsidRPr="004E4597" w:rsidRDefault="00687010"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A2611A">
      <w:rPr>
        <w:rFonts w:ascii="Arial" w:hAnsi="Arial" w:cs="Arial"/>
        <w:bCs/>
        <w:noProof/>
        <w:sz w:val="16"/>
        <w:szCs w:val="16"/>
      </w:rPr>
      <w:t>32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A2611A">
      <w:rPr>
        <w:rFonts w:ascii="Arial" w:hAnsi="Arial" w:cs="Arial"/>
        <w:bCs/>
        <w:noProof/>
        <w:sz w:val="16"/>
        <w:szCs w:val="16"/>
      </w:rPr>
      <w:t>32</w:t>
    </w:r>
    <w:r w:rsidRPr="004E4597">
      <w:rPr>
        <w:rFonts w:ascii="Arial" w:hAnsi="Arial" w:cs="Arial"/>
        <w:bCs/>
        <w:sz w:val="16"/>
        <w:szCs w:val="16"/>
      </w:rPr>
      <w:fldChar w:fldCharType="end"/>
    </w:r>
  </w:p>
  <w:p w14:paraId="6F34B259" w14:textId="77777777" w:rsidR="00687010" w:rsidRDefault="00687010"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4A" w14:textId="77777777" w:rsidR="00687010" w:rsidRDefault="00687010" w:rsidP="005D33BD">
    <w:pPr>
      <w:pStyle w:val="Rodap"/>
      <w:rPr>
        <w:rFonts w:ascii="Arial" w:hAnsi="Arial" w:cs="Arial"/>
        <w:sz w:val="18"/>
        <w:szCs w:val="18"/>
      </w:rPr>
    </w:pPr>
  </w:p>
  <w:p w14:paraId="16E7047D" w14:textId="77777777" w:rsidR="00687010" w:rsidRDefault="00687010"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A2611A">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A2611A">
      <w:rPr>
        <w:rFonts w:ascii="Arial" w:hAnsi="Arial" w:cs="Arial"/>
        <w:b/>
        <w:bCs/>
        <w:noProof/>
        <w:sz w:val="18"/>
        <w:szCs w:val="18"/>
      </w:rPr>
      <w:t>32</w:t>
    </w:r>
    <w:r w:rsidRPr="00E17393">
      <w:rPr>
        <w:rFonts w:ascii="Arial" w:hAnsi="Arial" w:cs="Arial"/>
        <w:b/>
        <w:bCs/>
        <w:sz w:val="18"/>
        <w:szCs w:val="18"/>
      </w:rPr>
      <w:fldChar w:fldCharType="end"/>
    </w:r>
  </w:p>
  <w:p w14:paraId="37A3ED74" w14:textId="77777777" w:rsidR="00687010" w:rsidRDefault="006870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0473A" w14:textId="77777777" w:rsidR="00C26209" w:rsidRDefault="00C26209">
      <w:r>
        <w:separator/>
      </w:r>
    </w:p>
  </w:footnote>
  <w:footnote w:type="continuationSeparator" w:id="0">
    <w:p w14:paraId="6017DF96" w14:textId="77777777" w:rsidR="00C26209" w:rsidRDefault="00C2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1B08" w14:textId="77777777" w:rsidR="00687010" w:rsidRDefault="00687010"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687010" w:rsidRDefault="0068701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1B3D" w14:textId="77777777" w:rsidR="00687010" w:rsidRDefault="00666E18"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6452265" r:id="rId2"/>
      </w:object>
    </w:r>
  </w:p>
  <w:p w14:paraId="214F6EB5" w14:textId="77777777" w:rsidR="00687010" w:rsidRDefault="00687010"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50111C66" w:rsidR="00687010" w:rsidRPr="002E3269" w:rsidRDefault="00687010"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687010" w:rsidRDefault="00687010" w:rsidP="005D33BD">
    <w:pPr>
      <w:tabs>
        <w:tab w:val="center" w:pos="4252"/>
        <w:tab w:val="right" w:pos="8504"/>
      </w:tabs>
      <w:rPr>
        <w:rFonts w:ascii="Optimum" w:hAnsi="Optimum"/>
        <w:b/>
        <w:bCs/>
        <w:sz w:val="18"/>
        <w:szCs w:val="18"/>
      </w:rPr>
    </w:pPr>
  </w:p>
  <w:p w14:paraId="4C851D27" w14:textId="77777777" w:rsidR="00687010" w:rsidRDefault="00687010" w:rsidP="00AB31EA">
    <w:pPr>
      <w:pStyle w:val="Cabealho"/>
      <w:spacing w:line="14" w:lineRule="exact"/>
    </w:pPr>
  </w:p>
  <w:p w14:paraId="29BC322B" w14:textId="77777777" w:rsidR="00687010" w:rsidRDefault="00687010" w:rsidP="00AB31EA">
    <w:pPr>
      <w:pStyle w:val="Cabealho"/>
      <w:spacing w:line="14" w:lineRule="exact"/>
    </w:pPr>
  </w:p>
  <w:p w14:paraId="33DD5CA9" w14:textId="77777777" w:rsidR="00687010" w:rsidRDefault="00687010" w:rsidP="00AB31EA">
    <w:pPr>
      <w:pStyle w:val="Cabealho"/>
      <w:spacing w:line="14" w:lineRule="exact"/>
    </w:pPr>
  </w:p>
  <w:p w14:paraId="4E388C58" w14:textId="77777777" w:rsidR="00687010" w:rsidRDefault="00687010"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DE0A" w14:textId="32577801" w:rsidR="00687010" w:rsidRPr="00212572" w:rsidRDefault="00666E18"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6452266" r:id="rId2"/>
      </w:object>
    </w:r>
  </w:p>
  <w:p w14:paraId="71DD0E61" w14:textId="77777777" w:rsidR="00687010" w:rsidRDefault="006870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40"/>
  </w:num>
  <w:num w:numId="20">
    <w:abstractNumId w:val="32"/>
  </w:num>
  <w:num w:numId="21">
    <w:abstractNumId w:val="2"/>
  </w:num>
  <w:num w:numId="22">
    <w:abstractNumId w:val="42"/>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1"/>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A996-DA10-4DAC-86F4-CD5B69E9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12422</Words>
  <Characters>69093</Characters>
  <Application>Microsoft Office Word</Application>
  <DocSecurity>4</DocSecurity>
  <Lines>575</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81353</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2</cp:revision>
  <cp:lastPrinted>2018-05-22T17:59:00Z</cp:lastPrinted>
  <dcterms:created xsi:type="dcterms:W3CDTF">2020-07-17T03:49:00Z</dcterms:created>
  <dcterms:modified xsi:type="dcterms:W3CDTF">2020-07-17T03:49:00Z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