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lang w:val="pt-BR" w:eastAsia="pt-BR"/>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5ED02A03" w:rsidR="00C35211" w:rsidRPr="00B71D1B" w:rsidRDefault="00C35211" w:rsidP="003A7F0D">
      <w:pPr>
        <w:pStyle w:val="Body"/>
        <w:tabs>
          <w:tab w:val="left" w:pos="4253"/>
        </w:tabs>
        <w:spacing w:after="0" w:line="320" w:lineRule="exact"/>
        <w:rPr>
          <w:rFonts w:ascii="Garamond" w:hAnsi="Garamond"/>
          <w:b/>
          <w:sz w:val="24"/>
        </w:rPr>
      </w:pPr>
      <w:r w:rsidRPr="00B71D1B">
        <w:rPr>
          <w:rFonts w:ascii="Garamond" w:hAnsi="Garamond"/>
          <w:b/>
          <w:sz w:val="24"/>
        </w:rPr>
        <w:t xml:space="preserve">PRIMEIRO ADITAMENTO </w:t>
      </w:r>
      <w:r w:rsidR="00BD0F62" w:rsidRPr="00B71D1B">
        <w:rPr>
          <w:rFonts w:ascii="Garamond" w:hAnsi="Garamond"/>
          <w:b/>
          <w:sz w:val="24"/>
        </w:rPr>
        <w:t>À</w:t>
      </w:r>
      <w:r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0" w:name="_DV_M1"/>
      <w:bookmarkEnd w:id="0"/>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1" w:name="_DV_M2"/>
      <w:bookmarkEnd w:id="1"/>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2" w:name="_DV_M3"/>
      <w:bookmarkEnd w:id="2"/>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5824B0" w:rsidR="00C35211" w:rsidRPr="00B71D1B" w:rsidRDefault="0031766B" w:rsidP="003A7F0D">
      <w:pPr>
        <w:pStyle w:val="CM3"/>
        <w:spacing w:line="320" w:lineRule="exact"/>
        <w:jc w:val="center"/>
        <w:rPr>
          <w:rFonts w:ascii="Garamond" w:hAnsi="Garamond" w:cs="Arial"/>
          <w:color w:val="000000"/>
        </w:rPr>
      </w:pP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w:t>
      </w: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72E890E0"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BD0F62" w:rsidRPr="00B71D1B">
        <w:rPr>
          <w:rFonts w:ascii="Garamond" w:hAnsi="Garamond"/>
          <w:b/>
        </w:rPr>
        <w:lastRenderedPageBreak/>
        <w:t>PRIMEIRO ADITAMENTO À ESCRITURA</w:t>
      </w:r>
      <w:bookmarkStart w:id="3" w:name="_GoBack"/>
      <w:bookmarkEnd w:id="3"/>
      <w:r w:rsidR="00BD0F62" w:rsidRPr="00B71D1B">
        <w:rPr>
          <w:rFonts w:ascii="Garamond" w:hAnsi="Garamond"/>
          <w:b/>
        </w:rPr>
        <w:t xml:space="preserve">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xml:space="preserve">”), com sede na Rua Paschoal Apóstolo </w:t>
      </w:r>
      <w:proofErr w:type="spellStart"/>
      <w:r w:rsidRPr="00B71D1B">
        <w:rPr>
          <w:rFonts w:ascii="Garamond" w:hAnsi="Garamond"/>
          <w:sz w:val="24"/>
          <w:lang w:eastAsia="en-US"/>
        </w:rPr>
        <w:t>Pítsica</w:t>
      </w:r>
      <w:proofErr w:type="spellEnd"/>
      <w:r w:rsidRPr="00B71D1B">
        <w:rPr>
          <w:rFonts w:ascii="Garamond" w:hAnsi="Garamond"/>
          <w:sz w:val="24"/>
          <w:lang w:eastAsia="en-US"/>
        </w:rPr>
        <w:t>,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w:t>
      </w:r>
      <w:proofErr w:type="spellStart"/>
      <w:r w:rsidRPr="00B71D1B">
        <w:rPr>
          <w:rFonts w:ascii="Garamond" w:hAnsi="Garamond"/>
          <w:sz w:val="24"/>
        </w:rPr>
        <w:t>Pítsica</w:t>
      </w:r>
      <w:proofErr w:type="spellEnd"/>
      <w:r w:rsidRPr="00B71D1B">
        <w:rPr>
          <w:rFonts w:ascii="Garamond" w:hAnsi="Garamond"/>
          <w:sz w:val="24"/>
        </w:rPr>
        <w:t>,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3CAB3CE6" w:rsidR="00C35211" w:rsidRPr="00B71D1B" w:rsidRDefault="00C35211" w:rsidP="003A7F0D">
      <w:pPr>
        <w:pStyle w:val="Recitals"/>
        <w:keepNext/>
        <w:keepLines/>
        <w:numPr>
          <w:ilvl w:val="0"/>
          <w:numId w:val="91"/>
        </w:numPr>
        <w:tabs>
          <w:tab w:val="left" w:pos="709"/>
        </w:tabs>
        <w:autoSpaceDE/>
        <w:autoSpaceDN/>
        <w:adjustRightInd/>
        <w:spacing w:line="320" w:lineRule="exact"/>
        <w:ind w:left="709"/>
        <w:jc w:val="both"/>
        <w:rPr>
          <w:rFonts w:ascii="Garamond" w:hAnsi="Garamond"/>
        </w:rPr>
      </w:pPr>
      <w:r w:rsidRPr="00B71D1B">
        <w:rPr>
          <w:rFonts w:ascii="Garamond" w:hAnsi="Garamond"/>
        </w:rPr>
        <w:t xml:space="preserve">as Partes celebraram, em </w:t>
      </w:r>
      <w:r w:rsidR="0082035B" w:rsidRPr="00B71D1B">
        <w:rPr>
          <w:rFonts w:ascii="Garamond" w:hAnsi="Garamond"/>
        </w:rPr>
        <w:t>[--]</w:t>
      </w:r>
      <w:r w:rsidR="00174341" w:rsidRPr="00B71D1B">
        <w:rPr>
          <w:rFonts w:ascii="Garamond" w:hAnsi="Garamond"/>
        </w:rPr>
        <w:t xml:space="preserve"> de </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 (“</w:t>
      </w:r>
      <w:r w:rsidRPr="00B71D1B">
        <w:rPr>
          <w:rFonts w:ascii="Garamond" w:hAnsi="Garamond"/>
          <w:u w:val="single"/>
        </w:rPr>
        <w:t>Escritura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91497E" w:rsidRPr="00B71D1B">
        <w:rPr>
          <w:rFonts w:ascii="Garamond" w:hAnsi="Garamond"/>
          <w:lang w:eastAsia="en-US"/>
        </w:rPr>
        <w:t>[--]</w:t>
      </w:r>
      <w:r w:rsidR="00174341" w:rsidRPr="00B71D1B">
        <w:rPr>
          <w:rFonts w:ascii="Garamond" w:hAnsi="Garamond"/>
          <w:lang w:eastAsia="en-US"/>
        </w:rPr>
        <w:t xml:space="preserve"> 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91497E" w:rsidRPr="00B71D1B">
        <w:rPr>
          <w:rFonts w:ascii="Garamond" w:hAnsi="Garamond"/>
          <w:lang w:eastAsia="en-US"/>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3AD9995E"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 xml:space="preserve">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proofErr w:type="spellStart"/>
      <w:r w:rsidRPr="00B71D1B">
        <w:rPr>
          <w:rFonts w:ascii="Garamond" w:hAnsi="Garamond"/>
          <w:i/>
        </w:rPr>
        <w:t>Bookbuilding</w:t>
      </w:r>
      <w:proofErr w:type="spellEnd"/>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w:t>
      </w:r>
      <w:proofErr w:type="spellStart"/>
      <w:r w:rsidR="0091497E" w:rsidRPr="00B71D1B">
        <w:rPr>
          <w:rFonts w:ascii="Garamond" w:hAnsi="Garamond"/>
        </w:rPr>
        <w:t>ii</w:t>
      </w:r>
      <w:proofErr w:type="spellEnd"/>
      <w:r w:rsidR="0091497E" w:rsidRPr="00B71D1B">
        <w:rPr>
          <w:rFonts w:ascii="Garamond" w:hAnsi="Garamond"/>
        </w:rPr>
        <w:t>)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proofErr w:type="spellStart"/>
      <w:r w:rsidRPr="00B71D1B">
        <w:rPr>
          <w:rFonts w:ascii="Garamond" w:hAnsi="Garamond"/>
          <w:i/>
          <w:lang w:eastAsia="en-US"/>
        </w:rPr>
        <w:t>Bookbuilding</w:t>
      </w:r>
      <w:proofErr w:type="spellEnd"/>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48DD8A15"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020E9F" w:rsidRPr="00B71D1B">
        <w:rPr>
          <w:rFonts w:ascii="Garamond" w:hAnsi="Garamond" w:cs="Arial"/>
          <w:i/>
          <w:iCs/>
        </w:rPr>
        <w:t>Primeiro Aditamento à</w:t>
      </w:r>
      <w:r w:rsidR="00020E9F" w:rsidRPr="00B71D1B">
        <w:rPr>
          <w:rFonts w:ascii="Garamond" w:hAnsi="Garamond" w:cs="Arial"/>
        </w:rPr>
        <w:t xml:space="preserve"> </w:t>
      </w:r>
      <w:r w:rsidR="0082035B" w:rsidRPr="00B71D1B">
        <w:rPr>
          <w:rFonts w:ascii="Garamond" w:hAnsi="Garamond"/>
          <w:i/>
        </w:rPr>
        <w:t>Escritura Particular da 2ª (Segunda) Emissão de Debêntures Simples, Não Conversíveis em Ações, da Espécie com Garantia Real, com Garantia Adicional Fidejussória, para Distribuição Pública, em Duas Séries, da Usina Termelétrica Pampa Sul S.A.</w:t>
      </w:r>
      <w:r w:rsidRPr="00B71D1B">
        <w:rPr>
          <w:rFonts w:ascii="Garamond" w:hAnsi="Garamond" w:cs="Arial"/>
        </w:rPr>
        <w:t>” (“</w:t>
      </w:r>
      <w:r w:rsidRPr="00B71D1B">
        <w:rPr>
          <w:rFonts w:ascii="Garamond" w:hAnsi="Garamond" w:cs="Arial"/>
          <w:u w:val="single"/>
        </w:rPr>
        <w:t>Primeiro Aditamento</w:t>
      </w:r>
      <w:r w:rsidRPr="00B71D1B">
        <w:rPr>
          <w:rFonts w:ascii="Garamond" w:hAnsi="Garamond" w:cs="Arial"/>
        </w:rPr>
        <w:t>”), mediante as cláusulas e condições a seguir.</w:t>
      </w:r>
    </w:p>
    <w:p w14:paraId="535E8973"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77777777"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Os termos aqui iniciados em letra maiúscula, estejam no singular ou no plural, terão o significado a eles atribuído neste Primeiro 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22E6656E"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O presente Primeiro 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568BC136"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Primeiro 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Primeiro 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3346217A"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também deverá ser registrad</w:t>
      </w:r>
      <w:r>
        <w:rPr>
          <w:rFonts w:ascii="Garamond" w:hAnsi="Garamond" w:cs="Arial"/>
          <w:sz w:val="24"/>
        </w:rPr>
        <w:t>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proofErr w:type="spellStart"/>
      <w:r w:rsidRPr="00D63614">
        <w:rPr>
          <w:rFonts w:ascii="Garamond" w:hAnsi="Garamond"/>
          <w:b/>
          <w:sz w:val="24"/>
        </w:rPr>
        <w:t>RTDs</w:t>
      </w:r>
      <w:proofErr w:type="spellEnd"/>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ser protocolado nos competentes </w:t>
      </w:r>
      <w:proofErr w:type="spellStart"/>
      <w:r w:rsidRPr="00D63614">
        <w:rPr>
          <w:rFonts w:ascii="Garamond" w:hAnsi="Garamond" w:cs="Arial"/>
          <w:sz w:val="24"/>
        </w:rPr>
        <w:t>RTDs</w:t>
      </w:r>
      <w:proofErr w:type="spellEnd"/>
      <w:r w:rsidRPr="00D63614">
        <w:rPr>
          <w:rFonts w:ascii="Garamond" w:hAnsi="Garamond" w:cs="Arial"/>
          <w:sz w:val="24"/>
        </w:rPr>
        <w:t xml:space="preserve">, em até 7 (sete) Dias Úteis contados da sua respectiva data de celebração, obrigando-se a Emissora a enviar 1 (uma) via original devidamente registrada em cada um dos </w:t>
      </w:r>
      <w:proofErr w:type="spellStart"/>
      <w:r w:rsidRPr="00D63614">
        <w:rPr>
          <w:rFonts w:ascii="Garamond" w:hAnsi="Garamond" w:cs="Arial"/>
          <w:sz w:val="24"/>
        </w:rPr>
        <w:t>RTDs</w:t>
      </w:r>
      <w:proofErr w:type="spellEnd"/>
      <w:r w:rsidRPr="00D63614">
        <w:rPr>
          <w:rFonts w:ascii="Garamond" w:hAnsi="Garamond" w:cs="Arial"/>
          <w:sz w:val="24"/>
        </w:rPr>
        <w:t xml:space="preserve"> para o Agente Fiduciário em até 5 (cinco) Dias Úteis contados dos respectivos registros. </w:t>
      </w:r>
    </w:p>
    <w:p w14:paraId="2FAC2203" w14:textId="77777777" w:rsidR="00440E10" w:rsidRPr="00B71D1B" w:rsidRDefault="00440E10" w:rsidP="003A7F0D">
      <w:pPr>
        <w:pStyle w:val="Level2"/>
        <w:numPr>
          <w:ilvl w:val="0"/>
          <w:numId w:val="0"/>
        </w:numPr>
        <w:spacing w:after="0" w:line="320" w:lineRule="exact"/>
        <w:rPr>
          <w:rFonts w:ascii="Garamond" w:hAnsi="Garamond"/>
          <w:sz w:val="24"/>
        </w:rPr>
      </w:pPr>
    </w:p>
    <w:p w14:paraId="64A261BD" w14:textId="4A6A50F1" w:rsidR="00003B7D" w:rsidRPr="00B71D1B" w:rsidRDefault="00003B7D">
      <w:pPr>
        <w:pStyle w:val="Level2"/>
        <w:numPr>
          <w:ilvl w:val="0"/>
          <w:numId w:val="0"/>
        </w:numPr>
        <w:spacing w:after="0" w:line="320" w:lineRule="exact"/>
        <w:rPr>
          <w:rFonts w:ascii="Garamond" w:hAnsi="Garamond" w:cs="Arial"/>
          <w:color w:val="000000"/>
          <w:sz w:val="24"/>
        </w:rPr>
      </w:pP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4"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em [--] de [--]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41226D" w:rsidRPr="00B71D1B">
        <w:rPr>
          <w:rFonts w:ascii="Garamond" w:hAnsi="Garamond"/>
          <w:i/>
          <w:iCs/>
          <w:sz w:val="24"/>
        </w:rPr>
        <w:t xml:space="preserve"> e em [--] de [--] de 2020, sob o nº [--],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w:t>
      </w:r>
      <w:proofErr w:type="spellStart"/>
      <w:r w:rsidR="00336507" w:rsidRPr="00B71D1B">
        <w:rPr>
          <w:rFonts w:ascii="Garamond" w:hAnsi="Garamond"/>
          <w:i/>
          <w:iCs/>
          <w:sz w:val="24"/>
        </w:rPr>
        <w:t>ii</w:t>
      </w:r>
      <w:proofErr w:type="spellEnd"/>
      <w:r w:rsidR="00336507" w:rsidRPr="00B71D1B">
        <w:rPr>
          <w:rFonts w:ascii="Garamond" w:hAnsi="Garamond"/>
          <w:i/>
          <w:iCs/>
          <w:sz w:val="24"/>
        </w:rPr>
        <w:t xml:space="preserve">)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4"/>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lastRenderedPageBreak/>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46B7B72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5" w:name="_Hlk9354290"/>
      <w:r w:rsidR="00EC51A7" w:rsidRPr="00B71D1B">
        <w:rPr>
          <w:rFonts w:ascii="Garamond" w:hAnsi="Garamond"/>
          <w:i/>
          <w:sz w:val="24"/>
          <w:lang w:val="pt-BR"/>
        </w:rPr>
        <w:t xml:space="preserve">A presente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7F63E5" w:rsidRPr="00B71D1B">
        <w:rPr>
          <w:rFonts w:ascii="Garamond" w:hAnsi="Garamond"/>
          <w:i/>
          <w:sz w:val="24"/>
          <w:lang w:val="pt-BR"/>
        </w:rPr>
        <w:t>[--]</w:t>
      </w:r>
      <w:r w:rsidRPr="00B71D1B">
        <w:rPr>
          <w:rFonts w:ascii="Garamond" w:hAnsi="Garamond"/>
          <w:i/>
          <w:sz w:val="24"/>
          <w:lang w:val="pt-BR"/>
        </w:rPr>
        <w:t xml:space="preserve"> de </w:t>
      </w:r>
      <w:r w:rsidR="007F63E5" w:rsidRPr="00B71D1B">
        <w:rPr>
          <w:rFonts w:ascii="Garamond" w:hAnsi="Garamond"/>
          <w:i/>
          <w:sz w:val="24"/>
          <w:lang w:val="pt-BR"/>
        </w:rPr>
        <w:t>[--]</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7F63E5" w:rsidRPr="00B71D1B">
        <w:rPr>
          <w:rFonts w:ascii="Garamond" w:hAnsi="Garamond"/>
          <w:i/>
          <w:sz w:val="24"/>
          <w:lang w:val="pt-BR"/>
        </w:rPr>
        <w:t>[--]</w:t>
      </w:r>
      <w:r w:rsidRPr="00B71D1B">
        <w:rPr>
          <w:rFonts w:ascii="Garamond" w:hAnsi="Garamond"/>
          <w:i/>
          <w:sz w:val="24"/>
          <w:lang w:val="pt-BR"/>
        </w:rPr>
        <w:t>.</w:t>
      </w:r>
      <w:bookmarkEnd w:id="5"/>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2BDD9657"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2.5.4 Adicionalmente, em razão da Fiança outorgada pela Fiadora, esta Escritura de Emissão também foi registrada no competente Cartório de Registro de Títulos e Documentos da cidade de Florianópolis, Estado de Santa Catarina e Rio de Janeiro, Estado do Rio de Janeiro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w:t>
      </w:r>
      <w:r w:rsidRPr="00B71D1B">
        <w:rPr>
          <w:rFonts w:ascii="Garamond" w:hAnsi="Garamond"/>
          <w:i/>
          <w:iCs/>
          <w:sz w:val="24"/>
        </w:rPr>
        <w:t>[--] de [--] de 2020, sob o nº [--] e em [--] de [--] de 2020, sob o nº [--], respectivamente</w:t>
      </w:r>
      <w:r w:rsidRPr="00B71D1B">
        <w:rPr>
          <w:rFonts w:ascii="Garamond" w:hAnsi="Garamond"/>
          <w:i/>
          <w:sz w:val="24"/>
          <w:lang w:val="pt-BR"/>
        </w:rPr>
        <w:t xml:space="preserve">, devendo seus eventuais Aditamentos ser protocolados nos competentes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em até 7 (sete) Dias Úteis contados das suas respectivas datas de celebração, obrigando-se a Emissora a enviar 1 (uma) via original devidamente registrada em cada um dos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para o Agente Fiduciário em até 5 (cinco) Dias Úteis contados dos respectivos registros. Após a emissão da Declaração de Conclusão do Projeto e a consequente liberação da Fiança, os registros desta Escritura de Emissão nos </w:t>
      </w:r>
      <w:proofErr w:type="spellStart"/>
      <w:r w:rsidRPr="00B71D1B">
        <w:rPr>
          <w:rFonts w:ascii="Garamond" w:hAnsi="Garamond"/>
          <w:i/>
          <w:sz w:val="24"/>
          <w:lang w:val="pt-BR"/>
        </w:rPr>
        <w:t>RTDs</w:t>
      </w:r>
      <w:proofErr w:type="spellEnd"/>
      <w:r w:rsidRPr="00B71D1B">
        <w:rPr>
          <w:rFonts w:ascii="Garamond" w:hAnsi="Garamond"/>
          <w:i/>
          <w:sz w:val="24"/>
          <w:lang w:val="pt-BR"/>
        </w:rPr>
        <w:t xml:space="preserve">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641FC01E"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6" w:name="_Hlk9354325"/>
      <w:r w:rsidR="00A72496" w:rsidRPr="00B71D1B">
        <w:rPr>
          <w:rFonts w:ascii="Garamond" w:hAnsi="Garamond"/>
          <w:i/>
          <w:sz w:val="24"/>
          <w:lang w:val="pt-BR"/>
        </w:rPr>
        <w:t>Os instrumentos constitutivos das Garantias Reais (conforme definido abaixo) foram registrados nos competentes cartórios de títulos e documentos e de imóveis, de acordo com o inciso III do artigo 62 da Lei das Sociedades por Ações, nos termos e prazos estabelecidos nos respectivos Contratos de Garantia (conforme definido abaixo)”</w:t>
      </w:r>
      <w:bookmarkEnd w:id="6"/>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3A8AE7AE"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7"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 xml:space="preserve">sendo que a </w:t>
      </w:r>
      <w:proofErr w:type="spellStart"/>
      <w:r w:rsidR="001937F0" w:rsidRPr="00B71D1B">
        <w:rPr>
          <w:rStyle w:val="DeltaViewInsertion"/>
          <w:rFonts w:ascii="Garamond" w:hAnsi="Garamond" w:cs="Tahoma"/>
          <w:i/>
          <w:color w:val="auto"/>
          <w:sz w:val="24"/>
          <w:u w:val="none"/>
          <w:lang w:val="pt-BR"/>
        </w:rPr>
        <w:t>a</w:t>
      </w:r>
      <w:proofErr w:type="spellEnd"/>
      <w:r w:rsidR="001937F0" w:rsidRPr="00B71D1B">
        <w:rPr>
          <w:rStyle w:val="DeltaViewInsertion"/>
          <w:rFonts w:ascii="Garamond" w:hAnsi="Garamond" w:cs="Tahoma"/>
          <w:i/>
          <w:color w:val="auto"/>
          <w:sz w:val="24"/>
          <w:u w:val="none"/>
          <w:lang w:val="pt-BR"/>
        </w:rPr>
        <w:t xml:space="preserve">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w:t>
      </w:r>
      <w:proofErr w:type="spellStart"/>
      <w:r w:rsidR="001937F0" w:rsidRPr="00B71D1B">
        <w:rPr>
          <w:rStyle w:val="DeltaViewInsertion"/>
          <w:rFonts w:ascii="Garamond" w:hAnsi="Garamond" w:cs="Tahoma"/>
          <w:i/>
          <w:color w:val="auto"/>
          <w:sz w:val="24"/>
          <w:u w:val="none"/>
          <w:lang w:val="pt-BR"/>
        </w:rPr>
        <w:t>Bookbuilding</w:t>
      </w:r>
      <w:proofErr w:type="spellEnd"/>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7"/>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775D2496"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8"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8"/>
      <w:r w:rsidR="00576399" w:rsidRPr="00B71D1B">
        <w:rPr>
          <w:rFonts w:ascii="Garamond" w:hAnsi="Garamond"/>
          <w:i/>
          <w:sz w:val="24"/>
          <w:lang w:val="pt-BR"/>
        </w:rPr>
        <w:t xml:space="preserve"> Serão emitidas [--] Debêntures da Primeira Série e [--] Debêntures da Segunda Série </w:t>
      </w:r>
      <w:r w:rsidR="00576399" w:rsidRPr="00B71D1B">
        <w:rPr>
          <w:rFonts w:ascii="Garamond" w:hAnsi="Garamond"/>
          <w:i/>
          <w:sz w:val="24"/>
        </w:rPr>
        <w:t xml:space="preserve">observado que a quantidade de Debêntures a ser alocada em cada série foi definida conforme o Procedimento de </w:t>
      </w:r>
      <w:proofErr w:type="spellStart"/>
      <w:r w:rsidR="00576399" w:rsidRPr="00B71D1B">
        <w:rPr>
          <w:rFonts w:ascii="Garamond" w:hAnsi="Garamond"/>
          <w:i/>
          <w:sz w:val="24"/>
        </w:rPr>
        <w:t>Bookbuilding</w:t>
      </w:r>
      <w:proofErr w:type="spellEnd"/>
      <w:r w:rsidR="00576399" w:rsidRPr="00B71D1B">
        <w:rPr>
          <w:rFonts w:ascii="Garamond" w:hAnsi="Garamond"/>
          <w:i/>
          <w:sz w:val="24"/>
        </w:rPr>
        <w:t>.</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9"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w:t>
      </w:r>
      <w:r w:rsidR="003E08A6" w:rsidRPr="00B71D1B">
        <w:rPr>
          <w:rFonts w:ascii="Garamond" w:hAnsi="Garamond"/>
          <w:i/>
        </w:rPr>
        <w:lastRenderedPageBreak/>
        <w:t xml:space="preserve">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 xml:space="preserve">Procedimento de </w:t>
      </w:r>
      <w:proofErr w:type="spellStart"/>
      <w:r w:rsidR="003E08A6" w:rsidRPr="00B71D1B">
        <w:rPr>
          <w:rFonts w:ascii="Garamond" w:hAnsi="Garamond"/>
          <w:i/>
          <w:u w:val="single"/>
        </w:rPr>
        <w:t>Bookbuilding</w:t>
      </w:r>
      <w:proofErr w:type="spellEnd"/>
      <w:r w:rsidR="003E08A6" w:rsidRPr="00B71D1B">
        <w:rPr>
          <w:rFonts w:ascii="Garamond" w:hAnsi="Garamond"/>
          <w:i/>
        </w:rPr>
        <w:t>”), no qual foi definido, junto à Emissora:</w:t>
      </w:r>
      <w:bookmarkEnd w:id="9"/>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60B7E995"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quantidade de Debêntures alocada a 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7E8B3B42"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 xml:space="preserve">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O resultado do Procedimento de </w:t>
      </w:r>
      <w:proofErr w:type="spellStart"/>
      <w:r w:rsidR="003E08A6" w:rsidRPr="00B71D1B">
        <w:rPr>
          <w:rFonts w:ascii="Garamond" w:hAnsi="Garamond"/>
          <w:i/>
        </w:rPr>
        <w:t>Bookbuilding</w:t>
      </w:r>
      <w:proofErr w:type="spellEnd"/>
      <w:r w:rsidR="003E08A6" w:rsidRPr="00B71D1B">
        <w:rPr>
          <w:rFonts w:ascii="Garamond" w:hAnsi="Garamond"/>
          <w:i/>
        </w:rPr>
        <w:t xml:space="preserve"> será divulgado por meio do Anúncio de Início da Oferta, nos termos do artigo 23, parágrafo 2º, da Instrução CVM 400.</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sidRPr="00B71D1B">
        <w:rPr>
          <w:rFonts w:ascii="Garamond" w:hAnsi="Garamond"/>
          <w:i/>
        </w:rPr>
        <w:t>]</w:t>
      </w:r>
      <w:r w:rsidR="003E08A6" w:rsidRPr="00B71D1B">
        <w:rPr>
          <w:rFonts w:ascii="Garamond" w:hAnsi="Garamond"/>
          <w:i/>
        </w:rPr>
        <w:t>.</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10"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 xml:space="preserve">o valor </w:t>
      </w:r>
      <w:r w:rsidR="00AF5F6F" w:rsidRPr="00B71D1B">
        <w:rPr>
          <w:rFonts w:ascii="Garamond" w:hAnsi="Garamond"/>
          <w:i/>
        </w:rPr>
        <w:lastRenderedPageBreak/>
        <w:t>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10"/>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Pr="00B71D1B">
        <w:rPr>
          <w:rFonts w:ascii="Garamond" w:hAnsi="Garamond"/>
          <w:i/>
          <w:sz w:val="24"/>
          <w:lang w:val="pt-BR"/>
        </w:rPr>
        <w:t xml:space="preserve">[--] ([--] 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 xml:space="preserve">será calculada de forma exponencial e cumulativa pro rata </w:t>
      </w:r>
      <w:proofErr w:type="spellStart"/>
      <w:r w:rsidRPr="00B71D1B">
        <w:rPr>
          <w:rFonts w:ascii="Garamond" w:hAnsi="Garamond"/>
          <w:i/>
          <w:sz w:val="24"/>
          <w:lang w:val="pt-BR"/>
        </w:rPr>
        <w:t>temporis</w:t>
      </w:r>
      <w:proofErr w:type="spellEnd"/>
      <w:r w:rsidRPr="00B71D1B">
        <w:rPr>
          <w:rFonts w:ascii="Garamond" w:hAnsi="Garamond"/>
          <w:i/>
          <w:sz w:val="24"/>
          <w:lang w:val="pt-BR"/>
        </w:rPr>
        <w:t>,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w:t>
      </w:r>
      <w:proofErr w:type="spellStart"/>
      <w:r w:rsidRPr="00B71D1B">
        <w:rPr>
          <w:rFonts w:ascii="Garamond" w:hAnsi="Garamond"/>
          <w:i/>
          <w:sz w:val="24"/>
        </w:rPr>
        <w:t>VNa</w:t>
      </w:r>
      <w:proofErr w:type="spellEnd"/>
      <w:r w:rsidRPr="00B71D1B">
        <w:rPr>
          <w:rFonts w:ascii="Garamond" w:hAnsi="Garamond"/>
          <w:i/>
          <w:sz w:val="24"/>
        </w:rPr>
        <w:t xml:space="preserve"> x [(</w:t>
      </w:r>
      <w:proofErr w:type="spellStart"/>
      <w:r w:rsidRPr="00B71D1B">
        <w:rPr>
          <w:rFonts w:ascii="Garamond" w:hAnsi="Garamond"/>
          <w:i/>
          <w:sz w:val="24"/>
        </w:rPr>
        <w:t>FatorJuros</w:t>
      </w:r>
      <w:proofErr w:type="spellEnd"/>
      <w:r w:rsidRPr="00B71D1B">
        <w:rPr>
          <w:rFonts w:ascii="Garamond" w:hAnsi="Garamond"/>
          <w:i/>
          <w:sz w:val="24"/>
        </w:rPr>
        <w:t>)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VNa</w:t>
      </w:r>
      <w:proofErr w:type="spellEnd"/>
      <w:r w:rsidRPr="00B71D1B">
        <w:rPr>
          <w:rFonts w:ascii="Garamond" w:hAnsi="Garamond"/>
          <w:i/>
          <w:sz w:val="24"/>
        </w:rPr>
        <w:t xml:space="preserve">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proofErr w:type="spellStart"/>
      <w:r w:rsidRPr="00B71D1B">
        <w:rPr>
          <w:rFonts w:ascii="Garamond" w:hAnsi="Garamond"/>
          <w:i/>
          <w:sz w:val="24"/>
        </w:rPr>
        <w:t>FatorJuros</w:t>
      </w:r>
      <w:proofErr w:type="spellEnd"/>
      <w:r w:rsidRPr="00B71D1B">
        <w:rPr>
          <w:rFonts w:ascii="Garamond" w:hAnsi="Garamond"/>
          <w:i/>
          <w:sz w:val="24"/>
        </w:rPr>
        <w:t xml:space="preserve">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 [--] ([--]);</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7C459C33"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r w:rsidR="00F400D0" w:rsidRPr="00B71D1B">
        <w:rPr>
          <w:rFonts w:ascii="Garamond" w:hAnsi="Garamond"/>
          <w:i/>
          <w:iCs/>
          <w:sz w:val="24"/>
          <w:lang w:val="pt-BR"/>
        </w:rPr>
        <w:t>[</w:t>
      </w:r>
      <w:r w:rsidRPr="00B71D1B">
        <w:rPr>
          <w:rFonts w:ascii="Garamond" w:hAnsi="Garamond"/>
          <w:i/>
          <w:iCs/>
          <w:sz w:val="24"/>
          <w:lang w:val="pt-BR"/>
        </w:rPr>
        <w:t>da Segunda Série</w:t>
      </w:r>
      <w:r w:rsidR="00F400D0"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Pr="00B71D1B">
        <w:rPr>
          <w:rFonts w:ascii="Garamond" w:hAnsi="Garamond"/>
          <w:i/>
          <w:iCs/>
          <w:sz w:val="24"/>
          <w:lang w:val="pt-BR"/>
        </w:rPr>
        <w:t>[--] ([--] 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w:t>
      </w:r>
      <w:proofErr w:type="spellStart"/>
      <w:r w:rsidR="001F54CB" w:rsidRPr="00B71D1B">
        <w:rPr>
          <w:rFonts w:ascii="Garamond" w:hAnsi="Garamond"/>
          <w:i/>
          <w:iCs/>
          <w:sz w:val="24"/>
          <w:lang w:val="pt-BR"/>
        </w:rPr>
        <w:t>temporis</w:t>
      </w:r>
      <w:proofErr w:type="spellEnd"/>
      <w:r w:rsidR="001F54CB" w:rsidRPr="00B71D1B">
        <w:rPr>
          <w:rFonts w:ascii="Garamond" w:hAnsi="Garamond"/>
          <w:i/>
          <w:iCs/>
          <w:sz w:val="24"/>
          <w:lang w:val="pt-BR"/>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w:t>
      </w:r>
      <w:proofErr w:type="spellStart"/>
      <w:r w:rsidRPr="00B71D1B">
        <w:rPr>
          <w:rFonts w:ascii="Garamond" w:hAnsi="Garamond"/>
          <w:i/>
          <w:iCs/>
          <w:sz w:val="24"/>
        </w:rPr>
        <w:t>VNa</w:t>
      </w:r>
      <w:proofErr w:type="spellEnd"/>
      <w:r w:rsidRPr="00B71D1B">
        <w:rPr>
          <w:rFonts w:ascii="Garamond" w:hAnsi="Garamond"/>
          <w:i/>
          <w:iCs/>
          <w:sz w:val="24"/>
        </w:rPr>
        <w:t xml:space="preserve"> x [(</w:t>
      </w:r>
      <w:proofErr w:type="spellStart"/>
      <w:r w:rsidRPr="00B71D1B">
        <w:rPr>
          <w:rFonts w:ascii="Garamond" w:hAnsi="Garamond"/>
          <w:i/>
          <w:iCs/>
          <w:sz w:val="24"/>
        </w:rPr>
        <w:t>FatorJuros</w:t>
      </w:r>
      <w:proofErr w:type="spellEnd"/>
      <w:r w:rsidRPr="00B71D1B">
        <w:rPr>
          <w:rFonts w:ascii="Garamond" w:hAnsi="Garamond"/>
          <w:i/>
          <w:iCs/>
          <w:sz w:val="24"/>
        </w:rPr>
        <w:t>)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VNa</w:t>
      </w:r>
      <w:proofErr w:type="spellEnd"/>
      <w:r w:rsidRPr="00B71D1B">
        <w:rPr>
          <w:rFonts w:ascii="Garamond" w:hAnsi="Garamond"/>
          <w:i/>
          <w:iCs/>
        </w:rPr>
        <w:t xml:space="preserve">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proofErr w:type="spellStart"/>
      <w:r w:rsidRPr="00B71D1B">
        <w:rPr>
          <w:rFonts w:ascii="Garamond" w:hAnsi="Garamond"/>
          <w:i/>
          <w:iCs/>
        </w:rPr>
        <w:t>FatorJuros</w:t>
      </w:r>
      <w:proofErr w:type="spellEnd"/>
      <w:r w:rsidRPr="00B71D1B">
        <w:rPr>
          <w:rFonts w:ascii="Garamond" w:hAnsi="Garamond"/>
          <w:i/>
          <w:iCs/>
        </w:rPr>
        <w:t xml:space="preserve">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 [--] ([--]);</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1" w:name="_Ref420335593"/>
    </w:p>
    <w:bookmarkEnd w:id="11"/>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7548CC6E"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na Escritura permanecem verdadeiras, corretas e plenamente válidas e eficazes na data de assinatura deste Primeiro 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5CDE819F"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Primeiro Aditamento não implicam em novação, pelo que todos os termos e condições da Escritura que não foram expressamente alterados por este Primeiro Aditamento são neste ato ratificados e permanecem em pleno vigor e efeito. Assim sendo, a Escritura passa a vigorar na forma do </w:t>
      </w:r>
      <w:r w:rsidRPr="00B71D1B">
        <w:rPr>
          <w:rFonts w:ascii="Garamond" w:hAnsi="Garamond"/>
          <w:b/>
          <w:sz w:val="24"/>
        </w:rPr>
        <w:t>Anexo I</w:t>
      </w:r>
      <w:r w:rsidRPr="00B71D1B">
        <w:rPr>
          <w:rFonts w:ascii="Garamond" w:hAnsi="Garamond"/>
          <w:sz w:val="24"/>
        </w:rPr>
        <w:t xml:space="preserve"> a este Primeiro 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lastRenderedPageBreak/>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4162D043"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Não se presume a renúncia a qualquer dos direitos decorrentes deste Primeiro 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Primeiro 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2158807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Primeiro 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1A7E93B9"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475E2C4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Primeiro 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3434A198"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Primeiro 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680A95B"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Pr="00B71D1B">
        <w:rPr>
          <w:rFonts w:ascii="Garamond" w:eastAsia="Arial Unicode MS" w:hAnsi="Garamond"/>
          <w:sz w:val="24"/>
        </w:rPr>
        <w:t>Primeiro</w:t>
      </w:r>
      <w:r w:rsidRPr="00B71D1B">
        <w:rPr>
          <w:rFonts w:ascii="Garamond" w:hAnsi="Garamond"/>
          <w:sz w:val="24"/>
        </w:rPr>
        <w:t xml:space="preserve"> 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5C847488"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Fica eleito o foro da comarca do Rio de Janeiro, com exclusão de qualquer outro, por mais privilegiado que seja, para dirimir as questões porventura oriundas deste Primeiro 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50895C"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Primeiro 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24294037"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9A59ED" w:rsidRPr="00B71D1B">
        <w:rPr>
          <w:rFonts w:ascii="Garamond" w:hAnsi="Garamond" w:cs="Arial"/>
        </w:rPr>
        <w:t>[--]</w:t>
      </w:r>
      <w:r w:rsidR="00C35211" w:rsidRPr="00B71D1B">
        <w:rPr>
          <w:rFonts w:ascii="Garamond" w:hAnsi="Garamond" w:cs="Arial"/>
        </w:rPr>
        <w:t xml:space="preserve"> de </w:t>
      </w:r>
      <w:r w:rsidR="009A59ED" w:rsidRPr="00B71D1B">
        <w:rPr>
          <w:rFonts w:ascii="Garamond" w:hAnsi="Garamond" w:cs="Arial"/>
        </w:rPr>
        <w:t>[--]</w:t>
      </w:r>
      <w:r w:rsidR="00C35211" w:rsidRPr="00B71D1B">
        <w:rPr>
          <w:rFonts w:ascii="Garamond" w:hAnsi="Garamond" w:cs="Arial"/>
        </w:rPr>
        <w:t xml:space="preserve"> 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lastRenderedPageBreak/>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default" r:id="rId10"/>
          <w:footerReference w:type="even" r:id="rId11"/>
          <w:footerReference w:type="default" r:id="rId12"/>
          <w:footerReference w:type="first" r:id="rId13"/>
          <w:pgSz w:w="11907" w:h="16839" w:code="9"/>
          <w:pgMar w:top="1701" w:right="1418" w:bottom="1418" w:left="1701" w:header="720" w:footer="227" w:gutter="0"/>
          <w:cols w:space="720"/>
          <w:noEndnote/>
          <w:docGrid w:linePitch="326"/>
        </w:sectPr>
      </w:pPr>
    </w:p>
    <w:p w14:paraId="52087D4A" w14:textId="61C100B3"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001303" w:rsidRPr="00B71D1B">
        <w:rPr>
          <w:rFonts w:ascii="Garamond" w:hAnsi="Garamond"/>
          <w:i/>
          <w:sz w:val="24"/>
        </w:rPr>
        <w:t xml:space="preserve">Primeiro 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4444BB2D"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2" w:name="_DV_M446"/>
      <w:bookmarkEnd w:id="12"/>
      <w:r w:rsidRPr="00B71D1B">
        <w:rPr>
          <w:rFonts w:ascii="Garamond" w:hAnsi="Garamond"/>
          <w:b/>
          <w:smallCaps/>
          <w:color w:val="000000"/>
          <w:lang w:eastAsia="ja-JP"/>
        </w:rPr>
        <w:br w:type="page"/>
      </w:r>
    </w:p>
    <w:p w14:paraId="009D845C" w14:textId="1BCD999F"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398B2E4C"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14"/>
          <w:pgSz w:w="11907" w:h="16839" w:code="9"/>
          <w:pgMar w:top="1701" w:right="1418" w:bottom="1418" w:left="1701" w:header="720" w:footer="57" w:gutter="0"/>
          <w:cols w:space="720"/>
          <w:noEndnote/>
          <w:docGrid w:linePitch="326"/>
        </w:sectPr>
      </w:pPr>
    </w:p>
    <w:p w14:paraId="1CADEFB4" w14:textId="77777777"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r w:rsidR="00214451" w:rsidRPr="00B71D1B">
        <w:rPr>
          <w:rFonts w:ascii="Garamond" w:hAnsi="Garamond"/>
          <w:b/>
          <w:smallCaps/>
          <w:color w:val="000000"/>
          <w:lang w:eastAsia="ja-JP"/>
        </w:rPr>
        <w:t>I</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13" w:name="_DV_M13"/>
      <w:bookmarkStart w:id="14" w:name="_DV_M14"/>
      <w:bookmarkStart w:id="15" w:name="_DV_M15"/>
      <w:bookmarkStart w:id="16" w:name="_DV_M16"/>
      <w:bookmarkStart w:id="17" w:name="_DV_M17"/>
      <w:bookmarkStart w:id="18" w:name="_DV_M22"/>
      <w:bookmarkStart w:id="19" w:name="_DV_M23"/>
      <w:bookmarkStart w:id="20" w:name="_DV_M28"/>
      <w:bookmarkStart w:id="21" w:name="_DV_M29"/>
      <w:bookmarkStart w:id="22" w:name="_DV_M33"/>
      <w:bookmarkStart w:id="23" w:name="_DV_M35"/>
      <w:bookmarkStart w:id="24" w:name="_DV_M37"/>
      <w:bookmarkStart w:id="25" w:name="_DV_M36"/>
      <w:bookmarkStart w:id="26" w:name="_DV_M38"/>
      <w:bookmarkStart w:id="27" w:name="_DV_M41"/>
      <w:bookmarkStart w:id="28" w:name="_DV_M43"/>
      <w:bookmarkStart w:id="29" w:name="_DV_M44"/>
      <w:bookmarkStart w:id="30" w:name="_DV_M46"/>
      <w:bookmarkStart w:id="31" w:name="_DV_M47"/>
      <w:bookmarkStart w:id="32" w:name="_DV_M48"/>
      <w:bookmarkStart w:id="33" w:name="_DV_M49"/>
      <w:bookmarkStart w:id="34" w:name="_DV_M50"/>
      <w:bookmarkStart w:id="35" w:name="_DV_M51"/>
      <w:bookmarkStart w:id="36" w:name="_DV_M52"/>
      <w:bookmarkStart w:id="37" w:name="_DV_M53"/>
      <w:bookmarkStart w:id="38" w:name="_DV_M55"/>
      <w:bookmarkStart w:id="39" w:name="_DV_M56"/>
      <w:bookmarkStart w:id="40" w:name="_DV_M57"/>
      <w:bookmarkStart w:id="41" w:name="_DV_M61"/>
      <w:bookmarkStart w:id="42" w:name="_DV_M62"/>
      <w:bookmarkStart w:id="43" w:name="_DV_M75"/>
      <w:bookmarkStart w:id="44" w:name="_DV_M76"/>
      <w:bookmarkStart w:id="45" w:name="_DV_M79"/>
      <w:bookmarkStart w:id="46" w:name="_DV_M80"/>
      <w:bookmarkStart w:id="47" w:name="_DV_M82"/>
      <w:bookmarkStart w:id="48" w:name="_DV_M83"/>
      <w:bookmarkStart w:id="49" w:name="_DV_M84"/>
      <w:bookmarkStart w:id="50" w:name="_DV_M85"/>
      <w:bookmarkStart w:id="51" w:name="_DV_M92"/>
      <w:bookmarkStart w:id="52" w:name="_DV_M93"/>
      <w:bookmarkStart w:id="53" w:name="_DV_M98"/>
      <w:bookmarkStart w:id="54" w:name="_DV_M99"/>
      <w:bookmarkStart w:id="55" w:name="_DV_M117"/>
      <w:bookmarkStart w:id="56" w:name="_DV_M119"/>
      <w:bookmarkStart w:id="57" w:name="_DV_M193"/>
      <w:bookmarkStart w:id="58" w:name="_DV_M194"/>
      <w:bookmarkStart w:id="59" w:name="_DV_M198"/>
      <w:bookmarkStart w:id="60" w:name="_DV_M202"/>
      <w:bookmarkStart w:id="61" w:name="_DV_M204"/>
      <w:bookmarkStart w:id="62" w:name="_DV_M205"/>
      <w:bookmarkStart w:id="63" w:name="_DV_M206"/>
      <w:bookmarkStart w:id="64" w:name="_DV_M207"/>
      <w:bookmarkStart w:id="65" w:name="_DV_M208"/>
      <w:bookmarkStart w:id="66" w:name="_DV_M210"/>
      <w:bookmarkStart w:id="67" w:name="_DV_M212"/>
      <w:bookmarkStart w:id="68" w:name="_DV_M213"/>
      <w:bookmarkStart w:id="69" w:name="_DV_M214"/>
      <w:bookmarkStart w:id="70" w:name="_DV_M215"/>
      <w:bookmarkStart w:id="71" w:name="_DV_M224"/>
      <w:bookmarkStart w:id="72" w:name="_DV_M225"/>
      <w:bookmarkStart w:id="73" w:name="_DV_M226"/>
      <w:bookmarkStart w:id="74" w:name="_DV_M227"/>
      <w:bookmarkStart w:id="75" w:name="_DV_M228"/>
      <w:bookmarkStart w:id="76" w:name="_DV_M229"/>
      <w:bookmarkStart w:id="77" w:name="_DV_M231"/>
      <w:bookmarkStart w:id="78" w:name="_DV_M232"/>
      <w:bookmarkStart w:id="79" w:name="_DV_M239"/>
      <w:bookmarkStart w:id="80" w:name="_DV_M244"/>
      <w:bookmarkStart w:id="81" w:name="_DV_M241"/>
      <w:bookmarkStart w:id="82" w:name="_DV_M255"/>
      <w:bookmarkStart w:id="83" w:name="_DV_M260"/>
      <w:bookmarkStart w:id="84" w:name="_DV_M261"/>
      <w:bookmarkStart w:id="85" w:name="_DV_M264"/>
      <w:bookmarkStart w:id="86" w:name="_DV_M269"/>
      <w:bookmarkStart w:id="87" w:name="_DV_M276"/>
      <w:bookmarkStart w:id="88" w:name="_DV_M277"/>
      <w:bookmarkStart w:id="89" w:name="_DV_M278"/>
      <w:bookmarkStart w:id="90" w:name="_DV_M279"/>
      <w:bookmarkStart w:id="91" w:name="_DV_M283"/>
      <w:bookmarkStart w:id="92" w:name="_DV_M284"/>
      <w:bookmarkStart w:id="93" w:name="_DV_M285"/>
      <w:bookmarkStart w:id="94" w:name="_DV_M286"/>
      <w:bookmarkStart w:id="95" w:name="_DV_M287"/>
      <w:bookmarkStart w:id="96" w:name="_DV_M288"/>
      <w:bookmarkStart w:id="97" w:name="_DV_M289"/>
      <w:bookmarkStart w:id="98" w:name="_DV_M290"/>
      <w:bookmarkStart w:id="99" w:name="_DV_M291"/>
      <w:bookmarkStart w:id="100" w:name="_DV_M293"/>
      <w:bookmarkStart w:id="101" w:name="_DV_M294"/>
      <w:bookmarkStart w:id="102" w:name="_DV_M295"/>
      <w:bookmarkStart w:id="103" w:name="_DV_M296"/>
      <w:bookmarkStart w:id="104" w:name="_DV_M297"/>
      <w:bookmarkStart w:id="105" w:name="_DV_M270"/>
      <w:bookmarkStart w:id="106" w:name="_DV_M300"/>
      <w:bookmarkStart w:id="107" w:name="_DV_M301"/>
      <w:bookmarkStart w:id="108" w:name="_DV_M302"/>
      <w:bookmarkStart w:id="109" w:name="_DV_M303"/>
      <w:bookmarkStart w:id="110" w:name="_DV_M304"/>
      <w:bookmarkStart w:id="111" w:name="_DV_M305"/>
      <w:bookmarkStart w:id="112" w:name="_DV_M306"/>
      <w:bookmarkStart w:id="113" w:name="_DV_M307"/>
      <w:bookmarkStart w:id="114" w:name="_DV_M308"/>
      <w:bookmarkStart w:id="115" w:name="_DV_M309"/>
      <w:bookmarkStart w:id="116" w:name="_DV_M315"/>
      <w:bookmarkStart w:id="117" w:name="_DV_M316"/>
      <w:bookmarkStart w:id="118" w:name="_DV_M317"/>
      <w:bookmarkStart w:id="119" w:name="_DV_M318"/>
      <w:bookmarkStart w:id="120" w:name="_DV_M320"/>
      <w:bookmarkStart w:id="121" w:name="_DV_M321"/>
      <w:bookmarkStart w:id="122" w:name="_DV_M322"/>
      <w:bookmarkStart w:id="123" w:name="_DV_M323"/>
      <w:bookmarkStart w:id="124" w:name="_DV_M324"/>
      <w:bookmarkStart w:id="125" w:name="_DV_M325"/>
      <w:bookmarkStart w:id="126" w:name="_DV_M326"/>
      <w:bookmarkStart w:id="127" w:name="_DV_M327"/>
      <w:bookmarkStart w:id="128" w:name="_DV_M328"/>
      <w:bookmarkStart w:id="129" w:name="_DV_M329"/>
      <w:bookmarkStart w:id="130" w:name="_DV_M330"/>
      <w:bookmarkStart w:id="131" w:name="_DV_M331"/>
      <w:bookmarkStart w:id="132" w:name="_DV_M332"/>
      <w:bookmarkStart w:id="133" w:name="_DV_M333"/>
      <w:bookmarkStart w:id="134" w:name="_DV_M334"/>
      <w:bookmarkStart w:id="135" w:name="_DV_M335"/>
      <w:bookmarkStart w:id="136" w:name="_DV_M336"/>
      <w:bookmarkStart w:id="137" w:name="_DV_M337"/>
      <w:bookmarkStart w:id="138" w:name="_DV_M338"/>
      <w:bookmarkStart w:id="139" w:name="_DV_M339"/>
      <w:bookmarkStart w:id="140" w:name="_DV_M340"/>
      <w:bookmarkStart w:id="141" w:name="_DV_M341"/>
      <w:bookmarkStart w:id="142" w:name="_DV_M342"/>
      <w:bookmarkStart w:id="143" w:name="_DV_M343"/>
      <w:bookmarkStart w:id="144" w:name="_DV_M344"/>
      <w:bookmarkStart w:id="145" w:name="_DV_M345"/>
      <w:bookmarkStart w:id="146" w:name="_DV_M352"/>
      <w:bookmarkStart w:id="147" w:name="_DV_M353"/>
      <w:bookmarkStart w:id="148" w:name="_DV_M354"/>
      <w:bookmarkStart w:id="149" w:name="_DV_M355"/>
      <w:bookmarkStart w:id="150" w:name="_DV_M356"/>
      <w:bookmarkStart w:id="151" w:name="_DV_M357"/>
      <w:bookmarkStart w:id="152" w:name="_DV_M358"/>
      <w:bookmarkStart w:id="153" w:name="_DV_M359"/>
      <w:bookmarkStart w:id="154" w:name="_DV_M360"/>
      <w:bookmarkStart w:id="155" w:name="_DV_M361"/>
      <w:bookmarkStart w:id="156" w:name="_DV_M362"/>
      <w:bookmarkStart w:id="157" w:name="_DV_M363"/>
      <w:bookmarkStart w:id="158" w:name="_DV_M364"/>
      <w:bookmarkStart w:id="159" w:name="_DV_M365"/>
      <w:bookmarkStart w:id="160" w:name="_DV_M366"/>
      <w:bookmarkStart w:id="161" w:name="_DV_M367"/>
      <w:bookmarkStart w:id="162" w:name="_DV_M373"/>
      <w:bookmarkStart w:id="163" w:name="_DV_M374"/>
      <w:bookmarkStart w:id="164" w:name="_DV_M384"/>
      <w:bookmarkStart w:id="165" w:name="_DV_M387"/>
      <w:bookmarkStart w:id="166" w:name="_DV_M388"/>
      <w:bookmarkStart w:id="167" w:name="_DV_M389"/>
      <w:bookmarkStart w:id="168" w:name="_DV_M390"/>
      <w:bookmarkStart w:id="169" w:name="_DV_M391"/>
      <w:bookmarkStart w:id="170" w:name="_DV_M392"/>
      <w:bookmarkStart w:id="171" w:name="_DV_M393"/>
      <w:bookmarkStart w:id="172" w:name="_DV_M396"/>
      <w:bookmarkStart w:id="173" w:name="_DV_M397"/>
      <w:bookmarkStart w:id="174" w:name="_DV_M398"/>
      <w:bookmarkStart w:id="175" w:name="_DV_M399"/>
      <w:bookmarkStart w:id="176" w:name="_DV_M401"/>
      <w:bookmarkStart w:id="177" w:name="_DV_M402"/>
      <w:bookmarkStart w:id="178" w:name="_DV_M403"/>
      <w:bookmarkStart w:id="179" w:name="_DV_M408"/>
      <w:bookmarkStart w:id="180" w:name="_DV_M221"/>
      <w:bookmarkStart w:id="181" w:name="_DV_M222"/>
      <w:bookmarkStart w:id="182" w:name="_DV_M223"/>
      <w:bookmarkStart w:id="183" w:name="_DV_M230"/>
      <w:bookmarkStart w:id="184" w:name="_DV_M444"/>
      <w:bookmarkStart w:id="185" w:name="_DV_M416"/>
      <w:bookmarkStart w:id="186" w:name="_DV_M417"/>
      <w:bookmarkStart w:id="187" w:name="_DV_M468"/>
      <w:bookmarkStart w:id="188" w:name="_DV_M469"/>
      <w:bookmarkStart w:id="189" w:name="_DV_M470"/>
      <w:bookmarkStart w:id="190" w:name="_DV_M471"/>
      <w:bookmarkStart w:id="191" w:name="_DV_M424"/>
      <w:bookmarkStart w:id="192" w:name="_DV_M515"/>
      <w:bookmarkStart w:id="193" w:name="_DV_M516"/>
      <w:bookmarkStart w:id="194" w:name="_DV_M517"/>
      <w:bookmarkStart w:id="195" w:name="_DV_M518"/>
      <w:bookmarkStart w:id="196" w:name="_DV_M519"/>
      <w:bookmarkStart w:id="197" w:name="_DV_M426"/>
      <w:bookmarkStart w:id="198" w:name="_DV_M521"/>
      <w:bookmarkStart w:id="199" w:name="_DV_M522"/>
      <w:bookmarkStart w:id="200" w:name="_DV_M523"/>
      <w:bookmarkStart w:id="201" w:name="_DV_M524"/>
      <w:bookmarkStart w:id="202" w:name="_DV_M525"/>
      <w:bookmarkStart w:id="203" w:name="_DV_M428"/>
      <w:bookmarkStart w:id="204" w:name="_DV_M429"/>
      <w:bookmarkStart w:id="205" w:name="_DV_M430"/>
      <w:bookmarkStart w:id="206" w:name="_DV_M431"/>
      <w:bookmarkStart w:id="207" w:name="_DV_M432"/>
      <w:bookmarkStart w:id="208" w:name="_DV_M433"/>
      <w:bookmarkStart w:id="209" w:name="_DV_M434"/>
      <w:bookmarkStart w:id="210" w:name="_DV_M435"/>
      <w:bookmarkStart w:id="211" w:name="_DV_M43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71D1B">
        <w:rPr>
          <w:rFonts w:ascii="Garamond" w:hAnsi="Garamond" w:cs="Arial"/>
          <w:bCs/>
          <w:i/>
          <w:iCs/>
          <w:sz w:val="20"/>
          <w:szCs w:val="20"/>
        </w:rPr>
        <w:t xml:space="preserve">[Versão </w:t>
      </w:r>
      <w:r w:rsidR="00C62F4F" w:rsidRPr="00B71D1B">
        <w:rPr>
          <w:rFonts w:ascii="Garamond" w:hAnsi="Garamond" w:cs="Arial"/>
          <w:bCs/>
          <w:i/>
          <w:iCs/>
          <w:sz w:val="20"/>
          <w:szCs w:val="20"/>
        </w:rPr>
        <w:t>c</w:t>
      </w:r>
      <w:r w:rsidRPr="00B71D1B">
        <w:rPr>
          <w:rFonts w:ascii="Garamond" w:hAnsi="Garamond" w:cs="Arial"/>
          <w:bCs/>
          <w:i/>
          <w:iCs/>
          <w:sz w:val="20"/>
          <w:szCs w:val="20"/>
        </w:rPr>
        <w:t xml:space="preserve">onsolidada </w:t>
      </w:r>
      <w:r w:rsidR="00C62F4F" w:rsidRPr="00B71D1B">
        <w:rPr>
          <w:rFonts w:ascii="Garamond" w:hAnsi="Garamond" w:cs="Arial"/>
          <w:bCs/>
          <w:i/>
          <w:iCs/>
          <w:sz w:val="20"/>
          <w:szCs w:val="20"/>
        </w:rPr>
        <w:t xml:space="preserve">da Escritura </w:t>
      </w:r>
      <w:r w:rsidRPr="00B71D1B">
        <w:rPr>
          <w:rFonts w:ascii="Garamond" w:hAnsi="Garamond" w:cs="Arial"/>
          <w:bCs/>
          <w:i/>
          <w:iCs/>
          <w:sz w:val="20"/>
          <w:szCs w:val="20"/>
        </w:rPr>
        <w:t xml:space="preserve">a ser incluída após a realização do </w:t>
      </w:r>
      <w:r w:rsidRPr="00B71D1B">
        <w:rPr>
          <w:rFonts w:ascii="Garamond" w:hAnsi="Garamond"/>
          <w:bCs/>
          <w:i/>
          <w:iCs/>
          <w:sz w:val="20"/>
          <w:szCs w:val="20"/>
        </w:rPr>
        <w:t xml:space="preserve">Procedimento de </w:t>
      </w:r>
      <w:proofErr w:type="spellStart"/>
      <w:r w:rsidRPr="00B71D1B">
        <w:rPr>
          <w:rFonts w:ascii="Garamond" w:hAnsi="Garamond" w:cs="Arial"/>
          <w:bCs/>
          <w:i/>
          <w:iCs/>
          <w:sz w:val="20"/>
          <w:szCs w:val="20"/>
        </w:rPr>
        <w:t>Bookbuiding</w:t>
      </w:r>
      <w:proofErr w:type="spellEnd"/>
      <w:r w:rsidRPr="00B71D1B">
        <w:rPr>
          <w:rFonts w:ascii="Garamond" w:hAnsi="Garamond" w:cs="Arial"/>
          <w:bCs/>
          <w:i/>
          <w:iCs/>
          <w:sz w:val="20"/>
          <w:szCs w:val="20"/>
        </w:rPr>
        <w:t>]</w:t>
      </w:r>
      <w:bookmarkStart w:id="212" w:name="_DV_M4"/>
      <w:bookmarkStart w:id="213" w:name="_DV_M5"/>
      <w:bookmarkStart w:id="214" w:name="_DV_M6"/>
      <w:bookmarkStart w:id="215" w:name="_DV_M7"/>
      <w:bookmarkStart w:id="216" w:name="_DV_M9"/>
      <w:bookmarkStart w:id="217" w:name="_Hlt143594426"/>
      <w:bookmarkStart w:id="218" w:name="_Hlt143594427"/>
      <w:bookmarkStart w:id="219" w:name="_DV_M263"/>
      <w:bookmarkEnd w:id="212"/>
      <w:bookmarkEnd w:id="213"/>
      <w:bookmarkEnd w:id="214"/>
      <w:bookmarkEnd w:id="215"/>
      <w:bookmarkEnd w:id="216"/>
      <w:bookmarkEnd w:id="217"/>
      <w:bookmarkEnd w:id="218"/>
      <w:bookmarkEnd w:id="219"/>
    </w:p>
    <w:sectPr w:rsidR="00007745" w:rsidRPr="00C62F4F" w:rsidSect="00A870AB">
      <w:footerReference w:type="default" r:id="rId15"/>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796E3" w14:textId="77777777" w:rsidR="00DB51D1" w:rsidRDefault="00DB51D1">
      <w:r>
        <w:separator/>
      </w:r>
    </w:p>
    <w:p w14:paraId="382465E5" w14:textId="77777777" w:rsidR="00DB51D1" w:rsidRDefault="00DB51D1"/>
    <w:p w14:paraId="6765DD74" w14:textId="77777777" w:rsidR="00DB51D1" w:rsidRDefault="00DB51D1"/>
  </w:endnote>
  <w:endnote w:type="continuationSeparator" w:id="0">
    <w:p w14:paraId="39721314" w14:textId="77777777" w:rsidR="00DB51D1" w:rsidRDefault="00DB51D1">
      <w:r>
        <w:continuationSeparator/>
      </w:r>
    </w:p>
    <w:p w14:paraId="6852BB9B" w14:textId="77777777" w:rsidR="00DB51D1" w:rsidRDefault="00DB51D1"/>
    <w:p w14:paraId="48F4253D" w14:textId="77777777" w:rsidR="00DB51D1" w:rsidRDefault="00DB5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EAD8" w14:textId="4D44D4B7"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B71D1B">
      <w:rPr>
        <w:rFonts w:ascii="Garamond" w:hAnsi="Garamond"/>
        <w:noProof/>
        <w:sz w:val="22"/>
        <w:szCs w:val="22"/>
      </w:rPr>
      <w:t>11</w:t>
    </w:r>
    <w:r w:rsidRPr="004D565C">
      <w:rPr>
        <w:rFonts w:ascii="Garamond" w:hAnsi="Garamond"/>
        <w:noProof/>
        <w:sz w:val="22"/>
        <w:szCs w:val="22"/>
      </w:rPr>
      <w:fldChar w:fldCharType="end"/>
    </w:r>
  </w:p>
  <w:p w14:paraId="515D90E1" w14:textId="77777777" w:rsidR="00B71D1B" w:rsidRDefault="00F70561" w:rsidP="00771E61">
    <w:pPr>
      <w:pStyle w:val="Body"/>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7DB421FF" w14:textId="4BB883AA" w:rsidR="00401335" w:rsidRPr="009431E1" w:rsidRDefault="00B71D1B">
    <w:pPr>
      <w:pStyle w:val="Body"/>
      <w:jc w:val="left"/>
      <w:rPr>
        <w:rFonts w:ascii="Tahoma" w:hAnsi="Tahoma" w:cs="Tahoma"/>
        <w:color w:val="FFFFFF"/>
        <w:sz w:val="12"/>
      </w:rPr>
    </w:pPr>
    <w:r>
      <w:rPr>
        <w:rFonts w:ascii="Tahoma" w:hAnsi="Tahoma" w:cs="Tahoma"/>
        <w:color w:val="FFFFFF"/>
        <w:sz w:val="12"/>
      </w:rPr>
      <w:t xml:space="preserve">RJ - 11736081v1 </w:t>
    </w:r>
    <w:r w:rsidR="00F70561">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7B20" w14:textId="77777777" w:rsidR="00401335" w:rsidRDefault="00401335">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2225" w14:textId="77777777" w:rsidR="00DB51D1" w:rsidRDefault="00DB51D1">
      <w:r>
        <w:separator/>
      </w:r>
    </w:p>
    <w:p w14:paraId="21DEA715" w14:textId="77777777" w:rsidR="00DB51D1" w:rsidRDefault="00DB51D1"/>
    <w:p w14:paraId="75BC8899" w14:textId="77777777" w:rsidR="00DB51D1" w:rsidRDefault="00DB51D1"/>
  </w:footnote>
  <w:footnote w:type="continuationSeparator" w:id="0">
    <w:p w14:paraId="640606A9" w14:textId="77777777" w:rsidR="00DB51D1" w:rsidRDefault="00DB51D1">
      <w:r>
        <w:continuationSeparator/>
      </w:r>
    </w:p>
    <w:p w14:paraId="563A7409" w14:textId="77777777" w:rsidR="00DB51D1" w:rsidRDefault="00DB51D1"/>
    <w:p w14:paraId="1B8253AA" w14:textId="77777777" w:rsidR="00DB51D1" w:rsidRDefault="00DB5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 w:numId="110">
    <w:abstractNumId w:val="68"/>
  </w:num>
  <w:num w:numId="111">
    <w:abstractNumId w:val="68"/>
  </w:num>
  <w:num w:numId="112">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41DA"/>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E2666"/>
    <w:rsid w:val="00EE2FBF"/>
    <w:rsid w:val="00EE597A"/>
    <w:rsid w:val="00EE5A1B"/>
    <w:rsid w:val="00EE7AA5"/>
    <w:rsid w:val="00EF11F4"/>
    <w:rsid w:val="00EF21A1"/>
    <w:rsid w:val="00EF3E70"/>
    <w:rsid w:val="00EF5AB7"/>
    <w:rsid w:val="00EF68E3"/>
    <w:rsid w:val="00EF6A74"/>
    <w:rsid w:val="00EF74A6"/>
    <w:rsid w:val="00EF7ADA"/>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877AE7"/>
  <w15:docId w15:val="{64EAEE8B-5D9E-4031-80DC-234DA494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7890-7295-449A-A149-0FCD33ED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3600</Words>
  <Characters>19925</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23479</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Luís Felipe Oliveira Haddad</cp:lastModifiedBy>
  <cp:revision>3</cp:revision>
  <cp:lastPrinted>2020-08-14T21:56:00Z</cp:lastPrinted>
  <dcterms:created xsi:type="dcterms:W3CDTF">2020-09-17T22:02:00Z</dcterms:created>
  <dcterms:modified xsi:type="dcterms:W3CDTF">2020-09-17T22:46:00Z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_x000d_RJ - 11736081v1 </vt:lpwstr>
  </property>
</Properties>
</file>