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0B89C368" w14:textId="77777777" w:rsidR="00485249" w:rsidRDefault="0048524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4E6AE14A"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w:t>
      </w:r>
      <w:r w:rsidRPr="00A354A6">
        <w:rPr>
          <w:rFonts w:ascii="Garamond" w:hAnsi="Garamond"/>
          <w:color w:val="000000"/>
          <w:sz w:val="24"/>
          <w:szCs w:val="24"/>
          <w:highlight w:val="yellow"/>
        </w:rPr>
        <w:t>=</w:t>
      </w:r>
      <w:r w:rsidRPr="00D63614">
        <w:rPr>
          <w:rFonts w:ascii="Garamond" w:hAnsi="Garamond"/>
          <w:color w:val="000000"/>
          <w:sz w:val="24"/>
          <w:szCs w:val="24"/>
        </w:rPr>
        <w:t xml:space="preserve">] de </w:t>
      </w:r>
      <w:r w:rsidR="009C189E">
        <w:rPr>
          <w:rFonts w:ascii="Garamond" w:hAnsi="Garamond"/>
          <w:color w:val="000000"/>
          <w:sz w:val="24"/>
          <w:szCs w:val="24"/>
        </w:rPr>
        <w:t>setembro</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 xml:space="preserve">utilizando carvão mineral nacional 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lastRenderedPageBreak/>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DC2637"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w:t>
      </w:r>
      <w:r w:rsidRPr="00D63614">
        <w:rPr>
          <w:rFonts w:ascii="Garamond" w:hAnsi="Garamond" w:cs="Tahoma"/>
          <w:iCs/>
          <w:sz w:val="24"/>
          <w:szCs w:val="24"/>
          <w:lang w:eastAsia="pt-BR"/>
        </w:rPr>
        <w:lastRenderedPageBreak/>
        <w:t>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4580D09D"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2,5000%</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79CFEBC7"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5,2412%</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38951BD7"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7,9824%</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4B59EC55"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11,9959%</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53CC61ED"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16,0094%</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62D5B44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23,7728%</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3B714F2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31,5363%</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4F6325C"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39,2248%</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73F6A6D2"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46,9134%</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586AB75B"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55,0914%</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1108FBA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63,2695%</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20AABDC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71,2268%</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513EACFE"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79,1841%</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9E2114" w:rsidRPr="00D63614" w14:paraId="49EFE87F" w14:textId="77777777" w:rsidTr="001D3347">
        <w:trPr>
          <w:jc w:val="center"/>
        </w:trPr>
        <w:tc>
          <w:tcPr>
            <w:tcW w:w="964" w:type="dxa"/>
            <w:shd w:val="clear" w:color="auto" w:fill="auto"/>
            <w:vAlign w:val="center"/>
          </w:tcPr>
          <w:p w14:paraId="5F89A9C7" w14:textId="08F51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2028</w:t>
            </w:r>
          </w:p>
        </w:tc>
        <w:tc>
          <w:tcPr>
            <w:tcW w:w="3276" w:type="dxa"/>
            <w:shd w:val="clear" w:color="auto" w:fill="auto"/>
          </w:tcPr>
          <w:p w14:paraId="0C9BA404" w14:textId="6C7F6D3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0,1000% </w:t>
            </w:r>
          </w:p>
        </w:tc>
      </w:tr>
      <w:tr w:rsidR="009E2114" w:rsidRPr="00D63614" w14:paraId="02DFAB5A" w14:textId="77777777" w:rsidTr="001D3347">
        <w:trPr>
          <w:jc w:val="center"/>
        </w:trPr>
        <w:tc>
          <w:tcPr>
            <w:tcW w:w="964" w:type="dxa"/>
            <w:shd w:val="clear" w:color="auto" w:fill="auto"/>
            <w:vAlign w:val="center"/>
          </w:tcPr>
          <w:p w14:paraId="13B72F13" w14:textId="3E3B693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2029</w:t>
            </w:r>
          </w:p>
        </w:tc>
        <w:tc>
          <w:tcPr>
            <w:tcW w:w="3276" w:type="dxa"/>
            <w:shd w:val="clear" w:color="auto" w:fill="auto"/>
          </w:tcPr>
          <w:p w14:paraId="08DC34BB" w14:textId="3BAC856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5,2015% </w:t>
            </w:r>
          </w:p>
        </w:tc>
      </w:tr>
      <w:tr w:rsidR="009E2114" w:rsidRPr="00D63614" w14:paraId="7F280359" w14:textId="77777777" w:rsidTr="001D3347">
        <w:trPr>
          <w:jc w:val="center"/>
        </w:trPr>
        <w:tc>
          <w:tcPr>
            <w:tcW w:w="964" w:type="dxa"/>
            <w:shd w:val="clear" w:color="auto" w:fill="auto"/>
            <w:vAlign w:val="center"/>
          </w:tcPr>
          <w:p w14:paraId="59BD3EC3" w14:textId="083F709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2029</w:t>
            </w:r>
          </w:p>
        </w:tc>
        <w:tc>
          <w:tcPr>
            <w:tcW w:w="3276" w:type="dxa"/>
            <w:shd w:val="clear" w:color="auto" w:fill="auto"/>
          </w:tcPr>
          <w:p w14:paraId="2682B35F" w14:textId="64858D3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10,3029% </w:t>
            </w:r>
          </w:p>
        </w:tc>
      </w:tr>
      <w:tr w:rsidR="009E2114" w:rsidRPr="00D63614" w14:paraId="4E65F82C" w14:textId="77777777" w:rsidTr="001D3347">
        <w:trPr>
          <w:jc w:val="center"/>
        </w:trPr>
        <w:tc>
          <w:tcPr>
            <w:tcW w:w="964" w:type="dxa"/>
            <w:shd w:val="clear" w:color="auto" w:fill="auto"/>
            <w:vAlign w:val="center"/>
          </w:tcPr>
          <w:p w14:paraId="3D15643E" w14:textId="04CE368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2030</w:t>
            </w:r>
          </w:p>
        </w:tc>
        <w:tc>
          <w:tcPr>
            <w:tcW w:w="3276" w:type="dxa"/>
            <w:shd w:val="clear" w:color="auto" w:fill="auto"/>
          </w:tcPr>
          <w:p w14:paraId="19A447DF" w14:textId="7286580E"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15,9567% </w:t>
            </w:r>
          </w:p>
        </w:tc>
      </w:tr>
      <w:tr w:rsidR="009E2114" w:rsidRPr="00D63614" w14:paraId="5BBE1D12" w14:textId="77777777" w:rsidTr="001D3347">
        <w:trPr>
          <w:jc w:val="center"/>
        </w:trPr>
        <w:tc>
          <w:tcPr>
            <w:tcW w:w="964" w:type="dxa"/>
            <w:shd w:val="clear" w:color="auto" w:fill="auto"/>
            <w:vAlign w:val="center"/>
          </w:tcPr>
          <w:p w14:paraId="38EE98BC" w14:textId="760DC5CE"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2030</w:t>
            </w:r>
          </w:p>
        </w:tc>
        <w:tc>
          <w:tcPr>
            <w:tcW w:w="3276" w:type="dxa"/>
            <w:shd w:val="clear" w:color="auto" w:fill="auto"/>
          </w:tcPr>
          <w:p w14:paraId="5108DAC8" w14:textId="26ED075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21,6105% </w:t>
            </w:r>
          </w:p>
        </w:tc>
      </w:tr>
      <w:tr w:rsidR="009E2114" w:rsidRPr="00D63614" w14:paraId="2FB9046A" w14:textId="77777777" w:rsidTr="001D3347">
        <w:trPr>
          <w:jc w:val="center"/>
        </w:trPr>
        <w:tc>
          <w:tcPr>
            <w:tcW w:w="964" w:type="dxa"/>
            <w:shd w:val="clear" w:color="auto" w:fill="auto"/>
            <w:vAlign w:val="center"/>
          </w:tcPr>
          <w:p w14:paraId="276E2364" w14:textId="096A72F7"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2031</w:t>
            </w:r>
          </w:p>
        </w:tc>
        <w:tc>
          <w:tcPr>
            <w:tcW w:w="3276" w:type="dxa"/>
            <w:shd w:val="clear" w:color="auto" w:fill="auto"/>
          </w:tcPr>
          <w:p w14:paraId="76DA4C96" w14:textId="6E3EC6E7"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26,6303% </w:t>
            </w:r>
          </w:p>
        </w:tc>
      </w:tr>
      <w:tr w:rsidR="009E2114" w:rsidRPr="00D63614" w14:paraId="1FD07E30" w14:textId="77777777" w:rsidTr="001D3347">
        <w:trPr>
          <w:jc w:val="center"/>
        </w:trPr>
        <w:tc>
          <w:tcPr>
            <w:tcW w:w="964" w:type="dxa"/>
            <w:shd w:val="clear" w:color="auto" w:fill="auto"/>
            <w:vAlign w:val="center"/>
          </w:tcPr>
          <w:p w14:paraId="67EB1BF7" w14:textId="53C91C6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2031</w:t>
            </w:r>
          </w:p>
        </w:tc>
        <w:tc>
          <w:tcPr>
            <w:tcW w:w="3276" w:type="dxa"/>
            <w:shd w:val="clear" w:color="auto" w:fill="auto"/>
          </w:tcPr>
          <w:p w14:paraId="34C5B57E" w14:textId="79617E4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31,6501% </w:t>
            </w:r>
          </w:p>
        </w:tc>
      </w:tr>
      <w:tr w:rsidR="009E2114" w:rsidRPr="00D63614" w14:paraId="20FEE0A0" w14:textId="77777777" w:rsidTr="001D3347">
        <w:trPr>
          <w:jc w:val="center"/>
        </w:trPr>
        <w:tc>
          <w:tcPr>
            <w:tcW w:w="964" w:type="dxa"/>
            <w:shd w:val="clear" w:color="auto" w:fill="auto"/>
            <w:vAlign w:val="center"/>
          </w:tcPr>
          <w:p w14:paraId="1C85C1FE" w14:textId="6553C833"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2032</w:t>
            </w:r>
          </w:p>
        </w:tc>
        <w:tc>
          <w:tcPr>
            <w:tcW w:w="3276" w:type="dxa"/>
            <w:shd w:val="clear" w:color="auto" w:fill="auto"/>
          </w:tcPr>
          <w:p w14:paraId="2D43E6ED" w14:textId="2C358B0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38,0325% </w:t>
            </w:r>
          </w:p>
        </w:tc>
      </w:tr>
      <w:tr w:rsidR="009E2114" w:rsidRPr="00D63614" w14:paraId="2E8734A9" w14:textId="77777777" w:rsidTr="001D3347">
        <w:trPr>
          <w:jc w:val="center"/>
        </w:trPr>
        <w:tc>
          <w:tcPr>
            <w:tcW w:w="964" w:type="dxa"/>
            <w:shd w:val="clear" w:color="auto" w:fill="auto"/>
            <w:vAlign w:val="center"/>
          </w:tcPr>
          <w:p w14:paraId="6CFC1B63" w14:textId="5A34477C"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2032</w:t>
            </w:r>
          </w:p>
        </w:tc>
        <w:tc>
          <w:tcPr>
            <w:tcW w:w="3276" w:type="dxa"/>
            <w:shd w:val="clear" w:color="auto" w:fill="auto"/>
          </w:tcPr>
          <w:p w14:paraId="684808D1" w14:textId="1D22AE4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44,4150% </w:t>
            </w:r>
          </w:p>
        </w:tc>
      </w:tr>
      <w:tr w:rsidR="009E2114" w:rsidRPr="00D63614" w14:paraId="0DE0A0B5" w14:textId="77777777" w:rsidTr="001D3347">
        <w:trPr>
          <w:jc w:val="center"/>
        </w:trPr>
        <w:tc>
          <w:tcPr>
            <w:tcW w:w="964" w:type="dxa"/>
            <w:shd w:val="clear" w:color="auto" w:fill="auto"/>
            <w:vAlign w:val="center"/>
          </w:tcPr>
          <w:p w14:paraId="13FBFF1B" w14:textId="22A73CA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2033</w:t>
            </w:r>
          </w:p>
        </w:tc>
        <w:tc>
          <w:tcPr>
            <w:tcW w:w="3276" w:type="dxa"/>
            <w:shd w:val="clear" w:color="auto" w:fill="auto"/>
          </w:tcPr>
          <w:p w14:paraId="68AB4771" w14:textId="5683EE58"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50,5167% </w:t>
            </w:r>
          </w:p>
        </w:tc>
      </w:tr>
      <w:tr w:rsidR="009E2114" w:rsidRPr="00D63614" w14:paraId="0C1DA404" w14:textId="77777777" w:rsidTr="001D3347">
        <w:trPr>
          <w:jc w:val="center"/>
        </w:trPr>
        <w:tc>
          <w:tcPr>
            <w:tcW w:w="964" w:type="dxa"/>
            <w:shd w:val="clear" w:color="auto" w:fill="auto"/>
            <w:vAlign w:val="center"/>
          </w:tcPr>
          <w:p w14:paraId="7D81ED62" w14:textId="04CEE65B"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2033</w:t>
            </w:r>
          </w:p>
        </w:tc>
        <w:tc>
          <w:tcPr>
            <w:tcW w:w="3276" w:type="dxa"/>
            <w:shd w:val="clear" w:color="auto" w:fill="auto"/>
          </w:tcPr>
          <w:p w14:paraId="57FFD1BA" w14:textId="1E5B940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56,6184% </w:t>
            </w:r>
          </w:p>
        </w:tc>
      </w:tr>
      <w:tr w:rsidR="009E2114" w:rsidRPr="00D63614" w14:paraId="78027D9C" w14:textId="77777777" w:rsidTr="001D3347">
        <w:trPr>
          <w:jc w:val="center"/>
        </w:trPr>
        <w:tc>
          <w:tcPr>
            <w:tcW w:w="964" w:type="dxa"/>
            <w:shd w:val="clear" w:color="auto" w:fill="auto"/>
            <w:vAlign w:val="center"/>
          </w:tcPr>
          <w:p w14:paraId="6829DFF4" w14:textId="1067E510"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2034</w:t>
            </w:r>
          </w:p>
        </w:tc>
        <w:tc>
          <w:tcPr>
            <w:tcW w:w="3276" w:type="dxa"/>
            <w:shd w:val="clear" w:color="auto" w:fill="auto"/>
          </w:tcPr>
          <w:p w14:paraId="67C47D29" w14:textId="3A4B16F4"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62,5585% </w:t>
            </w:r>
          </w:p>
        </w:tc>
      </w:tr>
      <w:tr w:rsidR="009E2114" w:rsidRPr="00D63614" w14:paraId="738A1EB5" w14:textId="77777777" w:rsidTr="001D3347">
        <w:trPr>
          <w:jc w:val="center"/>
        </w:trPr>
        <w:tc>
          <w:tcPr>
            <w:tcW w:w="964" w:type="dxa"/>
            <w:shd w:val="clear" w:color="auto" w:fill="auto"/>
            <w:vAlign w:val="center"/>
          </w:tcPr>
          <w:p w14:paraId="1299C335" w14:textId="7CCB4C88"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2034</w:t>
            </w:r>
          </w:p>
        </w:tc>
        <w:tc>
          <w:tcPr>
            <w:tcW w:w="3276" w:type="dxa"/>
            <w:shd w:val="clear" w:color="auto" w:fill="auto"/>
          </w:tcPr>
          <w:p w14:paraId="22495D39" w14:textId="6DBC67E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68,4986% </w:t>
            </w:r>
          </w:p>
        </w:tc>
      </w:tr>
      <w:tr w:rsidR="009E2114" w:rsidRPr="00D63614" w14:paraId="03903F16" w14:textId="77777777" w:rsidTr="001D3347">
        <w:trPr>
          <w:jc w:val="center"/>
        </w:trPr>
        <w:tc>
          <w:tcPr>
            <w:tcW w:w="964" w:type="dxa"/>
            <w:shd w:val="clear" w:color="auto" w:fill="auto"/>
            <w:vAlign w:val="center"/>
          </w:tcPr>
          <w:p w14:paraId="14C8FF24" w14:textId="1E4406AD"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2035</w:t>
            </w:r>
          </w:p>
        </w:tc>
        <w:tc>
          <w:tcPr>
            <w:tcW w:w="3276" w:type="dxa"/>
            <w:shd w:val="clear" w:color="auto" w:fill="auto"/>
          </w:tcPr>
          <w:p w14:paraId="18D37731" w14:textId="6FEA096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75,2881% </w:t>
            </w:r>
          </w:p>
        </w:tc>
      </w:tr>
      <w:tr w:rsidR="009E2114" w:rsidRPr="00D63614" w14:paraId="2D737C3E" w14:textId="77777777" w:rsidTr="001D3347">
        <w:trPr>
          <w:jc w:val="center"/>
        </w:trPr>
        <w:tc>
          <w:tcPr>
            <w:tcW w:w="964" w:type="dxa"/>
            <w:shd w:val="clear" w:color="auto" w:fill="auto"/>
            <w:vAlign w:val="center"/>
          </w:tcPr>
          <w:p w14:paraId="4FD0EFE1" w14:textId="32C0EBB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2035</w:t>
            </w:r>
          </w:p>
        </w:tc>
        <w:tc>
          <w:tcPr>
            <w:tcW w:w="3276" w:type="dxa"/>
            <w:shd w:val="clear" w:color="auto" w:fill="auto"/>
          </w:tcPr>
          <w:p w14:paraId="22CCFF86" w14:textId="0077157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82,0775% </w:t>
            </w:r>
          </w:p>
        </w:tc>
      </w:tr>
      <w:tr w:rsidR="009E2114" w:rsidRPr="00D63614" w14:paraId="4BEBB27C" w14:textId="77777777" w:rsidTr="001D3347">
        <w:trPr>
          <w:jc w:val="center"/>
        </w:trPr>
        <w:tc>
          <w:tcPr>
            <w:tcW w:w="964" w:type="dxa"/>
            <w:shd w:val="clear" w:color="auto" w:fill="auto"/>
            <w:vAlign w:val="center"/>
          </w:tcPr>
          <w:p w14:paraId="427211B8" w14:textId="2E1EE521"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2036</w:t>
            </w:r>
          </w:p>
        </w:tc>
        <w:tc>
          <w:tcPr>
            <w:tcW w:w="3276" w:type="dxa"/>
            <w:shd w:val="clear" w:color="auto" w:fill="auto"/>
          </w:tcPr>
          <w:p w14:paraId="0715019E" w14:textId="737F9C3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91,0387% </w:t>
            </w:r>
          </w:p>
        </w:tc>
      </w:tr>
      <w:tr w:rsidR="009E2114" w:rsidRPr="00D63614" w14:paraId="47A5275D" w14:textId="77777777" w:rsidTr="00B92AA9">
        <w:trPr>
          <w:jc w:val="center"/>
        </w:trPr>
        <w:tc>
          <w:tcPr>
            <w:tcW w:w="964" w:type="dxa"/>
            <w:shd w:val="clear" w:color="auto" w:fill="auto"/>
            <w:vAlign w:val="center"/>
          </w:tcPr>
          <w:p w14:paraId="5C5CC37B" w14:textId="68219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9E2114" w:rsidRPr="00D63614" w:rsidRDefault="009E2114" w:rsidP="009E2114">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019810D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100,0000% </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1D60005F"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E676DD">
        <w:rPr>
          <w:rFonts w:ascii="Garamond" w:hAnsi="Garamond" w:cs="Arial"/>
          <w:sz w:val="24"/>
          <w:szCs w:val="24"/>
          <w:lang w:val="pt-BR"/>
        </w:rPr>
        <w:t xml:space="preserve">a </w:t>
      </w:r>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r w:rsidR="00DC2637">
        <w:rPr>
          <w:rFonts w:ascii="Garamond" w:hAnsi="Garamond" w:cs="Arial"/>
          <w:sz w:val="24"/>
          <w:szCs w:val="24"/>
          <w:lang w:val="pt-BR"/>
        </w:rPr>
        <w:t xml:space="preserve"> </w:t>
      </w:r>
      <w:r w:rsidR="00DC2637" w:rsidRPr="00DC2637">
        <w:rPr>
          <w:rFonts w:ascii="Garamond" w:hAnsi="Garamond" w:cs="Arial"/>
          <w:b/>
          <w:bCs/>
          <w:sz w:val="24"/>
          <w:szCs w:val="24"/>
          <w:highlight w:val="yellow"/>
          <w:lang w:val="pt-BR"/>
        </w:rPr>
        <w:t xml:space="preserve">[Nota SF: </w:t>
      </w:r>
      <w:r w:rsidR="00DC2637" w:rsidRPr="00DC2637">
        <w:rPr>
          <w:rFonts w:ascii="Garamond" w:hAnsi="Garamond" w:cs="Arial"/>
          <w:b/>
          <w:bCs/>
          <w:sz w:val="24"/>
          <w:szCs w:val="24"/>
          <w:highlight w:val="yellow"/>
          <w:lang w:val="pt-BR"/>
        </w:rPr>
        <w:t xml:space="preserve">esclarecemos que o mecanismo de remuneração é o mesmo que foi estabelecido na 1ª emissão de debêntures da Companhia (ICVM 476), porém, sem a previsão de </w:t>
      </w:r>
      <w:proofErr w:type="spellStart"/>
      <w:r w:rsidR="00DC2637" w:rsidRPr="00DC2637">
        <w:rPr>
          <w:rFonts w:ascii="Garamond" w:hAnsi="Garamond" w:cs="Arial"/>
          <w:b/>
          <w:bCs/>
          <w:sz w:val="24"/>
          <w:szCs w:val="24"/>
          <w:highlight w:val="yellow"/>
          <w:lang w:val="pt-BR"/>
        </w:rPr>
        <w:t>step</w:t>
      </w:r>
      <w:proofErr w:type="spellEnd"/>
      <w:r w:rsidR="00DC2637" w:rsidRPr="00DC2637">
        <w:rPr>
          <w:rFonts w:ascii="Garamond" w:hAnsi="Garamond" w:cs="Arial"/>
          <w:b/>
          <w:bCs/>
          <w:sz w:val="24"/>
          <w:szCs w:val="24"/>
          <w:highlight w:val="yellow"/>
          <w:lang w:val="pt-BR"/>
        </w:rPr>
        <w:t xml:space="preserve"> </w:t>
      </w:r>
      <w:proofErr w:type="spellStart"/>
      <w:r w:rsidR="00DC2637" w:rsidRPr="00DC2637">
        <w:rPr>
          <w:rFonts w:ascii="Garamond" w:hAnsi="Garamond" w:cs="Arial"/>
          <w:b/>
          <w:bCs/>
          <w:sz w:val="24"/>
          <w:szCs w:val="24"/>
          <w:highlight w:val="yellow"/>
          <w:lang w:val="pt-BR"/>
        </w:rPr>
        <w:t>up</w:t>
      </w:r>
      <w:proofErr w:type="spellEnd"/>
      <w:r w:rsidR="00DC2637" w:rsidRPr="00DC2637">
        <w:rPr>
          <w:rFonts w:ascii="Garamond" w:hAnsi="Garamond" w:cs="Arial"/>
          <w:b/>
          <w:bCs/>
          <w:sz w:val="24"/>
          <w:szCs w:val="24"/>
          <w:highlight w:val="yellow"/>
          <w:lang w:val="pt-BR"/>
        </w:rPr>
        <w:t xml:space="preserve"> de taxa, tendo em vista que já houve a emissão do rating</w:t>
      </w:r>
      <w:r w:rsidR="00DC2637" w:rsidRPr="00DC2637">
        <w:rPr>
          <w:rFonts w:ascii="Garamond" w:hAnsi="Garamond" w:cs="Arial"/>
          <w:b/>
          <w:bCs/>
          <w:sz w:val="24"/>
          <w:szCs w:val="24"/>
          <w:highlight w:val="yellow"/>
          <w:lang w:val="pt-BR"/>
        </w:rPr>
        <w:t>]</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lastRenderedPageBreak/>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61E6ED8D"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3"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xml:space="preserve">; e (b) a </w:t>
      </w:r>
      <w:r w:rsidR="00632C79" w:rsidRPr="00D63614">
        <w:rPr>
          <w:rFonts w:ascii="Garamond" w:hAnsi="Garamond" w:cs="Arial"/>
          <w:sz w:val="24"/>
          <w:szCs w:val="24"/>
          <w:lang w:val="pt-BR"/>
        </w:rPr>
        <w:lastRenderedPageBreak/>
        <w:t>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baseada na cotação indicativa divulgada pela ANBIMA em sua página na internet (</w:t>
      </w:r>
      <w:hyperlink r:id="rId34"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r w:rsidR="00DC2637">
        <w:rPr>
          <w:rFonts w:ascii="Garamond" w:hAnsi="Garamond" w:cs="Arial"/>
          <w:sz w:val="24"/>
          <w:szCs w:val="24"/>
          <w:lang w:val="pt-BR"/>
        </w:rPr>
        <w:t xml:space="preserve"> </w:t>
      </w:r>
      <w:r w:rsidR="00DC2637" w:rsidRPr="00DC2637">
        <w:rPr>
          <w:rFonts w:ascii="Garamond" w:hAnsi="Garamond" w:cs="Arial"/>
          <w:b/>
          <w:bCs/>
          <w:sz w:val="24"/>
          <w:szCs w:val="24"/>
          <w:highlight w:val="yellow"/>
          <w:lang w:val="pt-BR"/>
        </w:rPr>
        <w:t xml:space="preserve">[Nota SF: esclarecemos que o mecanismo de remuneração é o mesmo que foi estabelecido na 1ª emissão de debêntures da Companhia (ICVM 476), porém, sem a previsão de </w:t>
      </w:r>
      <w:proofErr w:type="spellStart"/>
      <w:r w:rsidR="00DC2637" w:rsidRPr="00DC2637">
        <w:rPr>
          <w:rFonts w:ascii="Garamond" w:hAnsi="Garamond" w:cs="Arial"/>
          <w:b/>
          <w:bCs/>
          <w:sz w:val="24"/>
          <w:szCs w:val="24"/>
          <w:highlight w:val="yellow"/>
          <w:lang w:val="pt-BR"/>
        </w:rPr>
        <w:t>step</w:t>
      </w:r>
      <w:proofErr w:type="spellEnd"/>
      <w:r w:rsidR="00DC2637" w:rsidRPr="00DC2637">
        <w:rPr>
          <w:rFonts w:ascii="Garamond" w:hAnsi="Garamond" w:cs="Arial"/>
          <w:b/>
          <w:bCs/>
          <w:sz w:val="24"/>
          <w:szCs w:val="24"/>
          <w:highlight w:val="yellow"/>
          <w:lang w:val="pt-BR"/>
        </w:rPr>
        <w:t xml:space="preserve"> </w:t>
      </w:r>
      <w:proofErr w:type="spellStart"/>
      <w:r w:rsidR="00DC2637" w:rsidRPr="00DC2637">
        <w:rPr>
          <w:rFonts w:ascii="Garamond" w:hAnsi="Garamond" w:cs="Arial"/>
          <w:b/>
          <w:bCs/>
          <w:sz w:val="24"/>
          <w:szCs w:val="24"/>
          <w:highlight w:val="yellow"/>
          <w:lang w:val="pt-BR"/>
        </w:rPr>
        <w:t>up</w:t>
      </w:r>
      <w:proofErr w:type="spellEnd"/>
      <w:r w:rsidR="00DC2637" w:rsidRPr="00DC2637">
        <w:rPr>
          <w:rFonts w:ascii="Garamond" w:hAnsi="Garamond" w:cs="Arial"/>
          <w:b/>
          <w:bCs/>
          <w:sz w:val="24"/>
          <w:szCs w:val="24"/>
          <w:highlight w:val="yellow"/>
          <w:lang w:val="pt-BR"/>
        </w:rPr>
        <w:t xml:space="preserve"> de taxa, tendo em vista que já houve a emissão do rating]</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w:t>
      </w:r>
      <w:r w:rsidR="00927B44" w:rsidRPr="00D63614">
        <w:rPr>
          <w:rFonts w:ascii="Garamond" w:eastAsia="Arial Unicode MS" w:hAnsi="Garamond" w:cs="Arial"/>
          <w:sz w:val="24"/>
          <w:szCs w:val="24"/>
          <w:lang w:val="pt-BR"/>
        </w:rPr>
        <w:lastRenderedPageBreak/>
        <w:t xml:space="preserve">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 xml:space="preserve">Caso não seja permitido o resgate antecipado das </w:t>
      </w:r>
      <w:r w:rsidR="00B31094" w:rsidRPr="00D63614">
        <w:rPr>
          <w:rFonts w:ascii="Garamond" w:hAnsi="Garamond"/>
          <w:sz w:val="24"/>
          <w:szCs w:val="24"/>
          <w:lang w:val="pt-BR"/>
        </w:rPr>
        <w:lastRenderedPageBreak/>
        <w:t>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lastRenderedPageBreak/>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33CE4BC2"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 xml:space="preserve">da Portaria do </w:t>
      </w:r>
      <w:r w:rsidR="00574631" w:rsidRPr="00D63614">
        <w:rPr>
          <w:rFonts w:ascii="Garamond" w:hAnsi="Garamond"/>
          <w:sz w:val="24"/>
          <w:szCs w:val="24"/>
          <w:lang w:val="pt-BR"/>
        </w:rPr>
        <w:lastRenderedPageBreak/>
        <w:t>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bem como eventuais Resoluções e/ou 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 xml:space="preserve">ebenturistas da 1ª </w:t>
      </w:r>
      <w:r w:rsidR="00CB29D5" w:rsidRPr="00D63614">
        <w:rPr>
          <w:rFonts w:ascii="Garamond" w:hAnsi="Garamond"/>
          <w:sz w:val="24"/>
          <w:szCs w:val="24"/>
          <w:lang w:val="pt-BR"/>
        </w:rPr>
        <w:lastRenderedPageBreak/>
        <w:t>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0C3D0F4C"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r w:rsidR="00851022">
        <w:rPr>
          <w:rFonts w:ascii="Garamond" w:hAnsi="Garamond"/>
          <w:sz w:val="24"/>
          <w:szCs w:val="24"/>
          <w:lang w:val="pt-BR"/>
        </w:rPr>
        <w:t xml:space="preserve"> </w:t>
      </w:r>
    </w:p>
    <w:p w14:paraId="6AACFF46" w14:textId="1D808478"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r w:rsidR="00851022">
        <w:rPr>
          <w:rFonts w:ascii="Garamond" w:hAnsi="Garamond"/>
          <w:sz w:val="24"/>
          <w:szCs w:val="24"/>
          <w:lang w:val="pt-BR"/>
        </w:rPr>
        <w:t xml:space="preserve"> </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 xml:space="preserve">Observado o disposto no Contrato de Compartilhamento de Garantias, nesta Escritura de Emissão e nos Contratos de Garantia, o Agente Fiduciário e/ou os Debenturistas poderão executar as Garantias Reais, simultaneamente ou em </w:t>
      </w:r>
      <w:r w:rsidRPr="00D6361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0B7C305A"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2CF403F5"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B302C2">
        <w:rPr>
          <w:rFonts w:ascii="Garamond" w:hAnsi="Garamond"/>
          <w:sz w:val="24"/>
          <w:szCs w:val="24"/>
          <w:lang w:val="pt-BR"/>
        </w:rPr>
        <w:t>[</w:t>
      </w:r>
      <w:r w:rsidR="00927F52" w:rsidRPr="00A354A6">
        <w:rPr>
          <w:rFonts w:ascii="Garamond" w:hAnsi="Garamond"/>
          <w:sz w:val="24"/>
          <w:szCs w:val="24"/>
          <w:highlight w:val="yellow"/>
          <w:lang w:val="pt-BR"/>
        </w:rPr>
        <w:t>Para as dívidas onerosas cujos pagamentos não sejam mensais deverá ser considerado apenas o serviço da dívida apurado nos meses de pagamento contidos no referido período de 12 (doze) meses</w:t>
      </w:r>
      <w:r w:rsidR="00B302C2">
        <w:rPr>
          <w:rFonts w:ascii="Garamond" w:hAnsi="Garamond"/>
          <w:sz w:val="24"/>
          <w:szCs w:val="24"/>
          <w:lang w:val="pt-BR"/>
        </w:rPr>
        <w:t>]</w:t>
      </w:r>
      <w:r w:rsidR="003B7A1F">
        <w:rPr>
          <w:rFonts w:ascii="Garamond" w:hAnsi="Garamond"/>
          <w:sz w:val="24"/>
          <w:szCs w:val="24"/>
          <w:lang w:val="pt-BR"/>
        </w:rPr>
        <w:t>.</w:t>
      </w:r>
      <w:r w:rsidR="003B7A1F" w:rsidRPr="004D2496">
        <w:rPr>
          <w:rFonts w:ascii="Garamond" w:hAnsi="Garamond"/>
          <w:sz w:val="24"/>
          <w:szCs w:val="24"/>
          <w:lang w:val="pt-BR"/>
        </w:rPr>
        <w:t xml:space="preserve"> </w:t>
      </w:r>
      <w:r w:rsidR="00B302C2" w:rsidRPr="00A354A6">
        <w:rPr>
          <w:rFonts w:ascii="Garamond" w:hAnsi="Garamond"/>
          <w:b/>
          <w:bCs/>
          <w:sz w:val="24"/>
          <w:szCs w:val="24"/>
          <w:highlight w:val="yellow"/>
          <w:lang w:val="pt-BR"/>
        </w:rPr>
        <w:t xml:space="preserve">[Nota SF: </w:t>
      </w:r>
      <w:r w:rsidR="003009C7" w:rsidRPr="00A354A6">
        <w:rPr>
          <w:rFonts w:ascii="Garamond" w:hAnsi="Garamond"/>
          <w:b/>
          <w:bCs/>
          <w:sz w:val="24"/>
          <w:szCs w:val="24"/>
          <w:highlight w:val="yellow"/>
          <w:lang w:val="pt-BR"/>
        </w:rPr>
        <w:t>Trecho destacado sujeito à avaliação em conjunto com BNDES</w:t>
      </w:r>
      <w:r w:rsidR="00B302C2" w:rsidRPr="00A354A6">
        <w:rPr>
          <w:rFonts w:ascii="Garamond" w:hAnsi="Garamond"/>
          <w:b/>
          <w:bCs/>
          <w:sz w:val="24"/>
          <w:szCs w:val="24"/>
          <w:highlight w:val="yellow"/>
          <w:lang w:val="pt-BR"/>
        </w:rPr>
        <w:t>]</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lastRenderedPageBreak/>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w:t>
      </w:r>
      <w:proofErr w:type="gramStart"/>
      <w:r w:rsidR="00FB2736" w:rsidRPr="00D63614">
        <w:rPr>
          <w:rFonts w:ascii="Garamond" w:hAnsi="Garamond"/>
          <w:sz w:val="24"/>
          <w:szCs w:val="24"/>
          <w:lang w:val="pt-BR"/>
        </w:rPr>
        <w:t>renuncia</w:t>
      </w:r>
      <w:proofErr w:type="gramEnd"/>
      <w:r w:rsidR="00FB2736" w:rsidRPr="00D63614">
        <w:rPr>
          <w:rFonts w:ascii="Garamond" w:hAnsi="Garamond"/>
          <w:sz w:val="24"/>
          <w:szCs w:val="24"/>
          <w:lang w:val="pt-BR"/>
        </w:rPr>
        <w:t xml:space="preserve">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lastRenderedPageBreak/>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49"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49"/>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lastRenderedPageBreak/>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 xml:space="preserve">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w:t>
      </w:r>
      <w:r w:rsidR="00BF4084" w:rsidRPr="00D63614">
        <w:rPr>
          <w:rFonts w:ascii="Garamond" w:hAnsi="Garamond"/>
          <w:sz w:val="24"/>
          <w:lang w:val="pt-BR"/>
        </w:rPr>
        <w:lastRenderedPageBreak/>
        <w:t xml:space="preserve">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xml:space="preserve">) na capacidade da Emissora em honrar as obrigações relativas às Debêntures </w:t>
      </w:r>
      <w:r w:rsidR="00915164" w:rsidRPr="00D63614">
        <w:rPr>
          <w:rFonts w:ascii="Garamond" w:hAnsi="Garamond" w:cs="Arial"/>
          <w:sz w:val="24"/>
          <w:szCs w:val="24"/>
          <w:lang w:val="pt-BR"/>
        </w:rPr>
        <w:lastRenderedPageBreak/>
        <w:t>(“</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0"/>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1"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1"/>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4 (quatro) </w:t>
      </w:r>
      <w:proofErr w:type="gramStart"/>
      <w:r w:rsidRPr="00D63614">
        <w:rPr>
          <w:rFonts w:ascii="Garamond" w:hAnsi="Garamond" w:cs="Arial"/>
          <w:sz w:val="24"/>
          <w:szCs w:val="24"/>
          <w:lang w:val="pt-BR"/>
        </w:rPr>
        <w:t>trimestres da Fiadora não poderá</w:t>
      </w:r>
      <w:proofErr w:type="gramEnd"/>
      <w:r w:rsidRPr="00D63614">
        <w:rPr>
          <w:rFonts w:ascii="Garamond" w:hAnsi="Garamond" w:cs="Arial"/>
          <w:sz w:val="24"/>
          <w:szCs w:val="24"/>
          <w:lang w:val="pt-BR"/>
        </w:rPr>
        <w:t xml:space="preserve">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w:t>
      </w:r>
      <w:r w:rsidRPr="00D63614">
        <w:rPr>
          <w:rFonts w:ascii="Garamond" w:hAnsi="Garamond" w:cs="Arial"/>
          <w:sz w:val="24"/>
          <w:szCs w:val="24"/>
          <w:lang w:val="pt-BR"/>
        </w:rPr>
        <w:lastRenderedPageBreak/>
        <w:t xml:space="preserve">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3"/>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xml:space="preserve">) nos quais a </w:t>
      </w:r>
      <w:r w:rsidR="00BC277F" w:rsidRPr="00D63614">
        <w:rPr>
          <w:rFonts w:ascii="Garamond" w:hAnsi="Garamond" w:cs="Arial"/>
          <w:sz w:val="24"/>
          <w:szCs w:val="24"/>
          <w:lang w:val="pt-BR"/>
        </w:rPr>
        <w:lastRenderedPageBreak/>
        <w:t>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r w:rsidR="003B251B" w:rsidRPr="00D63614">
        <w:rPr>
          <w:rFonts w:ascii="Garamond" w:hAnsi="Garamond" w:cs="Arial"/>
          <w:sz w:val="24"/>
          <w:szCs w:val="24"/>
          <w:lang w:val="pt-BR"/>
        </w:rPr>
        <w:t>mutuária</w:t>
      </w:r>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4" w:name="_DV_M345"/>
      <w:bookmarkEnd w:id="54"/>
      <w:r w:rsidR="00FE0C54" w:rsidRPr="00D63614">
        <w:rPr>
          <w:rFonts w:ascii="Garamond" w:hAnsi="Garamond" w:cs="Arial"/>
          <w:sz w:val="24"/>
          <w:szCs w:val="24"/>
          <w:lang w:val="pt-BR"/>
        </w:rPr>
        <w:t xml:space="preserve"> operação do Projeto</w:t>
      </w:r>
      <w:bookmarkStart w:id="55" w:name="_DV_M346"/>
      <w:bookmarkEnd w:id="55"/>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6"/>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7"/>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D63614">
        <w:rPr>
          <w:rFonts w:ascii="Garamond" w:hAnsi="Garamond" w:cs="Arial"/>
          <w:sz w:val="24"/>
          <w:szCs w:val="24"/>
          <w:lang w:val="pt-BR"/>
        </w:rPr>
        <w:lastRenderedPageBreak/>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w:t>
      </w:r>
      <w:r w:rsidRPr="00D63614">
        <w:rPr>
          <w:rFonts w:ascii="Garamond" w:hAnsi="Garamond" w:cs="Arial"/>
          <w:sz w:val="24"/>
          <w:szCs w:val="24"/>
          <w:lang w:val="pt-BR"/>
        </w:rPr>
        <w:lastRenderedPageBreak/>
        <w:t xml:space="preserve">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7"/>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8"/>
      <w:bookmarkEnd w:id="69"/>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0"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w:t>
      </w:r>
      <w:r w:rsidRPr="00D63614">
        <w:rPr>
          <w:rFonts w:ascii="Garamond" w:hAnsi="Garamond" w:cs="Arial"/>
          <w:sz w:val="24"/>
          <w:szCs w:val="24"/>
          <w:lang w:val="pt-BR"/>
        </w:rPr>
        <w:lastRenderedPageBreak/>
        <w:t>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0"/>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Farão jus ao recebimento de qualquer valor devido aos Debenturistas nos termos desta Escritura de Emissão aqueles que </w:t>
      </w:r>
      <w:proofErr w:type="gramStart"/>
      <w:r w:rsidRPr="00D63614">
        <w:rPr>
          <w:rFonts w:ascii="Garamond" w:hAnsi="Garamond" w:cs="Arial"/>
          <w:sz w:val="24"/>
          <w:szCs w:val="24"/>
          <w:lang w:val="pt-BR"/>
        </w:rPr>
        <w:t>forem Debenturistas</w:t>
      </w:r>
      <w:proofErr w:type="gramEnd"/>
      <w:r w:rsidRPr="00D63614">
        <w:rPr>
          <w:rFonts w:ascii="Garamond" w:hAnsi="Garamond" w:cs="Arial"/>
          <w:sz w:val="24"/>
          <w:szCs w:val="24"/>
          <w:lang w:val="pt-BR"/>
        </w:rPr>
        <w:t xml:space="preserve">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1" w:name="_Ref420336525"/>
      <w:r w:rsidRPr="00D63614">
        <w:rPr>
          <w:rFonts w:ascii="Garamond" w:hAnsi="Garamond" w:cs="Arial"/>
          <w:b/>
          <w:sz w:val="24"/>
          <w:szCs w:val="24"/>
          <w:lang w:val="pt-BR"/>
        </w:rPr>
        <w:t>Publicidade</w:t>
      </w:r>
      <w:bookmarkEnd w:id="71"/>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4" w:name="_Ref531986287"/>
      <w:r w:rsidRPr="00D63614">
        <w:rPr>
          <w:rFonts w:ascii="Garamond" w:hAnsi="Garamond" w:cs="Arial"/>
          <w:b/>
          <w:sz w:val="24"/>
          <w:szCs w:val="24"/>
          <w:lang w:val="pt-BR"/>
        </w:rPr>
        <w:t>Classificação de Risco</w:t>
      </w:r>
      <w:bookmarkEnd w:id="74"/>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w:t>
      </w:r>
      <w:r w:rsidRPr="00D63614">
        <w:rPr>
          <w:rFonts w:ascii="Garamond" w:hAnsi="Garamond"/>
          <w:sz w:val="24"/>
          <w:szCs w:val="24"/>
          <w:lang w:val="pt-BR"/>
        </w:rPr>
        <w:lastRenderedPageBreak/>
        <w:t xml:space="preserve">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75" w:name="_Ref380141300"/>
      <w:bookmarkStart w:id="76" w:name="_Toc367387613"/>
    </w:p>
    <w:bookmarkEnd w:id="75"/>
    <w:bookmarkEnd w:id="76"/>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7" w:name="_DV_C6"/>
      <w:r w:rsidRPr="00D63614">
        <w:rPr>
          <w:rFonts w:ascii="Garamond" w:hAnsi="Garamond"/>
          <w:sz w:val="24"/>
          <w:szCs w:val="24"/>
          <w:lang w:val="pt-BR"/>
        </w:rPr>
        <w:t xml:space="preserve"> acima, caso, a qualquer momento durante a vigência da presente Escritura de Emissão e até a </w:t>
      </w:r>
      <w:bookmarkEnd w:id="77"/>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5"/>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xml:space="preserve">) não ocorrência de </w:t>
      </w:r>
      <w:r w:rsidR="00905A40" w:rsidRPr="00D63614">
        <w:rPr>
          <w:rFonts w:ascii="Garamond" w:hAnsi="Garamond" w:cs="Arial"/>
          <w:sz w:val="24"/>
          <w:szCs w:val="24"/>
        </w:rPr>
        <w:lastRenderedPageBreak/>
        <w:t>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lastRenderedPageBreak/>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6"/>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29"/>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w:t>
      </w:r>
      <w:r w:rsidR="005C0FA1" w:rsidRPr="00D63614">
        <w:rPr>
          <w:rFonts w:ascii="Garamond" w:eastAsia="Arial" w:hAnsi="Garamond" w:cs="Arial"/>
          <w:sz w:val="24"/>
          <w:szCs w:val="24"/>
          <w:lang w:eastAsia="en-GB"/>
        </w:rPr>
        <w:lastRenderedPageBreak/>
        <w:t xml:space="preserve">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63614">
        <w:rPr>
          <w:rFonts w:ascii="Garamond" w:hAnsi="Garamond" w:cs="Arial"/>
          <w:sz w:val="24"/>
          <w:szCs w:val="24"/>
        </w:rPr>
        <w:t xml:space="preserve">obter e manter válidas e eficazes todas as autorizações, incluindo as societárias e governamentais, exigidas: (i) para a validade ou exequibilidade das </w:t>
      </w:r>
      <w:r w:rsidRPr="00D63614">
        <w:rPr>
          <w:rFonts w:ascii="Garamond" w:hAnsi="Garamond" w:cs="Arial"/>
          <w:sz w:val="24"/>
          <w:szCs w:val="24"/>
        </w:rPr>
        <w:lastRenderedPageBreak/>
        <w:t>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0"/>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1" w:name="_Hlk40391908"/>
      <w:r w:rsidR="006C0BD2" w:rsidRPr="00D63614">
        <w:rPr>
          <w:rFonts w:ascii="Garamond" w:hAnsi="Garamond" w:cs="Arial"/>
          <w:sz w:val="24"/>
          <w:szCs w:val="24"/>
        </w:rPr>
        <w:t xml:space="preserve">cuja rescisão resultaria em um Efeito Adverso Relevante </w:t>
      </w:r>
      <w:bookmarkEnd w:id="131"/>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 xml:space="preserve">medidas e ações preventivas ou reparatórias, destinadas a evitar e corrigir </w:t>
      </w:r>
      <w:r w:rsidRPr="00D63614">
        <w:rPr>
          <w:rFonts w:ascii="Garamond" w:hAnsi="Garamond" w:cs="Arial"/>
          <w:sz w:val="24"/>
          <w:szCs w:val="24"/>
        </w:rPr>
        <w:lastRenderedPageBreak/>
        <w:t>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2"/>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69"/>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sidRPr="00D63614">
        <w:rPr>
          <w:rFonts w:ascii="Garamond" w:hAnsi="Garamond" w:cs="Arial"/>
          <w:sz w:val="24"/>
          <w:szCs w:val="24"/>
        </w:rPr>
        <w:lastRenderedPageBreak/>
        <w:t>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D63614">
        <w:rPr>
          <w:rFonts w:ascii="Garamond" w:hAnsi="Garamond" w:cs="Arial"/>
          <w:sz w:val="24"/>
          <w:szCs w:val="24"/>
        </w:rPr>
        <w:lastRenderedPageBreak/>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 xml:space="preserve">trimestre social, ou em até 1 (um) Dia Útil contado da data da efetiva divulgação, o que ocorrer primeiro, cópia de suas informações financeiras </w:t>
      </w:r>
      <w:r w:rsidRPr="00D63614">
        <w:rPr>
          <w:rFonts w:ascii="Garamond" w:hAnsi="Garamond" w:cs="Arial"/>
          <w:sz w:val="24"/>
          <w:szCs w:val="24"/>
        </w:rPr>
        <w:lastRenderedPageBreak/>
        <w:t>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w:t>
      </w:r>
      <w:r w:rsidRPr="00D63614">
        <w:rPr>
          <w:rFonts w:ascii="Garamond" w:hAnsi="Garamond" w:cs="Arial"/>
          <w:sz w:val="24"/>
          <w:szCs w:val="24"/>
          <w:lang w:val="pt-BR"/>
        </w:rPr>
        <w:lastRenderedPageBreak/>
        <w:t xml:space="preserve">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 xml:space="preserve">durante a estruturação da Emissão, caso </w:t>
      </w:r>
      <w:proofErr w:type="gramStart"/>
      <w:r w:rsidRPr="00D63614">
        <w:rPr>
          <w:rFonts w:ascii="Garamond" w:hAnsi="Garamond"/>
          <w:sz w:val="24"/>
          <w:szCs w:val="24"/>
          <w:lang w:val="pt-BR"/>
        </w:rPr>
        <w:t>a mesma</w:t>
      </w:r>
      <w:proofErr w:type="gramEnd"/>
      <w:r w:rsidRPr="00D63614">
        <w:rPr>
          <w:rFonts w:ascii="Garamond" w:hAnsi="Garamond"/>
          <w:sz w:val="24"/>
          <w:szCs w:val="24"/>
          <w:lang w:val="pt-BR"/>
        </w:rPr>
        <w:t xml:space="preserve">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celebração de novos instrumentos no âmbito da Emissão, após a integralização </w:t>
      </w:r>
      <w:proofErr w:type="gramStart"/>
      <w:r w:rsidRPr="00D63614">
        <w:rPr>
          <w:rFonts w:ascii="Garamond" w:hAnsi="Garamond"/>
          <w:sz w:val="24"/>
          <w:szCs w:val="24"/>
          <w:lang w:val="pt-BR"/>
        </w:rPr>
        <w:t>da mesma</w:t>
      </w:r>
      <w:proofErr w:type="gramEnd"/>
      <w:r w:rsidRPr="00D63614">
        <w:rPr>
          <w:rFonts w:ascii="Garamond" w:hAnsi="Garamond"/>
          <w:sz w:val="24"/>
          <w:szCs w:val="24"/>
          <w:lang w:val="pt-BR"/>
        </w:rPr>
        <w:t>;</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lastRenderedPageBreak/>
        <w:t xml:space="preserve">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lastRenderedPageBreak/>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w:t>
      </w:r>
      <w:r w:rsidRPr="00D63614">
        <w:rPr>
          <w:rFonts w:ascii="Garamond" w:hAnsi="Garamond" w:cs="Arial"/>
          <w:sz w:val="24"/>
          <w:szCs w:val="24"/>
        </w:rPr>
        <w:lastRenderedPageBreak/>
        <w:t>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D63614">
        <w:rPr>
          <w:rFonts w:ascii="Garamond" w:eastAsia="Times New Roman" w:hAnsi="Garamond" w:cs="Arial"/>
          <w:sz w:val="24"/>
          <w:szCs w:val="24"/>
          <w:lang w:val="pt-BR" w:eastAsia="en-US"/>
        </w:rPr>
        <w:t xml:space="preserve">existência de </w:t>
      </w:r>
      <w:bookmarkStart w:id="240"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w:t>
      </w:r>
      <w:r w:rsidRPr="00D63614">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5"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No caso de inadimplemento de quaisquer condições da Emissora, o Agente Fiduciário deve usar de toda e qualquer medida prevista em lei ou na Escritura de </w:t>
      </w:r>
      <w:r w:rsidRPr="00D63614">
        <w:rPr>
          <w:rFonts w:ascii="Garamond" w:eastAsia="Times New Roman" w:hAnsi="Garamond" w:cs="Arial"/>
          <w:sz w:val="24"/>
          <w:szCs w:val="24"/>
          <w:lang w:val="pt-BR" w:eastAsia="en-US"/>
        </w:rPr>
        <w:lastRenderedPageBreak/>
        <w:t>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4"/>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D63614">
        <w:rPr>
          <w:rFonts w:ascii="Garamond" w:hAnsi="Garamond"/>
          <w:sz w:val="24"/>
          <w:szCs w:val="24"/>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xml:space="preserve">” todas as Debêntures em circulação no mercado, excluídas as Debêntures que a Emissora </w:t>
      </w:r>
      <w:r w:rsidRPr="00D63614">
        <w:rPr>
          <w:rFonts w:ascii="Garamond" w:hAnsi="Garamond"/>
          <w:bCs/>
          <w:sz w:val="24"/>
          <w:szCs w:val="24"/>
        </w:rPr>
        <w:lastRenderedPageBreak/>
        <w:t>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 das formalidades previstas na legislação aplicável e nesta Escritura de Emissão para convocação, será considerada regular a Assembleia Geral </w:t>
      </w:r>
      <w:r w:rsidRPr="00D63614">
        <w:rPr>
          <w:rFonts w:ascii="Garamond" w:hAnsi="Garamond"/>
          <w:bCs/>
          <w:sz w:val="24"/>
          <w:szCs w:val="24"/>
        </w:rPr>
        <w:lastRenderedPageBreak/>
        <w:t>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D63614">
        <w:rPr>
          <w:rFonts w:ascii="Garamond" w:hAnsi="Garamond"/>
          <w:b/>
          <w:sz w:val="24"/>
        </w:rPr>
        <w:t>Quórum de Deliberação</w:t>
      </w:r>
      <w:bookmarkEnd w:id="245"/>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D63614">
        <w:rPr>
          <w:rFonts w:ascii="Garamond" w:hAnsi="Garamond"/>
          <w:bCs/>
          <w:sz w:val="24"/>
          <w:szCs w:val="24"/>
        </w:rPr>
        <w:t>Debenturista</w:t>
      </w:r>
      <w:proofErr w:type="gramEnd"/>
      <w:r w:rsidRPr="00D63614">
        <w:rPr>
          <w:rFonts w:ascii="Garamond" w:hAnsi="Garamond"/>
          <w:bCs/>
          <w:sz w:val="24"/>
          <w:szCs w:val="24"/>
        </w:rPr>
        <w:t xml:space="preserve">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6"/>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8"/>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w:t>
      </w:r>
      <w:r w:rsidRPr="00D63614">
        <w:rPr>
          <w:rFonts w:ascii="Garamond" w:hAnsi="Garamond"/>
          <w:bCs/>
          <w:sz w:val="24"/>
          <w:szCs w:val="24"/>
        </w:rPr>
        <w:lastRenderedPageBreak/>
        <w:t xml:space="preserve">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0"/>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49"/>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1"/>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w:t>
      </w:r>
      <w:r w:rsidR="00793E53" w:rsidRPr="00D63614">
        <w:rPr>
          <w:rFonts w:ascii="Garamond" w:eastAsia="Arial" w:hAnsi="Garamond" w:cs="Arial"/>
          <w:bCs/>
          <w:iCs/>
          <w:sz w:val="24"/>
          <w:szCs w:val="24"/>
          <w:lang w:eastAsia="en-GB"/>
        </w:rPr>
        <w:lastRenderedPageBreak/>
        <w:t>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4"/>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5"/>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xml:space="preserve">) não infringem qualquer disposição legal ou regulamentar a que a Emissora esteja sujeita; (v) não infringem qualquer </w:t>
      </w:r>
      <w:r w:rsidRPr="00D63614">
        <w:rPr>
          <w:rFonts w:ascii="Garamond" w:hAnsi="Garamond" w:cs="Arial"/>
          <w:sz w:val="24"/>
          <w:szCs w:val="24"/>
          <w:lang w:val="pt-BR" w:eastAsia="pt-BR"/>
        </w:rPr>
        <w:lastRenderedPageBreak/>
        <w:t>ordem, decisão ou sentença administrativa, judicial ou arbitral que afete a Emissora e/ou qualquer de seus ativos</w:t>
      </w:r>
      <w:bookmarkEnd w:id="256"/>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7"/>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59"/>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com registro de companhia aberta, na categoria “A” da </w:t>
      </w:r>
      <w:r w:rsidRPr="00D63614">
        <w:rPr>
          <w:rFonts w:ascii="Garamond" w:hAnsi="Garamond" w:cs="Arial"/>
          <w:bCs/>
          <w:iCs/>
          <w:sz w:val="24"/>
          <w:szCs w:val="24"/>
          <w:lang w:val="pt-BR"/>
        </w:rPr>
        <w:lastRenderedPageBreak/>
        <w:t>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D63614">
        <w:rPr>
          <w:rFonts w:ascii="Garamond" w:hAnsi="Garamond"/>
          <w:sz w:val="24"/>
          <w:szCs w:val="24"/>
        </w:rPr>
        <w:t>Todos os documentos e a</w:t>
      </w:r>
      <w:bookmarkStart w:id="303"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6"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7"/>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6"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6"/>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7"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8"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D63614">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1CFF3D67" w:rsidR="00054F9C" w:rsidRPr="00A354A6"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5DDCC892" w14:textId="77777777" w:rsidR="00CE7BAF" w:rsidRPr="001216CA" w:rsidRDefault="00CE7BAF" w:rsidP="00CE7BAF">
      <w:pPr>
        <w:widowControl/>
        <w:numPr>
          <w:ilvl w:val="1"/>
          <w:numId w:val="22"/>
        </w:numPr>
        <w:autoSpaceDE/>
        <w:autoSpaceDN/>
        <w:adjustRightInd/>
        <w:spacing w:after="240" w:line="320" w:lineRule="exact"/>
        <w:ind w:left="0" w:firstLine="0"/>
        <w:rPr>
          <w:rFonts w:ascii="Garamond" w:hAnsi="Garamond" w:cs="Arial"/>
          <w:sz w:val="24"/>
          <w:szCs w:val="24"/>
        </w:rPr>
      </w:pPr>
      <w:r w:rsidRPr="001216CA">
        <w:rPr>
          <w:rFonts w:ascii="Garamond" w:hAnsi="Garamond" w:cs="Arial"/>
          <w:sz w:val="24"/>
          <w:szCs w:val="24"/>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sz w:val="24"/>
          <w:szCs w:val="24"/>
        </w:rPr>
        <w:t>.</w:t>
      </w:r>
    </w:p>
    <w:p w14:paraId="7A07723C" w14:textId="77777777" w:rsidR="00CE7BAF" w:rsidRPr="001216CA" w:rsidRDefault="00CE7BAF" w:rsidP="00CE7BAF">
      <w:pPr>
        <w:pStyle w:val="PargrafodaLista"/>
        <w:numPr>
          <w:ilvl w:val="2"/>
          <w:numId w:val="22"/>
        </w:numPr>
        <w:tabs>
          <w:tab w:val="clear" w:pos="1985"/>
        </w:tabs>
        <w:spacing w:after="240" w:line="320" w:lineRule="exact"/>
        <w:ind w:left="709" w:firstLine="0"/>
        <w:rPr>
          <w:rFonts w:ascii="Garamond" w:hAnsi="Garamond" w:cs="Arial"/>
          <w:sz w:val="24"/>
          <w:szCs w:val="24"/>
        </w:rPr>
      </w:pPr>
      <w:r w:rsidRPr="001216CA">
        <w:rPr>
          <w:rFonts w:ascii="Garamond" w:hAnsi="Garamond" w:cs="Arial"/>
          <w:sz w:val="24"/>
          <w:szCs w:val="24"/>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sz w:val="24"/>
          <w:szCs w:val="24"/>
        </w:rPr>
        <w:t>Florianópolis</w:t>
      </w:r>
      <w:r w:rsidRPr="001216CA">
        <w:rPr>
          <w:rFonts w:ascii="Garamond" w:hAnsi="Garamond" w:cs="Arial"/>
          <w:sz w:val="24"/>
          <w:szCs w:val="24"/>
        </w:rPr>
        <w:t xml:space="preserve">, Estado de </w:t>
      </w:r>
      <w:r>
        <w:rPr>
          <w:rFonts w:ascii="Garamond" w:hAnsi="Garamond" w:cs="Arial"/>
          <w:sz w:val="24"/>
          <w:szCs w:val="24"/>
        </w:rPr>
        <w:t>Santa Catarina</w:t>
      </w:r>
      <w:r w:rsidRPr="001216CA">
        <w:rPr>
          <w:rFonts w:ascii="Garamond" w:hAnsi="Garamond" w:cs="Arial"/>
          <w:sz w:val="24"/>
          <w:szCs w:val="24"/>
        </w:rPr>
        <w:t>, conforme abaixo indicado.</w:t>
      </w:r>
    </w:p>
    <w:p w14:paraId="06E36D17" w14:textId="0AB668E7" w:rsidR="00CE7BAF" w:rsidRPr="00D63614" w:rsidRDefault="00CE7BAF" w:rsidP="00A354A6">
      <w:pPr>
        <w:pStyle w:val="PargrafodaLista"/>
        <w:numPr>
          <w:ilvl w:val="2"/>
          <w:numId w:val="22"/>
        </w:numPr>
        <w:tabs>
          <w:tab w:val="clear" w:pos="1985"/>
        </w:tabs>
        <w:spacing w:after="240" w:line="320" w:lineRule="exact"/>
        <w:ind w:left="709" w:firstLine="0"/>
        <w:rPr>
          <w:rFonts w:ascii="Garamond" w:hAnsi="Garamond" w:cs="Arial"/>
          <w:sz w:val="24"/>
          <w:szCs w:val="24"/>
          <w:u w:val="single"/>
        </w:rPr>
      </w:pPr>
      <w:r w:rsidRPr="001216CA">
        <w:rPr>
          <w:rFonts w:ascii="Garamond" w:hAnsi="Garamond" w:cs="Arial"/>
          <w:sz w:val="24"/>
          <w:szCs w:val="24"/>
        </w:rPr>
        <w:t xml:space="preserve">As Partes declaram-se cientes e de acordo que esta Escritura de Emissão e todos os demais documentos assinados eletronicamente no âmbito da Emissão serão </w:t>
      </w:r>
      <w:r w:rsidRPr="001216CA">
        <w:rPr>
          <w:rFonts w:ascii="Garamond" w:hAnsi="Garamond" w:cs="Arial"/>
          <w:sz w:val="24"/>
          <w:szCs w:val="24"/>
        </w:rPr>
        <w:lastRenderedPageBreak/>
        <w:t>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337EB3F" w:rsidR="00493AB6" w:rsidRPr="00D63614" w:rsidRDefault="0037644A" w:rsidP="00B10A0C">
      <w:pPr>
        <w:widowControl/>
        <w:suppressAutoHyphens/>
        <w:spacing w:line="320" w:lineRule="exact"/>
        <w:jc w:val="center"/>
        <w:rPr>
          <w:rFonts w:ascii="Garamond" w:hAnsi="Garamond" w:cs="Arial"/>
          <w:sz w:val="24"/>
          <w:szCs w:val="24"/>
        </w:rPr>
      </w:pPr>
      <w:bookmarkStart w:id="350" w:name="_DV_M452"/>
      <w:bookmarkEnd w:id="350"/>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1" w:name="_DV_M453"/>
      <w:bookmarkStart w:id="352" w:name="_DV_M454"/>
      <w:bookmarkEnd w:id="351"/>
      <w:bookmarkEnd w:id="352"/>
      <w:r w:rsidR="00EC4B8A" w:rsidRPr="00D63614">
        <w:rPr>
          <w:rFonts w:ascii="Garamond" w:hAnsi="Garamond" w:cs="Arial"/>
          <w:sz w:val="24"/>
          <w:szCs w:val="24"/>
        </w:rPr>
        <w:t>[</w:t>
      </w:r>
      <w:r w:rsidR="00972415" w:rsidRPr="00A354A6">
        <w:rPr>
          <w:rFonts w:ascii="Garamond" w:hAnsi="Garamond" w:cs="Arial"/>
          <w:sz w:val="24"/>
          <w:szCs w:val="24"/>
          <w:highlight w:val="yellow"/>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956DF8">
        <w:rPr>
          <w:rFonts w:ascii="Garamond" w:hAnsi="Garamond" w:cs="Arial"/>
          <w:sz w:val="24"/>
          <w:szCs w:val="24"/>
        </w:rPr>
        <w:t>setembro</w:t>
      </w:r>
      <w:r w:rsidR="00956DF8"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9"/>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7" w:name="_DV_M460"/>
      <w:bookmarkEnd w:id="357"/>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40"/>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59" w:name="_DV_M616"/>
      <w:bookmarkStart w:id="360" w:name="_DV_M617"/>
      <w:bookmarkEnd w:id="359"/>
      <w:bookmarkEnd w:id="360"/>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1" w:name="_DV_M618"/>
      <w:bookmarkEnd w:id="361"/>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2" w:name="_DV_M620"/>
      <w:bookmarkEnd w:id="362"/>
    </w:p>
    <w:p w14:paraId="2E856069" w14:textId="77777777" w:rsidR="00F56C12" w:rsidRPr="00D63614" w:rsidRDefault="00F56C12" w:rsidP="00F56C12">
      <w:pPr>
        <w:rPr>
          <w:rFonts w:ascii="Garamond" w:eastAsia="SimSun" w:hAnsi="Garamond" w:cs="Arial"/>
          <w:b/>
          <w:w w:val="0"/>
          <w:sz w:val="24"/>
          <w:szCs w:val="24"/>
          <w:u w:val="single"/>
        </w:rPr>
      </w:pPr>
      <w:bookmarkStart w:id="363" w:name="_DV_M621"/>
      <w:bookmarkEnd w:id="363"/>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4" w:name="_DV_M622"/>
      <w:bookmarkEnd w:id="364"/>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5" w:name="_DV_M624"/>
      <w:bookmarkEnd w:id="365"/>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6" w:name="_DV_M625"/>
      <w:bookmarkEnd w:id="366"/>
    </w:p>
    <w:p w14:paraId="1E888EF0" w14:textId="77777777" w:rsidR="00F56C12" w:rsidRPr="00D63614" w:rsidRDefault="00F56C12" w:rsidP="00F56C12">
      <w:pPr>
        <w:rPr>
          <w:rFonts w:ascii="Garamond" w:eastAsia="SimSun" w:hAnsi="Garamond" w:cs="Arial"/>
          <w:b/>
          <w:w w:val="0"/>
          <w:sz w:val="24"/>
          <w:szCs w:val="24"/>
          <w:u w:val="single"/>
        </w:rPr>
      </w:pPr>
      <w:bookmarkStart w:id="367" w:name="_DV_M626"/>
      <w:bookmarkEnd w:id="367"/>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8" w:name="_DV_M627"/>
      <w:bookmarkEnd w:id="368"/>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A354A6">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A354A6">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A354A6">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A354A6">
            <w:pPr>
              <w:rPr>
                <w:rFonts w:ascii="Garamond" w:hAnsi="Garamond"/>
                <w:sz w:val="24"/>
                <w:szCs w:val="24"/>
              </w:rPr>
            </w:pPr>
            <w:r w:rsidRPr="00EB671D">
              <w:rPr>
                <w:rFonts w:ascii="Garamond" w:hAnsi="Garamond"/>
                <w:b/>
                <w:bCs/>
                <w:sz w:val="24"/>
                <w:szCs w:val="24"/>
              </w:rPr>
              <w:t>Cobertura</w:t>
            </w:r>
          </w:p>
        </w:tc>
      </w:tr>
      <w:tr w:rsidR="00D76CCC" w14:paraId="0FC06EAE"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A354A6">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A354A6">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A354A6">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A354A6">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A354A6">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A354A6">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w:t>
      </w:r>
      <w:proofErr w:type="gramStart"/>
      <w:r w:rsidRPr="00D63614">
        <w:rPr>
          <w:rFonts w:ascii="Garamond" w:hAnsi="Garamond" w:cs="Arial"/>
          <w:color w:val="000000"/>
          <w:sz w:val="24"/>
          <w:szCs w:val="24"/>
        </w:rPr>
        <w:t>Junho</w:t>
      </w:r>
      <w:proofErr w:type="gramEnd"/>
      <w:r w:rsidRPr="00D63614">
        <w:rPr>
          <w:rFonts w:ascii="Garamond" w:hAnsi="Garamond" w:cs="Arial"/>
          <w:color w:val="000000"/>
          <w:sz w:val="24"/>
          <w:szCs w:val="24"/>
        </w:rPr>
        <w:t xml:space="preserve">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w:t>
      </w:r>
      <w:proofErr w:type="gramStart"/>
      <w:r w:rsidRPr="00D63614">
        <w:rPr>
          <w:rFonts w:ascii="Garamond" w:hAnsi="Garamond" w:cs="Arial"/>
          <w:b/>
          <w:bCs/>
          <w:color w:val="000000"/>
          <w:sz w:val="24"/>
          <w:szCs w:val="24"/>
          <w:u w:val="single"/>
        </w:rPr>
        <w:t>e  Taxa</w:t>
      </w:r>
      <w:proofErr w:type="gramEnd"/>
      <w:r w:rsidRPr="00D63614">
        <w:rPr>
          <w:rFonts w:ascii="Garamond" w:hAnsi="Garamond" w:cs="Arial"/>
          <w:b/>
          <w:bCs/>
          <w:color w:val="000000"/>
          <w:sz w:val="24"/>
          <w:szCs w:val="24"/>
          <w:u w:val="single"/>
        </w:rPr>
        <w:t xml:space="preserve">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86"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6"/>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E8F9" w14:textId="77777777" w:rsidR="0000676E" w:rsidRDefault="0000676E">
      <w:pPr>
        <w:widowControl/>
      </w:pPr>
      <w:r>
        <w:separator/>
      </w:r>
    </w:p>
  </w:endnote>
  <w:endnote w:type="continuationSeparator" w:id="0">
    <w:p w14:paraId="5A585F05" w14:textId="77777777" w:rsidR="0000676E" w:rsidRDefault="0000676E">
      <w:pPr>
        <w:widowControl/>
      </w:pPr>
      <w:r>
        <w:continuationSeparator/>
      </w:r>
    </w:p>
  </w:endnote>
  <w:endnote w:type="continuationNotice" w:id="1">
    <w:p w14:paraId="06C4777E" w14:textId="77777777" w:rsidR="0000676E" w:rsidRDefault="00006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EBDB" w14:textId="77777777" w:rsidR="00A354A6" w:rsidRDefault="00A354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A354A6" w:rsidRDefault="00A354A6"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A354A6" w:rsidRPr="00613BC9" w:rsidRDefault="00DC2637">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A354A6" w:rsidRDefault="00A354A6" w:rsidP="00613BC9">
        <w:pPr>
          <w:pStyle w:val="Rodap"/>
          <w:jc w:val="right"/>
          <w:rPr>
            <w:rFonts w:ascii="Garamond" w:hAnsi="Garamond"/>
            <w:sz w:val="24"/>
            <w:szCs w:val="24"/>
          </w:rPr>
        </w:pPr>
      </w:p>
      <w:p w14:paraId="45D250FC" w14:textId="77777777" w:rsidR="00A354A6" w:rsidRPr="00613BC9" w:rsidRDefault="00DC263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69413" w14:textId="77777777" w:rsidR="0000676E" w:rsidRDefault="0000676E">
      <w:pPr>
        <w:widowControl/>
      </w:pPr>
      <w:r>
        <w:separator/>
      </w:r>
    </w:p>
  </w:footnote>
  <w:footnote w:type="continuationSeparator" w:id="0">
    <w:p w14:paraId="0BFAC103" w14:textId="77777777" w:rsidR="0000676E" w:rsidRDefault="0000676E">
      <w:pPr>
        <w:widowControl/>
      </w:pPr>
      <w:r>
        <w:continuationSeparator/>
      </w:r>
    </w:p>
  </w:footnote>
  <w:footnote w:type="continuationNotice" w:id="1">
    <w:p w14:paraId="6AFFD6EE" w14:textId="77777777" w:rsidR="0000676E" w:rsidRDefault="0000676E"/>
  </w:footnote>
  <w:footnote w:id="2">
    <w:p w14:paraId="7B212324" w14:textId="77777777" w:rsidR="00A354A6" w:rsidRPr="004F371B" w:rsidRDefault="00A354A6">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A354A6" w:rsidRPr="00B40FC5" w:rsidRDefault="00A354A6"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7098FAC0" w:rsidR="00A354A6" w:rsidRDefault="00A354A6"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A354A6" w:rsidRDefault="00A354A6"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76E"/>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4DF"/>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234"/>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9C7"/>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AA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249"/>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9F1"/>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0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87C2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102"/>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6DF8"/>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89E"/>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114"/>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4A6"/>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2C2"/>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BAF"/>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637"/>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anbima.com.br" TargetMode="External"/><Relationship Id="rId42" Type="http://schemas.openxmlformats.org/officeDocument/2006/relationships/image" Target="media/image5.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marcelo.poli@bradesco.com.br"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hyperlink" Target="mailto:financascorporativas.brenergia@engie.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hyperlink" Target="http://www.simplificpavarini.com.br"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haredContentType xmlns="Microsoft.SharePoint.Taxonomy.ContentTypeSync" SourceId="3bf472f7-a010-4b5a-bb99-a26ed4c99680" ContentTypeId="0x0101" PreviousValue="false"/>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11.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12.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13.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6.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8.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9.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2.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20.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5.xml><?xml version="1.0" encoding="utf-8"?>
<ds:datastoreItem xmlns:ds="http://schemas.openxmlformats.org/officeDocument/2006/customXml" ds:itemID="{A1554A32-912B-430B-863A-406AB946B29F}">
  <ds:schemaRefs>
    <ds:schemaRef ds:uri="http://www.imanage.com/work/xmlschema"/>
  </ds:schemaRefs>
</ds:datastoreItem>
</file>

<file path=customXml/itemProps6.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7.xml><?xml version="1.0" encoding="utf-8"?>
<ds:datastoreItem xmlns:ds="http://schemas.openxmlformats.org/officeDocument/2006/customXml" ds:itemID="{1914F436-0DA3-4F96-AF94-0618C3C7B308}">
  <ds:schemaRefs>
    <ds:schemaRef ds:uri="http://schemas.openxmlformats.org/officeDocument/2006/bibliography"/>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86E2150A-28A8-41F2-9198-0EBA8AFF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33895</Words>
  <Characters>183036</Characters>
  <Application>Microsoft Office Word</Application>
  <DocSecurity>4</DocSecurity>
  <Lines>1525</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216499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Caio Morais</cp:lastModifiedBy>
  <cp:revision>2</cp:revision>
  <cp:lastPrinted>2020-08-14T21:55:00Z</cp:lastPrinted>
  <dcterms:created xsi:type="dcterms:W3CDTF">2020-09-22T16:42:00Z</dcterms:created>
  <dcterms:modified xsi:type="dcterms:W3CDTF">2020-09-22T16:42:00Z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