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41506" w14:textId="4CD32D1E" w:rsidR="00910A5F" w:rsidRPr="00C85BD6" w:rsidRDefault="00CC79FA" w:rsidP="002334BF">
      <w:pPr>
        <w:spacing w:line="320" w:lineRule="exact"/>
        <w:jc w:val="center"/>
        <w:rPr>
          <w:rFonts w:cs="Tahoma"/>
          <w:b/>
        </w:rPr>
      </w:pPr>
      <w:r w:rsidRPr="00C85BD6">
        <w:rPr>
          <w:rFonts w:cs="Tahoma"/>
          <w:b/>
        </w:rPr>
        <w:t>VENTOS DE SÃO CLEMENTE HOLDING S.A.</w:t>
      </w:r>
    </w:p>
    <w:p w14:paraId="0E7759E7" w14:textId="3596FC3E" w:rsidR="00910A5F" w:rsidRPr="00C85BD6" w:rsidRDefault="00910A5F" w:rsidP="002334BF">
      <w:pPr>
        <w:spacing w:line="320" w:lineRule="exact"/>
        <w:jc w:val="center"/>
        <w:rPr>
          <w:rFonts w:cs="Tahoma"/>
        </w:rPr>
      </w:pPr>
      <w:r w:rsidRPr="00C85BD6">
        <w:rPr>
          <w:rFonts w:cs="Tahoma"/>
        </w:rPr>
        <w:t xml:space="preserve">CNPJ/ME Nº </w:t>
      </w:r>
      <w:r w:rsidR="00CC79FA" w:rsidRPr="00C85BD6">
        <w:rPr>
          <w:rFonts w:cs="Tahoma"/>
        </w:rPr>
        <w:t>15.674.688/0001-62</w:t>
      </w:r>
    </w:p>
    <w:p w14:paraId="13C0BAC7" w14:textId="44D6AB3C" w:rsidR="00910A5F" w:rsidRPr="00C85BD6" w:rsidRDefault="00910A5F" w:rsidP="002334BF">
      <w:pPr>
        <w:spacing w:line="320" w:lineRule="exact"/>
        <w:jc w:val="center"/>
        <w:rPr>
          <w:rFonts w:cs="Tahoma"/>
        </w:rPr>
      </w:pPr>
      <w:r w:rsidRPr="00C85BD6">
        <w:rPr>
          <w:rFonts w:cs="Tahoma"/>
        </w:rPr>
        <w:t xml:space="preserve">NIRE Nº </w:t>
      </w:r>
      <w:r w:rsidR="00872DBF" w:rsidRPr="00C85BD6">
        <w:rPr>
          <w:rFonts w:cs="Tahoma"/>
        </w:rPr>
        <w:t>23300033256</w:t>
      </w:r>
    </w:p>
    <w:p w14:paraId="63CA1F2F" w14:textId="77777777" w:rsidR="00910A5F" w:rsidRPr="00C85BD6" w:rsidRDefault="00910A5F" w:rsidP="002334BF">
      <w:pPr>
        <w:spacing w:line="320" w:lineRule="exact"/>
        <w:jc w:val="center"/>
        <w:rPr>
          <w:rFonts w:cs="Tahoma"/>
          <w:b/>
        </w:rPr>
      </w:pPr>
    </w:p>
    <w:p w14:paraId="5C1B456F" w14:textId="77777777" w:rsidR="00910A5F" w:rsidRPr="00C85BD6" w:rsidRDefault="00910A5F" w:rsidP="002334BF">
      <w:pPr>
        <w:spacing w:line="320" w:lineRule="exact"/>
        <w:jc w:val="center"/>
        <w:rPr>
          <w:rFonts w:cs="Tahoma"/>
          <w:b/>
        </w:rPr>
      </w:pPr>
      <w:r w:rsidRPr="00C85BD6">
        <w:rPr>
          <w:rFonts w:cs="Tahoma"/>
          <w:b/>
        </w:rPr>
        <w:t>ATA DA ASSEMBLEIA GERAL EXTRAORDINÁRIA</w:t>
      </w:r>
    </w:p>
    <w:p w14:paraId="1D439ABA" w14:textId="6660246B" w:rsidR="00910A5F" w:rsidRPr="00C85BD6" w:rsidRDefault="00910A5F" w:rsidP="002334BF">
      <w:pPr>
        <w:spacing w:line="320" w:lineRule="exact"/>
        <w:jc w:val="center"/>
        <w:rPr>
          <w:rFonts w:cs="Tahoma"/>
          <w:b/>
        </w:rPr>
      </w:pPr>
      <w:r w:rsidRPr="00C85BD6">
        <w:rPr>
          <w:rFonts w:cs="Tahoma"/>
          <w:b/>
        </w:rPr>
        <w:t xml:space="preserve">REALIZADA EM </w:t>
      </w:r>
      <w:r w:rsidR="008B331D" w:rsidRPr="00C85BD6">
        <w:rPr>
          <w:rFonts w:cs="Tahoma"/>
          <w:b/>
          <w:bCs/>
        </w:rPr>
        <w:t>06</w:t>
      </w:r>
      <w:r w:rsidR="008B331D" w:rsidRPr="00C85BD6">
        <w:rPr>
          <w:rFonts w:cs="Tahoma"/>
          <w:b/>
        </w:rPr>
        <w:t xml:space="preserve"> </w:t>
      </w:r>
      <w:r w:rsidRPr="00C85BD6">
        <w:rPr>
          <w:rFonts w:cs="Tahoma"/>
          <w:b/>
        </w:rPr>
        <w:t xml:space="preserve">DE </w:t>
      </w:r>
      <w:r w:rsidR="008521C0" w:rsidRPr="00C85BD6">
        <w:rPr>
          <w:rFonts w:cs="Tahoma"/>
          <w:b/>
        </w:rPr>
        <w:t>ABRIL</w:t>
      </w:r>
      <w:r w:rsidR="008521C0" w:rsidRPr="00C85BD6">
        <w:rPr>
          <w:rFonts w:cs="Tahoma"/>
        </w:rPr>
        <w:t xml:space="preserve"> </w:t>
      </w:r>
      <w:r w:rsidRPr="00C85BD6">
        <w:rPr>
          <w:rFonts w:cs="Tahoma"/>
          <w:b/>
        </w:rPr>
        <w:t>DE 20</w:t>
      </w:r>
      <w:r w:rsidR="00CC79FA" w:rsidRPr="00C85BD6">
        <w:rPr>
          <w:rFonts w:cs="Tahoma"/>
          <w:b/>
        </w:rPr>
        <w:t>20</w:t>
      </w:r>
    </w:p>
    <w:p w14:paraId="45939E86" w14:textId="77777777" w:rsidR="00BC2B5E" w:rsidRPr="00C85BD6" w:rsidRDefault="00BC2B5E" w:rsidP="002334BF">
      <w:pPr>
        <w:spacing w:after="240" w:line="320" w:lineRule="exact"/>
        <w:rPr>
          <w:rFonts w:cs="Tahoma"/>
        </w:rPr>
      </w:pPr>
    </w:p>
    <w:p w14:paraId="4B35430F" w14:textId="3E17459B" w:rsidR="00054990" w:rsidRPr="00C85BD6" w:rsidRDefault="00054990" w:rsidP="002334BF">
      <w:pPr>
        <w:pStyle w:val="PargrafodaLista"/>
        <w:numPr>
          <w:ilvl w:val="0"/>
          <w:numId w:val="21"/>
        </w:numPr>
        <w:spacing w:after="240" w:line="320" w:lineRule="exact"/>
        <w:contextualSpacing w:val="0"/>
        <w:outlineLvl w:val="0"/>
        <w:rPr>
          <w:rFonts w:cs="Tahoma"/>
          <w:b/>
        </w:rPr>
      </w:pPr>
      <w:r w:rsidRPr="00C85BD6">
        <w:rPr>
          <w:rFonts w:cs="Tahoma"/>
          <w:b/>
        </w:rPr>
        <w:t>DATA, HORA E LOCAL</w:t>
      </w:r>
      <w:r w:rsidRPr="00C85BD6">
        <w:rPr>
          <w:rFonts w:cs="Tahoma"/>
        </w:rPr>
        <w:t xml:space="preserve">. </w:t>
      </w:r>
      <w:r w:rsidR="008B331D" w:rsidRPr="00C85BD6">
        <w:rPr>
          <w:rFonts w:cs="Tahoma"/>
        </w:rPr>
        <w:t xml:space="preserve">06 </w:t>
      </w:r>
      <w:r w:rsidR="006964F6" w:rsidRPr="00C85BD6">
        <w:rPr>
          <w:rFonts w:cs="Tahoma"/>
        </w:rPr>
        <w:t xml:space="preserve">de </w:t>
      </w:r>
      <w:r w:rsidR="008521C0" w:rsidRPr="00C85BD6">
        <w:rPr>
          <w:rFonts w:cs="Tahoma"/>
        </w:rPr>
        <w:t xml:space="preserve">abril </w:t>
      </w:r>
      <w:r w:rsidR="006964F6" w:rsidRPr="00C85BD6">
        <w:rPr>
          <w:rFonts w:cs="Tahoma"/>
        </w:rPr>
        <w:t>de 20</w:t>
      </w:r>
      <w:r w:rsidR="00CC79FA" w:rsidRPr="00C85BD6">
        <w:rPr>
          <w:rFonts w:cs="Tahoma"/>
        </w:rPr>
        <w:t>20</w:t>
      </w:r>
      <w:r w:rsidR="006964F6" w:rsidRPr="00C85BD6">
        <w:rPr>
          <w:rFonts w:cs="Tahoma"/>
        </w:rPr>
        <w:t xml:space="preserve">, às </w:t>
      </w:r>
      <w:r w:rsidR="00D37521">
        <w:rPr>
          <w:rFonts w:cs="Tahoma"/>
        </w:rPr>
        <w:t>9</w:t>
      </w:r>
      <w:r w:rsidR="00D53404" w:rsidRPr="00C85BD6">
        <w:rPr>
          <w:rFonts w:cs="Tahoma"/>
        </w:rPr>
        <w:t>:00</w:t>
      </w:r>
      <w:r w:rsidR="006964F6" w:rsidRPr="00C85BD6">
        <w:rPr>
          <w:rFonts w:cs="Tahoma"/>
        </w:rPr>
        <w:t xml:space="preserve"> (</w:t>
      </w:r>
      <w:r w:rsidR="00D37521">
        <w:rPr>
          <w:rFonts w:cs="Tahoma"/>
        </w:rPr>
        <w:t>nove</w:t>
      </w:r>
      <w:bookmarkStart w:id="0" w:name="_GoBack"/>
      <w:bookmarkEnd w:id="0"/>
      <w:r w:rsidR="006964F6" w:rsidRPr="00C85BD6">
        <w:rPr>
          <w:rFonts w:cs="Tahoma"/>
        </w:rPr>
        <w:t xml:space="preserve"> horas)</w:t>
      </w:r>
      <w:r w:rsidRPr="00C85BD6">
        <w:rPr>
          <w:rFonts w:cs="Tahoma"/>
        </w:rPr>
        <w:t xml:space="preserve">, na sede da </w:t>
      </w:r>
      <w:r w:rsidR="00CC79FA" w:rsidRPr="00C85BD6">
        <w:rPr>
          <w:rFonts w:cs="Tahoma"/>
        </w:rPr>
        <w:t>Ventos de São Clemente</w:t>
      </w:r>
      <w:r w:rsidR="005C3810" w:rsidRPr="00C85BD6">
        <w:rPr>
          <w:rFonts w:cs="Tahoma"/>
        </w:rPr>
        <w:t xml:space="preserve"> </w:t>
      </w:r>
      <w:r w:rsidR="00872DBF" w:rsidRPr="00C85BD6">
        <w:rPr>
          <w:rFonts w:cs="Tahoma"/>
        </w:rPr>
        <w:t xml:space="preserve">Holding </w:t>
      </w:r>
      <w:r w:rsidR="005C3810" w:rsidRPr="00C85BD6">
        <w:rPr>
          <w:rFonts w:cs="Tahoma"/>
        </w:rPr>
        <w:t xml:space="preserve">S.A. </w:t>
      </w:r>
      <w:r w:rsidRPr="00C85BD6">
        <w:rPr>
          <w:rFonts w:cs="Tahoma"/>
        </w:rPr>
        <w:t>(“</w:t>
      </w:r>
      <w:r w:rsidRPr="00C85BD6">
        <w:rPr>
          <w:rFonts w:cs="Tahoma"/>
          <w:u w:val="single"/>
        </w:rPr>
        <w:t>Companhia</w:t>
      </w:r>
      <w:r w:rsidRPr="00C85BD6">
        <w:rPr>
          <w:rFonts w:cs="Tahoma"/>
        </w:rPr>
        <w:t>”</w:t>
      </w:r>
      <w:r w:rsidR="000436B9" w:rsidRPr="00C85BD6">
        <w:rPr>
          <w:rFonts w:cs="Tahoma"/>
        </w:rPr>
        <w:t xml:space="preserve"> ou “</w:t>
      </w:r>
      <w:r w:rsidR="000436B9" w:rsidRPr="00C85BD6">
        <w:rPr>
          <w:rFonts w:cs="Tahoma"/>
          <w:u w:val="single"/>
        </w:rPr>
        <w:t>Emissora</w:t>
      </w:r>
      <w:r w:rsidR="000436B9" w:rsidRPr="00C85BD6">
        <w:rPr>
          <w:rFonts w:cs="Tahoma"/>
        </w:rPr>
        <w:t>”</w:t>
      </w:r>
      <w:r w:rsidRPr="00C85BD6">
        <w:rPr>
          <w:rFonts w:cs="Tahoma"/>
        </w:rPr>
        <w:t xml:space="preserve">), localizada </w:t>
      </w:r>
      <w:r w:rsidR="005C3810" w:rsidRPr="00C85BD6">
        <w:rPr>
          <w:rFonts w:cs="Tahoma"/>
        </w:rPr>
        <w:t xml:space="preserve">na Cidade de </w:t>
      </w:r>
      <w:r w:rsidR="00CC79FA" w:rsidRPr="00C85BD6">
        <w:rPr>
          <w:rFonts w:cs="Tahoma"/>
        </w:rPr>
        <w:t>Fortaleza</w:t>
      </w:r>
      <w:r w:rsidR="005C3810" w:rsidRPr="00C85BD6">
        <w:rPr>
          <w:rFonts w:cs="Tahoma"/>
        </w:rPr>
        <w:t>, Estado d</w:t>
      </w:r>
      <w:r w:rsidR="00CC79FA" w:rsidRPr="00C85BD6">
        <w:rPr>
          <w:rFonts w:cs="Tahoma"/>
        </w:rPr>
        <w:t>o Ceará</w:t>
      </w:r>
      <w:r w:rsidR="005C3810" w:rsidRPr="00C85BD6">
        <w:rPr>
          <w:rFonts w:cs="Tahoma"/>
        </w:rPr>
        <w:t xml:space="preserve">, na </w:t>
      </w:r>
      <w:r w:rsidR="00CC79FA" w:rsidRPr="00C85BD6">
        <w:rPr>
          <w:rFonts w:cs="Tahoma"/>
        </w:rPr>
        <w:t>Avenida Barão de Studart, nº 2.360, sala 1.004, Bairro Joaquim Távora, CEP 60.120-002</w:t>
      </w:r>
      <w:r w:rsidRPr="00C85BD6">
        <w:rPr>
          <w:rFonts w:cs="Tahoma"/>
        </w:rPr>
        <w:t xml:space="preserve">. </w:t>
      </w:r>
    </w:p>
    <w:p w14:paraId="555A821F" w14:textId="77777777" w:rsidR="00054990" w:rsidRPr="00C85BD6" w:rsidRDefault="00054990" w:rsidP="002334BF">
      <w:pPr>
        <w:pStyle w:val="PargrafodaLista"/>
        <w:numPr>
          <w:ilvl w:val="0"/>
          <w:numId w:val="21"/>
        </w:numPr>
        <w:spacing w:after="240" w:line="320" w:lineRule="exact"/>
        <w:contextualSpacing w:val="0"/>
        <w:outlineLvl w:val="0"/>
        <w:rPr>
          <w:rFonts w:cs="Tahoma"/>
        </w:rPr>
      </w:pPr>
      <w:r w:rsidRPr="00C85BD6">
        <w:rPr>
          <w:rFonts w:cs="Tahoma"/>
          <w:b/>
        </w:rPr>
        <w:t>CONVOCAÇÃO, QUORUM e PRESENÇA</w:t>
      </w:r>
      <w:r w:rsidRPr="00C85BD6">
        <w:rPr>
          <w:rFonts w:cs="Tahoma"/>
        </w:rPr>
        <w:t>. Dispensadas as formalidades de convocação, conforme faculta o parágrafo 4º do artigo 124 da Lei nº 6.404, de 15 de dezembro de 1976, conforme alterada (“</w:t>
      </w:r>
      <w:r w:rsidRPr="00C85BD6">
        <w:rPr>
          <w:rFonts w:cs="Tahoma"/>
          <w:u w:val="single"/>
        </w:rPr>
        <w:t>Lei das Sociedades por Ações</w:t>
      </w:r>
      <w:r w:rsidRPr="00C85BD6">
        <w:rPr>
          <w:rFonts w:cs="Tahoma"/>
        </w:rPr>
        <w:t>”), tendo sido constatada a presença do acionista representando 100% (cem por cento) do capital social da Companhia, conforme o livro de presença dos acionistas e assinaturas ao final.</w:t>
      </w:r>
    </w:p>
    <w:p w14:paraId="0C3EB9C7" w14:textId="0833DBEE" w:rsidR="00054990" w:rsidRPr="00C85BD6" w:rsidRDefault="00054990" w:rsidP="002334BF">
      <w:pPr>
        <w:pStyle w:val="PargrafodaLista"/>
        <w:numPr>
          <w:ilvl w:val="0"/>
          <w:numId w:val="21"/>
        </w:numPr>
        <w:spacing w:after="240" w:line="320" w:lineRule="exact"/>
        <w:contextualSpacing w:val="0"/>
        <w:outlineLvl w:val="0"/>
        <w:rPr>
          <w:rFonts w:cs="Tahoma"/>
        </w:rPr>
      </w:pPr>
      <w:r w:rsidRPr="00C85BD6">
        <w:rPr>
          <w:rFonts w:cs="Tahoma"/>
          <w:b/>
        </w:rPr>
        <w:t>COMPOSIÇÃO DA MESA</w:t>
      </w:r>
      <w:r w:rsidRPr="00C85BD6">
        <w:rPr>
          <w:rFonts w:cs="Tahoma"/>
        </w:rPr>
        <w:t xml:space="preserve">. </w:t>
      </w:r>
      <w:r w:rsidR="000D34D6" w:rsidRPr="00C85BD6">
        <w:rPr>
          <w:rFonts w:cs="Tahoma"/>
        </w:rPr>
        <w:t>Lara Monteiro da Silva</w:t>
      </w:r>
      <w:r w:rsidRPr="00C85BD6">
        <w:rPr>
          <w:rFonts w:cs="Tahoma"/>
        </w:rPr>
        <w:t xml:space="preserve">, como Presidente, e </w:t>
      </w:r>
      <w:r w:rsidR="000D34D6" w:rsidRPr="00C85BD6">
        <w:rPr>
          <w:rFonts w:cs="Tahoma"/>
        </w:rPr>
        <w:t>Mario Harry Lavoura</w:t>
      </w:r>
      <w:r w:rsidRPr="00C85BD6">
        <w:rPr>
          <w:rFonts w:cs="Tahoma"/>
        </w:rPr>
        <w:t>, como Secretário.</w:t>
      </w:r>
    </w:p>
    <w:p w14:paraId="254D02AE" w14:textId="77777777" w:rsidR="00254337" w:rsidRPr="00C85BD6" w:rsidRDefault="00054990" w:rsidP="002334BF">
      <w:pPr>
        <w:pStyle w:val="PargrafodaLista"/>
        <w:numPr>
          <w:ilvl w:val="0"/>
          <w:numId w:val="21"/>
        </w:numPr>
        <w:spacing w:after="240" w:line="320" w:lineRule="exact"/>
        <w:contextualSpacing w:val="0"/>
        <w:outlineLvl w:val="0"/>
        <w:rPr>
          <w:rFonts w:cs="Tahoma"/>
          <w:b/>
          <w:bCs/>
        </w:rPr>
      </w:pPr>
      <w:r w:rsidRPr="00C85BD6">
        <w:rPr>
          <w:rFonts w:cs="Tahoma"/>
          <w:b/>
        </w:rPr>
        <w:t>ORDEM DO DIA</w:t>
      </w:r>
      <w:r w:rsidRPr="00C85BD6">
        <w:rPr>
          <w:rFonts w:cs="Tahoma"/>
        </w:rPr>
        <w:t xml:space="preserve">. </w:t>
      </w:r>
      <w:r w:rsidRPr="00C85BD6">
        <w:rPr>
          <w:rFonts w:cs="Tahoma"/>
          <w:color w:val="000000"/>
        </w:rPr>
        <w:t>Deliberar sobre as seguintes matérias</w:t>
      </w:r>
      <w:r w:rsidRPr="00C85BD6">
        <w:rPr>
          <w:rFonts w:cs="Tahoma"/>
        </w:rPr>
        <w:t xml:space="preserve">: </w:t>
      </w:r>
      <w:r w:rsidRPr="00C85BD6">
        <w:rPr>
          <w:rFonts w:cs="Tahoma"/>
          <w:b/>
        </w:rPr>
        <w:t>(I)</w:t>
      </w:r>
      <w:r w:rsidRPr="00C85BD6">
        <w:rPr>
          <w:rFonts w:cs="Tahoma"/>
        </w:rPr>
        <w:t xml:space="preserve"> autorização para a realização, pela Companhia, da sua </w:t>
      </w:r>
      <w:r w:rsidR="00CC79FA" w:rsidRPr="00C85BD6">
        <w:rPr>
          <w:rFonts w:cs="Tahoma"/>
        </w:rPr>
        <w:t>segunda</w:t>
      </w:r>
      <w:r w:rsidRPr="00C85BD6">
        <w:rPr>
          <w:rFonts w:cs="Tahoma"/>
        </w:rPr>
        <w:t xml:space="preserve"> emissão de debêntures simples, não conversíveis em ações, da espécie </w:t>
      </w:r>
      <w:r w:rsidR="006B37F8" w:rsidRPr="00C85BD6">
        <w:rPr>
          <w:rFonts w:cs="Tahoma"/>
        </w:rPr>
        <w:t>quirografária</w:t>
      </w:r>
      <w:r w:rsidRPr="00C85BD6">
        <w:rPr>
          <w:rFonts w:cs="Tahoma"/>
        </w:rPr>
        <w:t xml:space="preserve">, em </w:t>
      </w:r>
      <w:r w:rsidR="006B37F8" w:rsidRPr="00C85BD6">
        <w:rPr>
          <w:rFonts w:cs="Tahoma"/>
        </w:rPr>
        <w:t>série única</w:t>
      </w:r>
      <w:r w:rsidRPr="00C85BD6">
        <w:rPr>
          <w:rFonts w:cs="Tahoma"/>
        </w:rPr>
        <w:t xml:space="preserve">, no valor total de </w:t>
      </w:r>
      <w:r w:rsidR="003C74FB" w:rsidRPr="00C85BD6">
        <w:rPr>
          <w:rFonts w:cs="Tahoma"/>
        </w:rPr>
        <w:t>R$ </w:t>
      </w:r>
      <w:r w:rsidR="009C58FA" w:rsidRPr="00C85BD6">
        <w:rPr>
          <w:rFonts w:cs="Tahoma"/>
        </w:rPr>
        <w:t>2</w:t>
      </w:r>
      <w:r w:rsidR="00653235" w:rsidRPr="00C85BD6">
        <w:rPr>
          <w:rFonts w:cs="Tahoma"/>
        </w:rPr>
        <w:t>0.</w:t>
      </w:r>
      <w:r w:rsidR="009C58FA" w:rsidRPr="00C85BD6">
        <w:rPr>
          <w:rFonts w:cs="Tahoma"/>
        </w:rPr>
        <w:t>000</w:t>
      </w:r>
      <w:r w:rsidR="00653235" w:rsidRPr="00C85BD6">
        <w:rPr>
          <w:rFonts w:cs="Tahoma"/>
        </w:rPr>
        <w:t>.000,00 (</w:t>
      </w:r>
      <w:r w:rsidR="009C58FA" w:rsidRPr="00C85BD6">
        <w:rPr>
          <w:rFonts w:cs="Tahoma"/>
        </w:rPr>
        <w:t>vinte</w:t>
      </w:r>
      <w:r w:rsidR="00653235" w:rsidRPr="00C85BD6">
        <w:rPr>
          <w:rFonts w:cs="Tahoma"/>
        </w:rPr>
        <w:t xml:space="preserve"> milhões </w:t>
      </w:r>
      <w:r w:rsidR="009C58FA" w:rsidRPr="00C85BD6">
        <w:rPr>
          <w:rFonts w:cs="Tahoma"/>
        </w:rPr>
        <w:t>de</w:t>
      </w:r>
      <w:r w:rsidR="00653235" w:rsidRPr="00C85BD6">
        <w:rPr>
          <w:rFonts w:cs="Tahoma"/>
        </w:rPr>
        <w:t xml:space="preserve"> reais)</w:t>
      </w:r>
      <w:bookmarkStart w:id="1" w:name="_DV_C27"/>
      <w:r w:rsidRPr="00C85BD6">
        <w:rPr>
          <w:rFonts w:cs="Tahoma"/>
        </w:rPr>
        <w:t xml:space="preserve"> (“</w:t>
      </w:r>
      <w:r w:rsidRPr="00C85BD6">
        <w:rPr>
          <w:rFonts w:cs="Tahoma"/>
          <w:u w:val="single"/>
        </w:rPr>
        <w:t>Emissão</w:t>
      </w:r>
      <w:r w:rsidRPr="00C85BD6">
        <w:rPr>
          <w:rFonts w:cs="Tahoma"/>
        </w:rPr>
        <w:t>” e “</w:t>
      </w:r>
      <w:r w:rsidRPr="00C85BD6">
        <w:rPr>
          <w:rFonts w:cs="Tahoma"/>
          <w:u w:val="single"/>
        </w:rPr>
        <w:t>Debêntures</w:t>
      </w:r>
      <w:r w:rsidRPr="00C85BD6">
        <w:rPr>
          <w:rFonts w:cs="Tahoma"/>
        </w:rPr>
        <w:t>”, respectivamente),</w:t>
      </w:r>
      <w:bookmarkEnd w:id="1"/>
      <w:r w:rsidRPr="00C85BD6">
        <w:rPr>
          <w:rFonts w:cs="Tahoma"/>
        </w:rPr>
        <w:t xml:space="preserve"> para distribuição pública com esforços restritos de distribuição, nos termos da Instrução da Comissão de Valores Mobiliários (“</w:t>
      </w:r>
      <w:r w:rsidRPr="00C85BD6">
        <w:rPr>
          <w:rFonts w:cs="Tahoma"/>
          <w:u w:val="single"/>
        </w:rPr>
        <w:t>CVM</w:t>
      </w:r>
      <w:r w:rsidRPr="00C85BD6">
        <w:rPr>
          <w:rFonts w:cs="Tahoma"/>
        </w:rPr>
        <w:t>”) nº 476, de 16 de janeiro de 2009, conforme alterada (“</w:t>
      </w:r>
      <w:r w:rsidRPr="00C85BD6">
        <w:rPr>
          <w:rFonts w:cs="Tahoma"/>
          <w:u w:val="single"/>
        </w:rPr>
        <w:t>Instrução CVM 476</w:t>
      </w:r>
      <w:r w:rsidRPr="00C85BD6">
        <w:rPr>
          <w:rFonts w:cs="Tahoma"/>
        </w:rPr>
        <w:t>” e “</w:t>
      </w:r>
      <w:r w:rsidRPr="00C85BD6">
        <w:rPr>
          <w:rFonts w:cs="Tahoma"/>
          <w:u w:val="single"/>
        </w:rPr>
        <w:t>Oferta Restrita</w:t>
      </w:r>
      <w:r w:rsidRPr="00C85BD6">
        <w:rPr>
          <w:rFonts w:cs="Tahoma"/>
        </w:rPr>
        <w:t xml:space="preserve">”, respectivamente), por meio da celebração </w:t>
      </w:r>
      <w:r w:rsidR="003736D3" w:rsidRPr="00C85BD6">
        <w:rPr>
          <w:rFonts w:cs="Tahoma"/>
        </w:rPr>
        <w:t xml:space="preserve">do Instrumento </w:t>
      </w:r>
      <w:r w:rsidR="006B37F8" w:rsidRPr="00C85BD6">
        <w:rPr>
          <w:rFonts w:cs="Tahoma"/>
        </w:rPr>
        <w:t xml:space="preserve">Particular </w:t>
      </w:r>
      <w:r w:rsidR="003736D3" w:rsidRPr="00C85BD6">
        <w:rPr>
          <w:rFonts w:cs="Tahoma"/>
        </w:rPr>
        <w:t xml:space="preserve">de Escritura </w:t>
      </w:r>
      <w:r w:rsidR="006B37F8" w:rsidRPr="00C85BD6">
        <w:rPr>
          <w:rFonts w:cs="Tahoma"/>
        </w:rPr>
        <w:t xml:space="preserve">da </w:t>
      </w:r>
      <w:r w:rsidR="009C58FA" w:rsidRPr="00C85BD6">
        <w:rPr>
          <w:rFonts w:cs="Tahoma"/>
        </w:rPr>
        <w:t>2</w:t>
      </w:r>
      <w:r w:rsidR="006B37F8" w:rsidRPr="00C85BD6">
        <w:rPr>
          <w:rFonts w:cs="Tahoma"/>
        </w:rPr>
        <w:t>ª (</w:t>
      </w:r>
      <w:r w:rsidR="009C58FA" w:rsidRPr="00C85BD6">
        <w:rPr>
          <w:rFonts w:cs="Tahoma"/>
        </w:rPr>
        <w:t>Segunda</w:t>
      </w:r>
      <w:r w:rsidR="006B37F8" w:rsidRPr="00C85BD6">
        <w:rPr>
          <w:rFonts w:cs="Tahoma"/>
        </w:rPr>
        <w:t xml:space="preserve">) Emissão de Debêntures Simples, Não Conversíveis em Ações, em Série Única, </w:t>
      </w:r>
      <w:r w:rsidR="003736D3" w:rsidRPr="00C85BD6">
        <w:rPr>
          <w:rFonts w:cs="Tahoma"/>
        </w:rPr>
        <w:t xml:space="preserve">da Espécie Quirografária, </w:t>
      </w:r>
      <w:r w:rsidR="006B37F8" w:rsidRPr="00C85BD6">
        <w:rPr>
          <w:rFonts w:cs="Tahoma"/>
        </w:rPr>
        <w:t xml:space="preserve">para Distribuição Pública, com Esforços Restritos, </w:t>
      </w:r>
      <w:r w:rsidRPr="00C85BD6">
        <w:rPr>
          <w:rFonts w:cs="Tahoma"/>
        </w:rPr>
        <w:t xml:space="preserve">da </w:t>
      </w:r>
      <w:r w:rsidR="003736D3" w:rsidRPr="00C85BD6">
        <w:rPr>
          <w:rFonts w:cs="Tahoma"/>
        </w:rPr>
        <w:t>Ventos de São Clemente Holding S.A.</w:t>
      </w:r>
      <w:r w:rsidRPr="00C85BD6">
        <w:rPr>
          <w:rFonts w:cs="Tahoma"/>
        </w:rPr>
        <w:t>, entre a Companhia, na qualidade de emissora</w:t>
      </w:r>
      <w:r w:rsidR="009C58FA" w:rsidRPr="00C85BD6">
        <w:rPr>
          <w:rFonts w:cs="Tahoma"/>
        </w:rPr>
        <w:t>,</w:t>
      </w:r>
      <w:r w:rsidRPr="00C85BD6">
        <w:rPr>
          <w:rFonts w:cs="Tahoma"/>
        </w:rPr>
        <w:t xml:space="preserve"> </w:t>
      </w:r>
      <w:r w:rsidR="003A49E9" w:rsidRPr="00C85BD6">
        <w:rPr>
          <w:rFonts w:cs="Tahoma"/>
        </w:rPr>
        <w:t xml:space="preserve">Simplific Pavarini Distribuidora de Títulos e Valores Mobiliários </w:t>
      </w:r>
      <w:r w:rsidR="003736D3" w:rsidRPr="00C85BD6">
        <w:rPr>
          <w:rFonts w:cs="Tahoma"/>
        </w:rPr>
        <w:t>Ltda.</w:t>
      </w:r>
      <w:r w:rsidRPr="00C85BD6">
        <w:rPr>
          <w:rFonts w:cs="Tahoma"/>
        </w:rPr>
        <w:t>, na qualidade de agente fiduciário, representando a comunhão dos titulares das Debêntures (“</w:t>
      </w:r>
      <w:r w:rsidRPr="00C85BD6">
        <w:rPr>
          <w:rFonts w:cs="Tahoma"/>
          <w:u w:val="single"/>
        </w:rPr>
        <w:t>Agente Fiduciário</w:t>
      </w:r>
      <w:r w:rsidRPr="00C85BD6">
        <w:rPr>
          <w:rFonts w:cs="Tahoma"/>
        </w:rPr>
        <w:t>”</w:t>
      </w:r>
      <w:r w:rsidR="00EB0F6B" w:rsidRPr="00C85BD6">
        <w:rPr>
          <w:rFonts w:cs="Tahoma"/>
        </w:rPr>
        <w:t xml:space="preserve">), </w:t>
      </w:r>
      <w:r w:rsidR="003736D3" w:rsidRPr="00C85BD6">
        <w:rPr>
          <w:rFonts w:cs="Tahoma"/>
        </w:rPr>
        <w:t xml:space="preserve">e, ainda, na qualidade de intervenientes anuentes, </w:t>
      </w:r>
      <w:r w:rsidR="00EB0F6B" w:rsidRPr="00C85BD6">
        <w:rPr>
          <w:rFonts w:cs="Tahoma"/>
        </w:rPr>
        <w:t>Ventos de São Clemente I Energias Renováveis S.A.</w:t>
      </w:r>
      <w:r w:rsidR="00C0577C" w:rsidRPr="00C85BD6">
        <w:rPr>
          <w:rFonts w:cs="Tahoma"/>
        </w:rPr>
        <w:t xml:space="preserve"> (“</w:t>
      </w:r>
      <w:r w:rsidR="00C0577C" w:rsidRPr="00C85BD6">
        <w:rPr>
          <w:rFonts w:cs="Tahoma"/>
          <w:u w:val="single"/>
        </w:rPr>
        <w:t>São Clemente I</w:t>
      </w:r>
      <w:r w:rsidR="00C0577C" w:rsidRPr="00C85BD6">
        <w:rPr>
          <w:rFonts w:cs="Tahoma"/>
        </w:rPr>
        <w:t>”)</w:t>
      </w:r>
      <w:r w:rsidR="00EB0F6B" w:rsidRPr="00C85BD6">
        <w:rPr>
          <w:rFonts w:cs="Tahoma"/>
        </w:rPr>
        <w:t xml:space="preserve">, </w:t>
      </w:r>
      <w:r w:rsidR="00C0577C" w:rsidRPr="00C85BD6">
        <w:rPr>
          <w:rFonts w:cs="Tahoma"/>
        </w:rPr>
        <w:t>Ventos de São Clemente II Energias Renováveis S.A. (“</w:t>
      </w:r>
      <w:r w:rsidR="00C0577C" w:rsidRPr="00C85BD6">
        <w:rPr>
          <w:rFonts w:cs="Tahoma"/>
          <w:u w:val="single"/>
        </w:rPr>
        <w:t>São Clemente II</w:t>
      </w:r>
      <w:r w:rsidR="00C0577C" w:rsidRPr="00C85BD6">
        <w:rPr>
          <w:rFonts w:cs="Tahoma"/>
        </w:rPr>
        <w:t>”)</w:t>
      </w:r>
      <w:r w:rsidR="00EB0F6B" w:rsidRPr="00C85BD6">
        <w:rPr>
          <w:rFonts w:cs="Tahoma"/>
        </w:rPr>
        <w:t xml:space="preserve">, </w:t>
      </w:r>
      <w:r w:rsidR="00C0577C" w:rsidRPr="00C85BD6">
        <w:rPr>
          <w:rFonts w:cs="Tahoma"/>
        </w:rPr>
        <w:t>Ventos de São Clemente III Energias Renováveis S.A. (“</w:t>
      </w:r>
      <w:r w:rsidR="00C0577C" w:rsidRPr="00C85BD6">
        <w:rPr>
          <w:rFonts w:cs="Tahoma"/>
          <w:u w:val="single"/>
        </w:rPr>
        <w:t>São Clemente III</w:t>
      </w:r>
      <w:r w:rsidR="00C0577C" w:rsidRPr="00C85BD6">
        <w:rPr>
          <w:rFonts w:cs="Tahoma"/>
        </w:rPr>
        <w:t>”), Ventos de São Clemente IV Energias Renováveis S.A. (“</w:t>
      </w:r>
      <w:r w:rsidR="00C0577C" w:rsidRPr="00C85BD6">
        <w:rPr>
          <w:rFonts w:cs="Tahoma"/>
          <w:u w:val="single"/>
        </w:rPr>
        <w:t>São Clemente IV</w:t>
      </w:r>
      <w:r w:rsidR="00C0577C" w:rsidRPr="00C85BD6">
        <w:rPr>
          <w:rFonts w:cs="Tahoma"/>
        </w:rPr>
        <w:t>”), Ventos de São Clemente V Energias Renováveis S.A. (“</w:t>
      </w:r>
      <w:r w:rsidR="00C0577C" w:rsidRPr="00C85BD6">
        <w:rPr>
          <w:rFonts w:cs="Tahoma"/>
          <w:u w:val="single"/>
        </w:rPr>
        <w:t>São Clemente V</w:t>
      </w:r>
      <w:r w:rsidR="00C0577C" w:rsidRPr="00C85BD6">
        <w:rPr>
          <w:rFonts w:cs="Tahoma"/>
        </w:rPr>
        <w:t>”), Ventos de São Clemente VI Energias Renováveis S.A. (“</w:t>
      </w:r>
      <w:r w:rsidR="00C0577C" w:rsidRPr="00C85BD6">
        <w:rPr>
          <w:rFonts w:cs="Tahoma"/>
          <w:u w:val="single"/>
        </w:rPr>
        <w:t xml:space="preserve">São Clemente </w:t>
      </w:r>
      <w:r w:rsidR="00C0577C" w:rsidRPr="00C85BD6">
        <w:rPr>
          <w:rFonts w:cs="Tahoma"/>
          <w:u w:val="single"/>
        </w:rPr>
        <w:lastRenderedPageBreak/>
        <w:t>VI</w:t>
      </w:r>
      <w:r w:rsidR="00C0577C" w:rsidRPr="00C85BD6">
        <w:rPr>
          <w:rFonts w:cs="Tahoma"/>
        </w:rPr>
        <w:t>”), Ventos de São Clemente VII Energias Renováveis S.A. (“</w:t>
      </w:r>
      <w:r w:rsidR="00C0577C" w:rsidRPr="00C85BD6">
        <w:rPr>
          <w:rFonts w:cs="Tahoma"/>
          <w:u w:val="single"/>
        </w:rPr>
        <w:t>São Clemente VII</w:t>
      </w:r>
      <w:r w:rsidR="00C0577C" w:rsidRPr="00C85BD6">
        <w:rPr>
          <w:rFonts w:cs="Tahoma"/>
        </w:rPr>
        <w:t>”) e Ventos de São Clemente VIII Energias Renováveis S.A. (“</w:t>
      </w:r>
      <w:r w:rsidR="00C0577C" w:rsidRPr="00C85BD6">
        <w:rPr>
          <w:rFonts w:cs="Tahoma"/>
          <w:u w:val="single"/>
        </w:rPr>
        <w:t>São Clemente VIII</w:t>
      </w:r>
      <w:r w:rsidR="00C0577C" w:rsidRPr="00C85BD6">
        <w:rPr>
          <w:rFonts w:cs="Tahoma"/>
        </w:rPr>
        <w:t>”</w:t>
      </w:r>
      <w:r w:rsidR="003736D3" w:rsidRPr="00C85BD6">
        <w:rPr>
          <w:rFonts w:cs="Tahoma"/>
        </w:rPr>
        <w:t xml:space="preserve"> e, em conjunto com </w:t>
      </w:r>
      <w:r w:rsidR="00C0577C" w:rsidRPr="00C85BD6">
        <w:rPr>
          <w:rFonts w:cs="Tahoma"/>
        </w:rPr>
        <w:t>São Clemente I</w:t>
      </w:r>
      <w:r w:rsidR="003736D3" w:rsidRPr="00C85BD6">
        <w:rPr>
          <w:rFonts w:cs="Tahoma"/>
        </w:rPr>
        <w:t xml:space="preserve">, São Clemente II, São Clemente III, São Clemente IV, São Clemente V, São Clemente VI e São Clemente VII, as </w:t>
      </w:r>
      <w:r w:rsidR="00C0577C" w:rsidRPr="00C85BD6">
        <w:rPr>
          <w:rFonts w:cs="Tahoma"/>
        </w:rPr>
        <w:t>“</w:t>
      </w:r>
      <w:r w:rsidR="00C0577C" w:rsidRPr="00C85BD6">
        <w:rPr>
          <w:rFonts w:cs="Tahoma"/>
          <w:u w:val="single"/>
        </w:rPr>
        <w:t>SPEs</w:t>
      </w:r>
      <w:r w:rsidR="00C0577C" w:rsidRPr="00C85BD6">
        <w:rPr>
          <w:rFonts w:cs="Tahoma"/>
        </w:rPr>
        <w:t>”</w:t>
      </w:r>
      <w:r w:rsidR="003736D3" w:rsidRPr="00C85BD6">
        <w:rPr>
          <w:rFonts w:cs="Tahoma"/>
        </w:rPr>
        <w:t>)</w:t>
      </w:r>
      <w:r w:rsidR="00C0577C" w:rsidRPr="00C85BD6">
        <w:rPr>
          <w:rFonts w:cs="Tahoma"/>
        </w:rPr>
        <w:t xml:space="preserve"> </w:t>
      </w:r>
      <w:r w:rsidR="003736D3" w:rsidRPr="00C85BD6">
        <w:rPr>
          <w:rFonts w:cs="Tahoma"/>
        </w:rPr>
        <w:t>(</w:t>
      </w:r>
      <w:r w:rsidRPr="00C85BD6">
        <w:rPr>
          <w:rFonts w:cs="Tahoma"/>
        </w:rPr>
        <w:t>“</w:t>
      </w:r>
      <w:r w:rsidRPr="00C85BD6">
        <w:rPr>
          <w:rFonts w:cs="Tahoma"/>
          <w:u w:val="single"/>
        </w:rPr>
        <w:t>Escritura de Emissão</w:t>
      </w:r>
      <w:r w:rsidRPr="00C85BD6">
        <w:rPr>
          <w:rFonts w:cs="Tahoma"/>
        </w:rPr>
        <w:t>”</w:t>
      </w:r>
      <w:r w:rsidR="003736D3" w:rsidRPr="00C85BD6">
        <w:rPr>
          <w:rFonts w:cs="Tahoma"/>
        </w:rPr>
        <w:t>)</w:t>
      </w:r>
      <w:r w:rsidRPr="00C85BD6">
        <w:rPr>
          <w:rFonts w:cs="Tahoma"/>
        </w:rPr>
        <w:t>;</w:t>
      </w:r>
    </w:p>
    <w:p w14:paraId="630376AB" w14:textId="4721CE6E" w:rsidR="00254337" w:rsidRPr="00C85BD6" w:rsidRDefault="00054990" w:rsidP="00254337">
      <w:pPr>
        <w:pStyle w:val="PargrafodaLista"/>
        <w:spacing w:after="240" w:line="320" w:lineRule="exact"/>
        <w:ind w:left="0"/>
        <w:contextualSpacing w:val="0"/>
        <w:outlineLvl w:val="0"/>
        <w:rPr>
          <w:rFonts w:eastAsia="Calibri" w:cs="Tahoma"/>
          <w:bCs/>
          <w:color w:val="000000"/>
        </w:rPr>
      </w:pPr>
      <w:r w:rsidRPr="00C85BD6">
        <w:rPr>
          <w:rFonts w:cs="Tahoma"/>
          <w:b/>
        </w:rPr>
        <w:t>(II)</w:t>
      </w:r>
      <w:r w:rsidRPr="00C85BD6">
        <w:rPr>
          <w:rFonts w:cs="Tahoma"/>
        </w:rPr>
        <w:t xml:space="preserve"> autorização à diretoria da Companhia, </w:t>
      </w:r>
      <w:r w:rsidRPr="00C85BD6">
        <w:rPr>
          <w:rFonts w:eastAsia="Calibri" w:cs="Tahoma"/>
          <w:bCs/>
          <w:color w:val="000000"/>
        </w:rPr>
        <w:t xml:space="preserve">ou aos seus procuradores, para </w:t>
      </w:r>
      <w:r w:rsidR="002F597C" w:rsidRPr="00C85BD6">
        <w:rPr>
          <w:rFonts w:eastAsia="Calibri" w:cs="Tahoma"/>
          <w:bCs/>
          <w:color w:val="000000"/>
        </w:rPr>
        <w:t xml:space="preserve">a </w:t>
      </w:r>
      <w:r w:rsidRPr="00C85BD6">
        <w:rPr>
          <w:rFonts w:eastAsia="Calibri" w:cs="Tahoma"/>
          <w:bCs/>
          <w:color w:val="000000"/>
        </w:rPr>
        <w:t>prática</w:t>
      </w:r>
      <w:r w:rsidR="002F597C" w:rsidRPr="00C85BD6">
        <w:rPr>
          <w:rFonts w:eastAsia="Calibri" w:cs="Tahoma"/>
          <w:bCs/>
          <w:color w:val="000000"/>
        </w:rPr>
        <w:t xml:space="preserve"> </w:t>
      </w:r>
      <w:r w:rsidRPr="00C85BD6">
        <w:rPr>
          <w:rFonts w:eastAsia="Calibri" w:cs="Tahoma"/>
          <w:bCs/>
          <w:color w:val="000000"/>
        </w:rPr>
        <w:t>de todos e quaisquer atos</w:t>
      </w:r>
      <w:r w:rsidR="002F597C" w:rsidRPr="00C85BD6">
        <w:rPr>
          <w:rFonts w:eastAsia="Calibri" w:cs="Tahoma"/>
          <w:bCs/>
          <w:color w:val="000000"/>
        </w:rPr>
        <w:t xml:space="preserve">, </w:t>
      </w:r>
      <w:r w:rsidR="002F597C" w:rsidRPr="00C85BD6">
        <w:rPr>
          <w:rFonts w:cs="Tahoma"/>
        </w:rPr>
        <w:t xml:space="preserve">bem como a ratificação dos atos já praticados pela diretoria da Companhia, </w:t>
      </w:r>
      <w:r w:rsidR="002F597C" w:rsidRPr="00C85BD6">
        <w:rPr>
          <w:rFonts w:eastAsia="Calibri" w:cs="Tahoma"/>
          <w:bCs/>
          <w:color w:val="000000"/>
        </w:rPr>
        <w:t>ou por seus procuradores</w:t>
      </w:r>
      <w:r w:rsidR="002F597C" w:rsidRPr="00C85BD6">
        <w:rPr>
          <w:rFonts w:cs="Tahoma"/>
        </w:rPr>
        <w:t>,</w:t>
      </w:r>
      <w:r w:rsidRPr="00C85BD6">
        <w:rPr>
          <w:rFonts w:eastAsia="Calibri" w:cs="Tahoma"/>
          <w:bCs/>
          <w:color w:val="000000"/>
        </w:rPr>
        <w:t xml:space="preserve"> necessários e/ou convenientes à realização, formalização, implementação e/ou aperfeiçoamento das deliberações tomadas nesta Assembleia</w:t>
      </w:r>
      <w:r w:rsidR="003736D3" w:rsidRPr="00C85BD6">
        <w:rPr>
          <w:rFonts w:eastAsia="Calibri" w:cs="Tahoma"/>
          <w:bCs/>
          <w:color w:val="000000"/>
        </w:rPr>
        <w:t>,</w:t>
      </w:r>
      <w:r w:rsidRPr="00C85BD6">
        <w:rPr>
          <w:rFonts w:eastAsia="Calibri" w:cs="Tahoma"/>
          <w:bCs/>
          <w:color w:val="000000"/>
        </w:rPr>
        <w:t xml:space="preserve"> com relação à Emissão, incluindo a celebração </w:t>
      </w:r>
      <w:r w:rsidR="000D6D23" w:rsidRPr="00C85BD6">
        <w:rPr>
          <w:rFonts w:eastAsia="Calibri" w:cs="Tahoma"/>
          <w:bCs/>
          <w:color w:val="000000"/>
        </w:rPr>
        <w:t xml:space="preserve">da Escritura de Emissão, do Contrato de Distribuição (conforme definido abaixo), </w:t>
      </w:r>
      <w:r w:rsidRPr="00C85BD6">
        <w:rPr>
          <w:rFonts w:eastAsia="Calibri" w:cs="Tahoma"/>
          <w:bCs/>
          <w:color w:val="000000"/>
        </w:rPr>
        <w:t xml:space="preserve">dos contratos acessórios e </w:t>
      </w:r>
      <w:r w:rsidR="002F597C" w:rsidRPr="00C85BD6">
        <w:rPr>
          <w:rFonts w:eastAsia="Calibri" w:cs="Tahoma"/>
          <w:bCs/>
          <w:color w:val="000000"/>
        </w:rPr>
        <w:t xml:space="preserve">demais </w:t>
      </w:r>
      <w:r w:rsidRPr="00C85BD6">
        <w:rPr>
          <w:rFonts w:eastAsia="Calibri" w:cs="Tahoma"/>
          <w:bCs/>
          <w:color w:val="000000"/>
        </w:rPr>
        <w:t xml:space="preserve">documentos acessórios à Escritura de Emissão e ao Contrato de </w:t>
      </w:r>
      <w:r w:rsidR="00C678A6" w:rsidRPr="00C85BD6">
        <w:rPr>
          <w:rFonts w:eastAsia="Calibri" w:cs="Tahoma"/>
          <w:bCs/>
          <w:color w:val="000000"/>
        </w:rPr>
        <w:t>Distribuição</w:t>
      </w:r>
      <w:r w:rsidR="000D6D23" w:rsidRPr="00C85BD6">
        <w:rPr>
          <w:rFonts w:eastAsia="Calibri" w:cs="Tahoma"/>
          <w:bCs/>
          <w:color w:val="000000"/>
        </w:rPr>
        <w:t>,</w:t>
      </w:r>
      <w:r w:rsidRPr="00C85BD6">
        <w:rPr>
          <w:rFonts w:eastAsia="Calibri" w:cs="Tahoma"/>
          <w:bCs/>
          <w:color w:val="000000"/>
        </w:rPr>
        <w:t xml:space="preserve"> e </w:t>
      </w:r>
      <w:r w:rsidR="000D6D23" w:rsidRPr="00C85BD6">
        <w:rPr>
          <w:rFonts w:eastAsia="Calibri" w:cs="Tahoma"/>
          <w:bCs/>
          <w:color w:val="000000"/>
        </w:rPr>
        <w:t xml:space="preserve">de </w:t>
      </w:r>
      <w:r w:rsidRPr="00C85BD6">
        <w:rPr>
          <w:rFonts w:eastAsia="Calibri" w:cs="Tahoma"/>
          <w:bCs/>
          <w:color w:val="000000"/>
        </w:rPr>
        <w:t>seus eventuais aditamentos (</w:t>
      </w:r>
      <w:r w:rsidR="000D6D23" w:rsidRPr="00C85BD6">
        <w:rPr>
          <w:rFonts w:eastAsia="Calibri" w:cs="Tahoma"/>
          <w:bCs/>
          <w:color w:val="000000"/>
        </w:rPr>
        <w:t xml:space="preserve">em conjunto, os </w:t>
      </w:r>
      <w:r w:rsidRPr="00C85BD6">
        <w:rPr>
          <w:rFonts w:eastAsia="Calibri" w:cs="Tahoma"/>
          <w:bCs/>
          <w:color w:val="000000"/>
        </w:rPr>
        <w:t>“</w:t>
      </w:r>
      <w:r w:rsidRPr="00C85BD6">
        <w:rPr>
          <w:rFonts w:eastAsia="Calibri" w:cs="Tahoma"/>
          <w:bCs/>
          <w:color w:val="000000"/>
          <w:u w:val="single"/>
        </w:rPr>
        <w:t xml:space="preserve">Documentos da </w:t>
      </w:r>
      <w:r w:rsidR="003736D3" w:rsidRPr="00C85BD6">
        <w:rPr>
          <w:rFonts w:eastAsia="Calibri" w:cs="Tahoma"/>
          <w:bCs/>
          <w:color w:val="000000"/>
          <w:u w:val="single"/>
        </w:rPr>
        <w:t>Emissão</w:t>
      </w:r>
      <w:r w:rsidRPr="00C85BD6">
        <w:rPr>
          <w:rFonts w:eastAsia="Calibri" w:cs="Tahoma"/>
          <w:bCs/>
          <w:color w:val="000000"/>
        </w:rPr>
        <w:t>”)</w:t>
      </w:r>
      <w:r w:rsidR="00491A6C" w:rsidRPr="00C85BD6">
        <w:rPr>
          <w:rFonts w:eastAsia="Calibri" w:cs="Tahoma"/>
          <w:bCs/>
          <w:color w:val="000000"/>
        </w:rPr>
        <w:t>;</w:t>
      </w:r>
    </w:p>
    <w:p w14:paraId="481E73F5" w14:textId="35FA8080" w:rsidR="00254337" w:rsidRPr="00C85BD6" w:rsidRDefault="00491A6C" w:rsidP="00254337">
      <w:pPr>
        <w:pStyle w:val="PargrafodaLista"/>
        <w:spacing w:after="240" w:line="320" w:lineRule="exact"/>
        <w:ind w:left="0"/>
        <w:contextualSpacing w:val="0"/>
        <w:outlineLvl w:val="0"/>
        <w:rPr>
          <w:rFonts w:eastAsia="Calibri" w:cs="Tahoma"/>
          <w:bCs/>
          <w:color w:val="000000"/>
        </w:rPr>
      </w:pPr>
      <w:r w:rsidRPr="00C85BD6">
        <w:rPr>
          <w:rFonts w:eastAsia="Calibri" w:cs="Tahoma"/>
          <w:b/>
          <w:color w:val="000000"/>
        </w:rPr>
        <w:t xml:space="preserve">(III) </w:t>
      </w:r>
      <w:r w:rsidRPr="00C85BD6">
        <w:rPr>
          <w:rFonts w:eastAsia="Calibri" w:cs="Tahoma"/>
          <w:bCs/>
          <w:color w:val="000000"/>
        </w:rPr>
        <w:t>autorização à diretoria da Companhia, ou aos seus procuradores, para a prática de todos e quaisquer atos necessários e/ou convenientes à celebração pela Companhia dos seguintes documentos:</w:t>
      </w:r>
    </w:p>
    <w:p w14:paraId="229EFD30" w14:textId="18F2079E" w:rsidR="00C63E67" w:rsidRPr="00C85BD6" w:rsidRDefault="00254337" w:rsidP="00F12122">
      <w:pPr>
        <w:pStyle w:val="PargrafodaLista"/>
        <w:numPr>
          <w:ilvl w:val="0"/>
          <w:numId w:val="26"/>
        </w:numPr>
        <w:spacing w:after="240" w:line="320" w:lineRule="exact"/>
        <w:contextualSpacing w:val="0"/>
        <w:outlineLvl w:val="0"/>
        <w:rPr>
          <w:rFonts w:eastAsia="Calibri" w:cs="Tahoma"/>
          <w:bCs/>
          <w:color w:val="000000"/>
        </w:rPr>
      </w:pPr>
      <w:r w:rsidRPr="00C85BD6">
        <w:rPr>
          <w:rFonts w:eastAsia="Calibri" w:cs="Tahoma"/>
          <w:bCs/>
          <w:color w:val="000000"/>
        </w:rPr>
        <w:t>4º Aditamento ao Instrumento Particular de Escritura da 1ª (Primeira) Emissão de Debêntures Simples, não Conversíveis em Ações, em Série Única, da Espécie com Garantia Real com Garantia Adicional Fidejussória, para Distribuição Pública, com Esforços Restritos da Ventos de São Clemente Holding S.A., celebrado em 17 de março de 2017, conforme aditado, por e entre a Companhia, a Pentágono S.A. Distribuidora de Títulos e Valores Mobiliários (“</w:t>
      </w:r>
      <w:r w:rsidRPr="00C85BD6">
        <w:rPr>
          <w:rFonts w:eastAsia="Calibri" w:cs="Tahoma"/>
          <w:bCs/>
          <w:color w:val="000000"/>
          <w:u w:val="single"/>
        </w:rPr>
        <w:t>Pentágono</w:t>
      </w:r>
      <w:r w:rsidRPr="00C85BD6">
        <w:rPr>
          <w:rFonts w:eastAsia="Calibri" w:cs="Tahoma"/>
          <w:bCs/>
          <w:color w:val="000000"/>
        </w:rPr>
        <w:t>”), as SPEs e a Echo Holding 1 S.A.</w:t>
      </w:r>
      <w:r w:rsidR="00C63E67" w:rsidRPr="00C85BD6">
        <w:rPr>
          <w:rFonts w:eastAsia="Calibri" w:cs="Tahoma"/>
          <w:bCs/>
          <w:color w:val="000000"/>
        </w:rPr>
        <w:t xml:space="preserve"> (</w:t>
      </w:r>
      <w:r w:rsidR="00FF380A" w:rsidRPr="00C85BD6">
        <w:rPr>
          <w:rFonts w:eastAsia="Calibri" w:cs="Tahoma"/>
          <w:bCs/>
          <w:color w:val="000000"/>
        </w:rPr>
        <w:t>“</w:t>
      </w:r>
      <w:r w:rsidR="00FF380A" w:rsidRPr="00C85BD6">
        <w:rPr>
          <w:rFonts w:eastAsia="Calibri" w:cs="Tahoma"/>
          <w:bCs/>
          <w:color w:val="000000"/>
          <w:u w:val="single"/>
        </w:rPr>
        <w:t>Escritura da 1ª Emissão</w:t>
      </w:r>
      <w:r w:rsidR="00FF380A" w:rsidRPr="00C85BD6">
        <w:rPr>
          <w:rFonts w:eastAsia="Calibri" w:cs="Tahoma"/>
          <w:bCs/>
          <w:color w:val="000000"/>
        </w:rPr>
        <w:t>”</w:t>
      </w:r>
      <w:r w:rsidR="00C83C7B" w:rsidRPr="00C85BD6">
        <w:rPr>
          <w:rFonts w:eastAsia="Calibri" w:cs="Tahoma"/>
          <w:bCs/>
          <w:color w:val="000000"/>
        </w:rPr>
        <w:t xml:space="preserve"> e</w:t>
      </w:r>
      <w:r w:rsidR="00FF380A" w:rsidRPr="00C85BD6">
        <w:rPr>
          <w:rFonts w:eastAsia="Calibri" w:cs="Tahoma"/>
          <w:bCs/>
          <w:color w:val="000000"/>
        </w:rPr>
        <w:t xml:space="preserve"> </w:t>
      </w:r>
      <w:r w:rsidR="00C63E67" w:rsidRPr="00C85BD6">
        <w:rPr>
          <w:rFonts w:eastAsia="Calibri" w:cs="Tahoma"/>
          <w:bCs/>
          <w:color w:val="000000"/>
        </w:rPr>
        <w:t>“</w:t>
      </w:r>
      <w:r w:rsidR="00C63E67" w:rsidRPr="00C85BD6">
        <w:rPr>
          <w:rFonts w:eastAsia="Calibri" w:cs="Tahoma"/>
          <w:bCs/>
          <w:color w:val="000000"/>
          <w:u w:val="single"/>
        </w:rPr>
        <w:t>Aditamento Escritura 1ª Emissão</w:t>
      </w:r>
      <w:r w:rsidR="00C63E67" w:rsidRPr="00C85BD6">
        <w:rPr>
          <w:rFonts w:eastAsia="Calibri" w:cs="Tahoma"/>
          <w:bCs/>
          <w:color w:val="000000"/>
        </w:rPr>
        <w:t>”)</w:t>
      </w:r>
      <w:r w:rsidRPr="00C85BD6">
        <w:rPr>
          <w:rFonts w:eastAsia="Calibri" w:cs="Tahoma"/>
          <w:bCs/>
          <w:color w:val="000000"/>
        </w:rPr>
        <w:t>;</w:t>
      </w:r>
    </w:p>
    <w:p w14:paraId="523571FD" w14:textId="65EE48F0" w:rsidR="00C63E67" w:rsidRPr="00C85BD6" w:rsidRDefault="00C63E67" w:rsidP="00C63E67">
      <w:pPr>
        <w:pStyle w:val="PargrafodaLista"/>
        <w:numPr>
          <w:ilvl w:val="0"/>
          <w:numId w:val="26"/>
        </w:numPr>
        <w:spacing w:after="240" w:line="320" w:lineRule="exact"/>
        <w:contextualSpacing w:val="0"/>
        <w:outlineLvl w:val="0"/>
        <w:rPr>
          <w:rFonts w:eastAsia="Calibri" w:cs="Tahoma"/>
          <w:bCs/>
          <w:color w:val="000000"/>
        </w:rPr>
      </w:pPr>
      <w:r w:rsidRPr="00C85BD6">
        <w:rPr>
          <w:rFonts w:eastAsia="Calibri" w:cs="Tahoma"/>
          <w:bCs/>
          <w:color w:val="000000"/>
        </w:rPr>
        <w:t xml:space="preserve">Aditivo nº 4 ao Contrato de Financiamento Mediante Abertura de Crédito nº 15.2.0779.1, celebrado em </w:t>
      </w:r>
      <w:r w:rsidR="000F607A" w:rsidRPr="00C85BD6">
        <w:rPr>
          <w:rFonts w:eastAsia="Calibri" w:cs="Tahoma"/>
          <w:bCs/>
          <w:color w:val="000000"/>
        </w:rPr>
        <w:t>15 de dezembro de 2015, celebrado entre o Banco Nacional de Desenvolvimento Econômico e Social – BNDES (“</w:t>
      </w:r>
      <w:r w:rsidR="000F607A" w:rsidRPr="00C85BD6">
        <w:rPr>
          <w:rFonts w:eastAsia="Calibri" w:cs="Tahoma"/>
          <w:bCs/>
          <w:color w:val="000000"/>
          <w:u w:val="single"/>
        </w:rPr>
        <w:t>BNDES</w:t>
      </w:r>
      <w:r w:rsidR="000F607A" w:rsidRPr="00C85BD6">
        <w:rPr>
          <w:rFonts w:eastAsia="Calibri" w:cs="Tahoma"/>
          <w:bCs/>
          <w:color w:val="000000"/>
        </w:rPr>
        <w:t>”), as SPEs, a Companhia</w:t>
      </w:r>
      <w:r w:rsidR="00F729C7" w:rsidRPr="00C85BD6">
        <w:rPr>
          <w:rFonts w:eastAsia="Calibri" w:cs="Tahoma"/>
          <w:bCs/>
          <w:color w:val="000000"/>
        </w:rPr>
        <w:t>, a Echo Holding 1 S.A. e a Echoenergia Participações S.A. (</w:t>
      </w:r>
      <w:r w:rsidR="00C83C7B" w:rsidRPr="00C85BD6">
        <w:rPr>
          <w:rFonts w:eastAsia="Calibri" w:cs="Tahoma"/>
          <w:bCs/>
          <w:color w:val="000000"/>
        </w:rPr>
        <w:t>“</w:t>
      </w:r>
      <w:r w:rsidR="00C83C7B" w:rsidRPr="00C85BD6">
        <w:rPr>
          <w:rFonts w:eastAsia="Calibri" w:cs="Tahoma"/>
          <w:bCs/>
          <w:color w:val="000000"/>
          <w:u w:val="single"/>
        </w:rPr>
        <w:t>Contrato de Financiamento BNDES</w:t>
      </w:r>
      <w:r w:rsidR="00C83C7B" w:rsidRPr="00C85BD6">
        <w:rPr>
          <w:rFonts w:eastAsia="Calibri" w:cs="Tahoma"/>
          <w:bCs/>
          <w:color w:val="000000"/>
        </w:rPr>
        <w:t xml:space="preserve">” e </w:t>
      </w:r>
      <w:r w:rsidR="00F729C7" w:rsidRPr="00C85BD6">
        <w:rPr>
          <w:rFonts w:eastAsia="Calibri" w:cs="Tahoma"/>
          <w:bCs/>
          <w:color w:val="000000"/>
        </w:rPr>
        <w:t>“</w:t>
      </w:r>
      <w:r w:rsidR="00F729C7" w:rsidRPr="00C85BD6">
        <w:rPr>
          <w:rFonts w:eastAsia="Calibri" w:cs="Tahoma"/>
          <w:bCs/>
          <w:color w:val="000000"/>
          <w:u w:val="single"/>
        </w:rPr>
        <w:t>Aditamento BNDES</w:t>
      </w:r>
      <w:r w:rsidR="00F729C7" w:rsidRPr="00C85BD6">
        <w:rPr>
          <w:rFonts w:eastAsia="Calibri" w:cs="Tahoma"/>
          <w:bCs/>
          <w:color w:val="000000"/>
        </w:rPr>
        <w:t>”);</w:t>
      </w:r>
    </w:p>
    <w:p w14:paraId="5D69CAF4" w14:textId="1AF40D7B" w:rsidR="00054990" w:rsidRPr="00C85BD6" w:rsidRDefault="00C63E67" w:rsidP="00F12122">
      <w:pPr>
        <w:pStyle w:val="PargrafodaLista"/>
        <w:numPr>
          <w:ilvl w:val="0"/>
          <w:numId w:val="26"/>
        </w:numPr>
        <w:spacing w:after="240" w:line="320" w:lineRule="exact"/>
        <w:contextualSpacing w:val="0"/>
        <w:outlineLvl w:val="0"/>
        <w:rPr>
          <w:rFonts w:eastAsia="Calibri" w:cs="Tahoma"/>
          <w:bCs/>
          <w:color w:val="000000"/>
        </w:rPr>
      </w:pPr>
      <w:r w:rsidRPr="00C85BD6">
        <w:rPr>
          <w:rFonts w:eastAsia="Calibri" w:cs="Tahoma"/>
          <w:bCs/>
          <w:color w:val="000000"/>
        </w:rPr>
        <w:t xml:space="preserve">4º Aditamento ao Contrato de Cessão Fiduciária de Direitos, Administração de Contas e Outras Avenças, celebrado em 05 de maio de 2016, conforme aditado, por e entre o </w:t>
      </w:r>
      <w:r w:rsidR="000F607A" w:rsidRPr="00C85BD6">
        <w:rPr>
          <w:rFonts w:eastAsia="Calibri" w:cs="Tahoma"/>
          <w:bCs/>
          <w:color w:val="000000"/>
        </w:rPr>
        <w:t>BNDES</w:t>
      </w:r>
      <w:r w:rsidRPr="00C85BD6">
        <w:rPr>
          <w:rFonts w:eastAsia="Calibri" w:cs="Tahoma"/>
          <w:bCs/>
          <w:color w:val="000000"/>
        </w:rPr>
        <w:t>, a Pentágono, as SPEs e o Banco Citibank S.A. (</w:t>
      </w:r>
      <w:r w:rsidR="008521C0" w:rsidRPr="00C85BD6">
        <w:rPr>
          <w:rFonts w:eastAsia="Calibri" w:cs="Tahoma"/>
          <w:bCs/>
          <w:color w:val="000000"/>
        </w:rPr>
        <w:t>“</w:t>
      </w:r>
      <w:r w:rsidR="008521C0" w:rsidRPr="00C85BD6">
        <w:rPr>
          <w:rFonts w:eastAsia="Calibri" w:cs="Tahoma"/>
          <w:bCs/>
          <w:color w:val="000000"/>
          <w:u w:val="single"/>
        </w:rPr>
        <w:t>Contrato de Cessão Fiduciária</w:t>
      </w:r>
      <w:r w:rsidR="008521C0" w:rsidRPr="00C85BD6">
        <w:rPr>
          <w:rFonts w:eastAsia="Calibri" w:cs="Tahoma"/>
          <w:bCs/>
          <w:color w:val="000000"/>
        </w:rPr>
        <w:t xml:space="preserve">” e </w:t>
      </w:r>
      <w:r w:rsidRPr="00C85BD6">
        <w:rPr>
          <w:rFonts w:eastAsia="Calibri" w:cs="Tahoma"/>
          <w:bCs/>
          <w:color w:val="000000"/>
        </w:rPr>
        <w:t>“</w:t>
      </w:r>
      <w:r w:rsidRPr="00C85BD6">
        <w:rPr>
          <w:rFonts w:eastAsia="Calibri" w:cs="Tahoma"/>
          <w:bCs/>
          <w:color w:val="000000"/>
          <w:u w:val="single"/>
        </w:rPr>
        <w:t>Aditamento Cessão Fiduciária</w:t>
      </w:r>
      <w:r w:rsidRPr="00C85BD6">
        <w:rPr>
          <w:rFonts w:eastAsia="Calibri" w:cs="Tahoma"/>
          <w:bCs/>
          <w:color w:val="000000"/>
        </w:rPr>
        <w:t>”</w:t>
      </w:r>
      <w:r w:rsidR="008521C0" w:rsidRPr="00C85BD6">
        <w:rPr>
          <w:rFonts w:eastAsia="Calibri" w:cs="Tahoma"/>
          <w:bCs/>
          <w:color w:val="000000"/>
        </w:rPr>
        <w:t>, sendo este</w:t>
      </w:r>
      <w:r w:rsidR="00F729C7" w:rsidRPr="00C85BD6">
        <w:rPr>
          <w:rFonts w:eastAsia="Calibri" w:cs="Tahoma"/>
          <w:bCs/>
          <w:color w:val="000000"/>
        </w:rPr>
        <w:t>, em conjunto com o Aditamento Escritura 1ª Emissão e o Aditamento BNDES, os “</w:t>
      </w:r>
      <w:r w:rsidR="00F729C7" w:rsidRPr="00C85BD6">
        <w:rPr>
          <w:rFonts w:eastAsia="Calibri" w:cs="Tahoma"/>
          <w:bCs/>
          <w:color w:val="000000"/>
          <w:u w:val="single"/>
        </w:rPr>
        <w:t>Documentos da Reestruturação</w:t>
      </w:r>
      <w:r w:rsidR="00F729C7" w:rsidRPr="00C85BD6">
        <w:rPr>
          <w:rFonts w:eastAsia="Calibri" w:cs="Tahoma"/>
          <w:bCs/>
          <w:color w:val="000000"/>
        </w:rPr>
        <w:t>”</w:t>
      </w:r>
      <w:r w:rsidRPr="00C85BD6">
        <w:rPr>
          <w:rFonts w:eastAsia="Calibri" w:cs="Tahoma"/>
          <w:bCs/>
          <w:color w:val="000000"/>
        </w:rPr>
        <w:t>)</w:t>
      </w:r>
    </w:p>
    <w:p w14:paraId="3E9BCD4E" w14:textId="77777777" w:rsidR="00054990" w:rsidRPr="00C85BD6" w:rsidRDefault="00054990" w:rsidP="002334BF">
      <w:pPr>
        <w:pStyle w:val="PargrafodaLista"/>
        <w:numPr>
          <w:ilvl w:val="0"/>
          <w:numId w:val="21"/>
        </w:numPr>
        <w:spacing w:after="240" w:line="320" w:lineRule="exact"/>
        <w:contextualSpacing w:val="0"/>
        <w:outlineLvl w:val="0"/>
        <w:rPr>
          <w:rFonts w:cs="Tahoma"/>
        </w:rPr>
      </w:pPr>
      <w:r w:rsidRPr="00C85BD6">
        <w:rPr>
          <w:rFonts w:cs="Tahoma"/>
          <w:b/>
        </w:rPr>
        <w:lastRenderedPageBreak/>
        <w:t>DELIBERAÇÕES</w:t>
      </w:r>
      <w:r w:rsidRPr="00C85BD6">
        <w:rPr>
          <w:rFonts w:cs="Tahoma"/>
        </w:rPr>
        <w:t>. Após examinadas e discutidas as matérias constantes da ordem do dia, as seguintes deliberações foram aprovadas, por unanimidade de votos e sem quaisquer restrições:</w:t>
      </w:r>
    </w:p>
    <w:p w14:paraId="7A1FFAEE" w14:textId="2DC2F95A" w:rsidR="00054990" w:rsidRPr="00C85BD6" w:rsidRDefault="00054990" w:rsidP="002334BF">
      <w:pPr>
        <w:pStyle w:val="Subttulo"/>
        <w:widowControl/>
        <w:numPr>
          <w:ilvl w:val="0"/>
          <w:numId w:val="16"/>
        </w:numPr>
        <w:spacing w:after="240" w:line="320" w:lineRule="exact"/>
        <w:ind w:left="0" w:firstLine="0"/>
        <w:jc w:val="both"/>
        <w:rPr>
          <w:rFonts w:cs="Tahoma"/>
          <w:b w:val="0"/>
          <w:sz w:val="20"/>
          <w:lang w:val="pt-BR"/>
        </w:rPr>
      </w:pPr>
      <w:bookmarkStart w:id="2" w:name="_DV_M27"/>
      <w:bookmarkEnd w:id="2"/>
      <w:r w:rsidRPr="00C85BD6">
        <w:rPr>
          <w:rFonts w:cs="Tahoma"/>
          <w:b w:val="0"/>
          <w:color w:val="000000"/>
          <w:sz w:val="20"/>
          <w:lang w:val="pt-BR"/>
        </w:rPr>
        <w:t xml:space="preserve">Celebração, pela Companhia, da Escritura de Emissão, e realização, nos termos do artigo 59 da </w:t>
      </w:r>
      <w:r w:rsidRPr="00C85BD6">
        <w:rPr>
          <w:rFonts w:cs="Tahoma"/>
          <w:b w:val="0"/>
          <w:sz w:val="20"/>
          <w:lang w:val="pt-BR"/>
        </w:rPr>
        <w:t>Lei das Sociedades por Ações, da Emissão e da Oferta Restrita</w:t>
      </w:r>
      <w:r w:rsidRPr="00C85BD6">
        <w:rPr>
          <w:rFonts w:cs="Tahoma"/>
          <w:b w:val="0"/>
          <w:color w:val="000000"/>
          <w:sz w:val="20"/>
          <w:lang w:val="pt-BR"/>
        </w:rPr>
        <w:t>, que terão as seguintes características e condições principais</w:t>
      </w:r>
      <w:r w:rsidRPr="00C85BD6">
        <w:rPr>
          <w:rFonts w:cs="Tahoma"/>
          <w:b w:val="0"/>
          <w:sz w:val="20"/>
          <w:lang w:val="pt-BR"/>
        </w:rPr>
        <w:t>:</w:t>
      </w:r>
    </w:p>
    <w:p w14:paraId="37EA753F" w14:textId="720245CA" w:rsidR="00833360" w:rsidRPr="00C85BD6" w:rsidRDefault="00833360" w:rsidP="002334BF">
      <w:pPr>
        <w:pStyle w:val="PargrafodaLista"/>
        <w:numPr>
          <w:ilvl w:val="1"/>
          <w:numId w:val="21"/>
        </w:numPr>
        <w:spacing w:after="240" w:line="320" w:lineRule="exact"/>
        <w:contextualSpacing w:val="0"/>
        <w:outlineLvl w:val="1"/>
        <w:rPr>
          <w:rFonts w:cs="Tahoma"/>
        </w:rPr>
      </w:pPr>
      <w:bookmarkStart w:id="3" w:name="_DV_M36"/>
      <w:bookmarkStart w:id="4" w:name="_DV_M40"/>
      <w:bookmarkStart w:id="5" w:name="_DV_M44"/>
      <w:bookmarkStart w:id="6" w:name="_DV_M45"/>
      <w:bookmarkStart w:id="7" w:name="_DV_M48"/>
      <w:bookmarkStart w:id="8" w:name="_DV_M49"/>
      <w:bookmarkStart w:id="9" w:name="_DV_M52"/>
      <w:bookmarkStart w:id="10" w:name="_DV_M54"/>
      <w:bookmarkStart w:id="11" w:name="_DV_M56"/>
      <w:bookmarkStart w:id="12" w:name="_DV_M57"/>
      <w:bookmarkStart w:id="13" w:name="_DV_M64"/>
      <w:bookmarkStart w:id="14" w:name="_DV_M65"/>
      <w:bookmarkStart w:id="15" w:name="_DV_M74"/>
      <w:bookmarkStart w:id="16" w:name="_DV_M78"/>
      <w:bookmarkStart w:id="17" w:name="_DV_M85"/>
      <w:bookmarkStart w:id="18" w:name="_DV_M86"/>
      <w:bookmarkStart w:id="19" w:name="_DV_M87"/>
      <w:bookmarkStart w:id="20" w:name="_DV_M89"/>
      <w:bookmarkStart w:id="21" w:name="_DV_M271"/>
      <w:bookmarkStart w:id="22" w:name="_DV_M272"/>
      <w:bookmarkStart w:id="23" w:name="_DV_M273"/>
      <w:bookmarkStart w:id="24" w:name="_DV_M274"/>
      <w:bookmarkStart w:id="25" w:name="_DV_M275"/>
      <w:bookmarkStart w:id="26" w:name="_DV_M276"/>
      <w:bookmarkStart w:id="27" w:name="_DV_M277"/>
      <w:bookmarkStart w:id="28" w:name="_DV_M278"/>
      <w:bookmarkStart w:id="29" w:name="_DV_M280"/>
      <w:bookmarkStart w:id="30" w:name="_DV_M281"/>
      <w:bookmarkStart w:id="31" w:name="_DV_M282"/>
      <w:bookmarkStart w:id="32" w:name="_DV_M285"/>
      <w:bookmarkStart w:id="33" w:name="_DV_M286"/>
      <w:bookmarkStart w:id="34" w:name="_DV_M288"/>
      <w:bookmarkStart w:id="35" w:name="_BPDC_LN_INS_1385"/>
      <w:bookmarkStart w:id="36" w:name="_BPDC_PR_INS_138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C85BD6">
        <w:rPr>
          <w:rFonts w:cs="Tahoma"/>
          <w:i/>
        </w:rPr>
        <w:t xml:space="preserve">Número da Emissão. </w:t>
      </w:r>
      <w:r w:rsidR="0086056F" w:rsidRPr="00C85BD6">
        <w:rPr>
          <w:rFonts w:cs="Tahoma"/>
        </w:rPr>
        <w:t>2</w:t>
      </w:r>
      <w:r w:rsidR="00556E13" w:rsidRPr="00C85BD6">
        <w:rPr>
          <w:rFonts w:cs="Tahoma"/>
        </w:rPr>
        <w:t>ª (</w:t>
      </w:r>
      <w:r w:rsidR="0086056F" w:rsidRPr="00C85BD6">
        <w:rPr>
          <w:rFonts w:cs="Tahoma"/>
        </w:rPr>
        <w:t>segunda</w:t>
      </w:r>
      <w:r w:rsidR="00556E13" w:rsidRPr="00C85BD6">
        <w:rPr>
          <w:rFonts w:cs="Tahoma"/>
        </w:rPr>
        <w:t>)</w:t>
      </w:r>
      <w:r w:rsidRPr="00C85BD6">
        <w:rPr>
          <w:rFonts w:cs="Tahoma"/>
        </w:rPr>
        <w:t xml:space="preserve"> emissão de debêntures da Emissora. </w:t>
      </w:r>
    </w:p>
    <w:p w14:paraId="04F7E914" w14:textId="77777777" w:rsidR="00DC137F" w:rsidRPr="00C85BD6" w:rsidRDefault="00DC137F" w:rsidP="00DC137F">
      <w:pPr>
        <w:pStyle w:val="PargrafodaLista"/>
        <w:numPr>
          <w:ilvl w:val="1"/>
          <w:numId w:val="21"/>
        </w:numPr>
        <w:spacing w:after="240" w:line="320" w:lineRule="exact"/>
        <w:contextualSpacing w:val="0"/>
        <w:outlineLvl w:val="1"/>
        <w:rPr>
          <w:rFonts w:cs="Tahoma"/>
        </w:rPr>
      </w:pPr>
      <w:bookmarkStart w:id="37" w:name="_BPDC_LN_INS_1383"/>
      <w:bookmarkStart w:id="38" w:name="_BPDC_PR_INS_1384"/>
      <w:bookmarkEnd w:id="37"/>
      <w:bookmarkEnd w:id="38"/>
      <w:r w:rsidRPr="00C85BD6">
        <w:rPr>
          <w:rFonts w:cs="Tahoma"/>
          <w:i/>
        </w:rPr>
        <w:t>Quantidade de Debêntures</w:t>
      </w:r>
      <w:r w:rsidRPr="00C85BD6">
        <w:rPr>
          <w:rFonts w:cs="Tahoma"/>
        </w:rPr>
        <w:t>. Serão emitidas 20.000 (vinte mil) Debêntures (sendo os titulares das Debêntures denominados “</w:t>
      </w:r>
      <w:r w:rsidRPr="00C85BD6">
        <w:rPr>
          <w:rFonts w:cs="Tahoma"/>
          <w:u w:val="single"/>
        </w:rPr>
        <w:t>Debenturistas</w:t>
      </w:r>
      <w:r w:rsidRPr="00C85BD6">
        <w:rPr>
          <w:rFonts w:cs="Tahoma"/>
        </w:rPr>
        <w:t>”).</w:t>
      </w:r>
    </w:p>
    <w:p w14:paraId="75CA91B6" w14:textId="77777777" w:rsidR="004645A9" w:rsidRPr="00C85BD6" w:rsidRDefault="004645A9" w:rsidP="004645A9">
      <w:pPr>
        <w:pStyle w:val="PargrafodaLista"/>
        <w:numPr>
          <w:ilvl w:val="1"/>
          <w:numId w:val="21"/>
        </w:numPr>
        <w:spacing w:after="240" w:line="320" w:lineRule="exact"/>
        <w:contextualSpacing w:val="0"/>
        <w:outlineLvl w:val="1"/>
        <w:rPr>
          <w:rFonts w:cs="Tahoma"/>
        </w:rPr>
      </w:pPr>
      <w:r w:rsidRPr="00C85BD6">
        <w:rPr>
          <w:rFonts w:cs="Tahoma"/>
          <w:i/>
        </w:rPr>
        <w:t xml:space="preserve">Valor Nominal Unitário. </w:t>
      </w:r>
      <w:r w:rsidRPr="00C85BD6">
        <w:rPr>
          <w:rFonts w:cs="Tahoma"/>
        </w:rPr>
        <w:t>O valor nominal unitário das Debêntures será de R$ 1.000,00 (um mil reais), na Data de Emissão (conforme definida abaixo) (“</w:t>
      </w:r>
      <w:r w:rsidRPr="00C85BD6">
        <w:rPr>
          <w:rFonts w:cs="Tahoma"/>
          <w:u w:val="single"/>
        </w:rPr>
        <w:t>Valor Nominal Unitário</w:t>
      </w:r>
      <w:r w:rsidRPr="00C85BD6">
        <w:rPr>
          <w:rFonts w:cs="Tahoma"/>
        </w:rPr>
        <w:t xml:space="preserve">”). </w:t>
      </w:r>
    </w:p>
    <w:p w14:paraId="06FFBC34" w14:textId="6B237520" w:rsidR="00DC137F" w:rsidRPr="00C85BD6" w:rsidRDefault="00DC137F" w:rsidP="00DC137F">
      <w:pPr>
        <w:pStyle w:val="PargrafodaLista"/>
        <w:numPr>
          <w:ilvl w:val="1"/>
          <w:numId w:val="21"/>
        </w:numPr>
        <w:spacing w:after="240" w:line="320" w:lineRule="exact"/>
        <w:contextualSpacing w:val="0"/>
        <w:outlineLvl w:val="1"/>
        <w:rPr>
          <w:rFonts w:cs="Tahoma"/>
        </w:rPr>
      </w:pPr>
      <w:bookmarkStart w:id="39" w:name="_BPDC_LN_INS_1319"/>
      <w:bookmarkStart w:id="40" w:name="_BPDC_PR_INS_1320"/>
      <w:bookmarkEnd w:id="39"/>
      <w:bookmarkEnd w:id="40"/>
      <w:r w:rsidRPr="00C85BD6">
        <w:rPr>
          <w:rFonts w:cs="Tahoma"/>
          <w:i/>
        </w:rPr>
        <w:t>Valor Total da Emissão</w:t>
      </w:r>
      <w:r w:rsidRPr="00C85BD6">
        <w:rPr>
          <w:rFonts w:cs="Tahoma"/>
        </w:rPr>
        <w:t>. O valor total da Emissão será de R$ 20.000.000,00 (vinte milhões de reais), na Data de Emissão (conforme a seguir definida).</w:t>
      </w:r>
    </w:p>
    <w:p w14:paraId="7744FC4F" w14:textId="77777777" w:rsidR="004645A9" w:rsidRPr="00C85BD6" w:rsidRDefault="004645A9" w:rsidP="004645A9">
      <w:pPr>
        <w:pStyle w:val="PargrafodaLista"/>
        <w:numPr>
          <w:ilvl w:val="1"/>
          <w:numId w:val="21"/>
        </w:numPr>
        <w:spacing w:after="240" w:line="320" w:lineRule="exact"/>
        <w:contextualSpacing w:val="0"/>
        <w:outlineLvl w:val="1"/>
        <w:rPr>
          <w:rFonts w:cs="Tahoma"/>
        </w:rPr>
      </w:pPr>
      <w:r w:rsidRPr="00C85BD6">
        <w:rPr>
          <w:rFonts w:cs="Tahoma"/>
          <w:i/>
        </w:rPr>
        <w:t xml:space="preserve">Data de Emissão. </w:t>
      </w:r>
      <w:r w:rsidRPr="00C85BD6">
        <w:rPr>
          <w:rFonts w:cs="Tahoma"/>
        </w:rPr>
        <w:t>Para todos os fins de direito e efeitos legais, a data de emissão das Debêntures será em 09 de abril de 2020 (“</w:t>
      </w:r>
      <w:r w:rsidRPr="00C85BD6">
        <w:rPr>
          <w:rFonts w:cs="Tahoma"/>
          <w:u w:val="single"/>
        </w:rPr>
        <w:t>Data de Emissão</w:t>
      </w:r>
      <w:r w:rsidRPr="00C85BD6">
        <w:rPr>
          <w:rFonts w:cs="Tahoma"/>
        </w:rPr>
        <w:t>”).</w:t>
      </w:r>
    </w:p>
    <w:p w14:paraId="0A94FD2E" w14:textId="77777777" w:rsidR="00833360" w:rsidRPr="00C85BD6" w:rsidRDefault="00833360" w:rsidP="002334BF">
      <w:pPr>
        <w:pStyle w:val="PargrafodaLista"/>
        <w:numPr>
          <w:ilvl w:val="1"/>
          <w:numId w:val="21"/>
        </w:numPr>
        <w:spacing w:after="240" w:line="320" w:lineRule="exact"/>
        <w:contextualSpacing w:val="0"/>
        <w:outlineLvl w:val="1"/>
        <w:rPr>
          <w:rFonts w:cs="Tahoma"/>
        </w:rPr>
      </w:pPr>
      <w:bookmarkStart w:id="41" w:name="_BPDC_LN_INS_1381"/>
      <w:bookmarkStart w:id="42" w:name="_BPDC_PR_INS_1382"/>
      <w:bookmarkEnd w:id="41"/>
      <w:bookmarkEnd w:id="42"/>
      <w:r w:rsidRPr="00C85BD6">
        <w:rPr>
          <w:rFonts w:cs="Tahoma"/>
          <w:i/>
        </w:rPr>
        <w:t>Número de Séries</w:t>
      </w:r>
      <w:r w:rsidRPr="00C85BD6">
        <w:rPr>
          <w:rFonts w:cs="Tahoma"/>
        </w:rPr>
        <w:t xml:space="preserve">. </w:t>
      </w:r>
      <w:r w:rsidRPr="00C85BD6">
        <w:rPr>
          <w:rFonts w:eastAsia="Arial Unicode MS" w:cs="Tahoma"/>
        </w:rPr>
        <w:t xml:space="preserve">A Emissão será </w:t>
      </w:r>
      <w:r w:rsidRPr="00C85BD6">
        <w:rPr>
          <w:rFonts w:cs="Tahoma"/>
        </w:rPr>
        <w:t>realizada</w:t>
      </w:r>
      <w:r w:rsidRPr="00C85BD6">
        <w:rPr>
          <w:rFonts w:eastAsia="Arial Unicode MS" w:cs="Tahoma"/>
        </w:rPr>
        <w:t xml:space="preserve"> em </w:t>
      </w:r>
      <w:r w:rsidRPr="00C85BD6">
        <w:rPr>
          <w:rFonts w:cs="Tahoma"/>
        </w:rPr>
        <w:t>série única.</w:t>
      </w:r>
    </w:p>
    <w:p w14:paraId="68F931F4" w14:textId="77777777" w:rsidR="00833360" w:rsidRPr="00C85BD6" w:rsidRDefault="00833360" w:rsidP="002334BF">
      <w:pPr>
        <w:pStyle w:val="PargrafodaLista"/>
        <w:numPr>
          <w:ilvl w:val="1"/>
          <w:numId w:val="21"/>
        </w:numPr>
        <w:spacing w:after="240" w:line="320" w:lineRule="exact"/>
        <w:contextualSpacing w:val="0"/>
        <w:outlineLvl w:val="1"/>
        <w:rPr>
          <w:rFonts w:cs="Tahoma"/>
          <w:color w:val="000000"/>
        </w:rPr>
      </w:pPr>
      <w:bookmarkStart w:id="43" w:name="_BPDC_LN_INS_1379"/>
      <w:bookmarkStart w:id="44" w:name="_BPDC_PR_INS_1380"/>
      <w:bookmarkStart w:id="45" w:name="_BPDC_LN_INS_1377"/>
      <w:bookmarkStart w:id="46" w:name="_BPDC_PR_INS_1378"/>
      <w:bookmarkStart w:id="47" w:name="_BPDC_LN_INS_1375"/>
      <w:bookmarkStart w:id="48" w:name="_BPDC_PR_INS_1376"/>
      <w:bookmarkEnd w:id="43"/>
      <w:bookmarkEnd w:id="44"/>
      <w:bookmarkEnd w:id="45"/>
      <w:bookmarkEnd w:id="46"/>
      <w:bookmarkEnd w:id="47"/>
      <w:bookmarkEnd w:id="48"/>
      <w:r w:rsidRPr="00C85BD6">
        <w:rPr>
          <w:rFonts w:cs="Tahoma"/>
          <w:i/>
        </w:rPr>
        <w:t>Banco Liquidante e Escriturador</w:t>
      </w:r>
      <w:r w:rsidRPr="00C85BD6">
        <w:rPr>
          <w:rFonts w:cs="Tahoma"/>
        </w:rPr>
        <w:t xml:space="preserve">. A instituição prestadora de serviços de banco liquidante da Emissão e de escrituração das Debêntures será o </w:t>
      </w:r>
      <w:r w:rsidR="00556E13" w:rsidRPr="00C85BD6">
        <w:rPr>
          <w:rFonts w:cs="Tahoma"/>
        </w:rPr>
        <w:t>Banco Bradesco S.A., instituição financeira com sede no Núcleo Cidade de Deus, s/nº, Vila Yara, Cidade de Osasco, Estado de São Paulo, inscrita no CNPJ/ME sob o nº 60.746.948/0001-12</w:t>
      </w:r>
      <w:r w:rsidRPr="00C85BD6">
        <w:rPr>
          <w:rFonts w:cs="Tahoma"/>
        </w:rPr>
        <w:t xml:space="preserve"> (“</w:t>
      </w:r>
      <w:r w:rsidRPr="00C85BD6">
        <w:rPr>
          <w:rFonts w:cs="Tahoma"/>
          <w:u w:val="single"/>
        </w:rPr>
        <w:t>Banco Liquidante</w:t>
      </w:r>
      <w:r w:rsidRPr="00C85BD6">
        <w:rPr>
          <w:rFonts w:cs="Tahoma"/>
        </w:rPr>
        <w:t>” e “</w:t>
      </w:r>
      <w:r w:rsidRPr="00C85BD6">
        <w:rPr>
          <w:rFonts w:cs="Tahoma"/>
          <w:u w:val="single"/>
        </w:rPr>
        <w:t>Escriturador</w:t>
      </w:r>
      <w:r w:rsidRPr="00C85BD6">
        <w:rPr>
          <w:rFonts w:cs="Tahoma"/>
        </w:rPr>
        <w:t>”, respectivamente, sendo que tais definições incluem quaisquer outras instituições que venham a suceder o Banco Liquidante como banco liquidante da Emissão e/ou o Escriturador como escriturador das Debêntures).</w:t>
      </w:r>
      <w:r w:rsidRPr="00C85BD6">
        <w:rPr>
          <w:rFonts w:cs="Tahoma"/>
          <w:color w:val="000000"/>
        </w:rPr>
        <w:t xml:space="preserve"> </w:t>
      </w:r>
    </w:p>
    <w:p w14:paraId="3AFE56A7" w14:textId="5161D5B2" w:rsidR="00833360" w:rsidRPr="00C85BD6" w:rsidRDefault="00833360" w:rsidP="002334BF">
      <w:pPr>
        <w:pStyle w:val="PargrafodaLista"/>
        <w:numPr>
          <w:ilvl w:val="1"/>
          <w:numId w:val="21"/>
        </w:numPr>
        <w:spacing w:after="240" w:line="320" w:lineRule="exact"/>
        <w:contextualSpacing w:val="0"/>
        <w:outlineLvl w:val="1"/>
        <w:rPr>
          <w:rFonts w:cs="Tahoma"/>
        </w:rPr>
      </w:pPr>
      <w:bookmarkStart w:id="49" w:name="_BPDC_LN_INS_1373"/>
      <w:bookmarkStart w:id="50" w:name="_BPDC_PR_INS_1374"/>
      <w:bookmarkStart w:id="51" w:name="_DV_M137"/>
      <w:bookmarkStart w:id="52" w:name="_BPDC_LN_INS_1371"/>
      <w:bookmarkStart w:id="53" w:name="_BPDC_PR_INS_1372"/>
      <w:bookmarkStart w:id="54" w:name="_BPDC_LN_INS_1369"/>
      <w:bookmarkStart w:id="55" w:name="_BPDC_PR_INS_1370"/>
      <w:bookmarkEnd w:id="49"/>
      <w:bookmarkEnd w:id="50"/>
      <w:bookmarkEnd w:id="51"/>
      <w:bookmarkEnd w:id="52"/>
      <w:bookmarkEnd w:id="53"/>
      <w:bookmarkEnd w:id="54"/>
      <w:bookmarkEnd w:id="55"/>
      <w:r w:rsidRPr="00C85BD6">
        <w:rPr>
          <w:rFonts w:cs="Tahoma"/>
          <w:i/>
        </w:rPr>
        <w:t>Regime de Colocação.</w:t>
      </w:r>
      <w:r w:rsidRPr="00C85BD6">
        <w:rPr>
          <w:rFonts w:cs="Tahoma"/>
        </w:rPr>
        <w:t xml:space="preserve"> As Debêntures serão objeto de oferta pública de distribuição</w:t>
      </w:r>
      <w:r w:rsidR="00E57924" w:rsidRPr="00C85BD6">
        <w:rPr>
          <w:rFonts w:cs="Tahoma"/>
        </w:rPr>
        <w:t>,</w:t>
      </w:r>
      <w:r w:rsidRPr="00C85BD6">
        <w:rPr>
          <w:rFonts w:cs="Tahoma"/>
        </w:rPr>
        <w:t xml:space="preserve"> com esforços restritos, </w:t>
      </w:r>
      <w:r w:rsidR="00E57924" w:rsidRPr="00C85BD6">
        <w:rPr>
          <w:rFonts w:cs="Tahoma"/>
        </w:rPr>
        <w:t>em</w:t>
      </w:r>
      <w:r w:rsidRPr="00C85BD6">
        <w:rPr>
          <w:rFonts w:cs="Tahoma"/>
        </w:rPr>
        <w:t xml:space="preserve"> regime de </w:t>
      </w:r>
      <w:r w:rsidR="0086056F" w:rsidRPr="00C85BD6">
        <w:rPr>
          <w:rFonts w:cs="Tahoma"/>
        </w:rPr>
        <w:t>melhores esforços</w:t>
      </w:r>
      <w:r w:rsidRPr="00C85BD6">
        <w:rPr>
          <w:rFonts w:cs="Tahoma"/>
        </w:rPr>
        <w:t xml:space="preserve"> de colocação, </w:t>
      </w:r>
      <w:r w:rsidR="00E57924" w:rsidRPr="00C85BD6">
        <w:rPr>
          <w:rFonts w:cs="Tahoma"/>
        </w:rPr>
        <w:t>com a participação do Haitong Banco de Investimento do Brasil S.A., instituição financeira integrante do sistema de distribuição de valores mobiliários (“</w:t>
      </w:r>
      <w:r w:rsidR="00E57924" w:rsidRPr="00C85BD6">
        <w:rPr>
          <w:rFonts w:cs="Tahoma"/>
          <w:u w:val="single"/>
        </w:rPr>
        <w:t>Coordenador Líder</w:t>
      </w:r>
      <w:r w:rsidR="00E57924" w:rsidRPr="00C85BD6">
        <w:rPr>
          <w:rFonts w:cs="Tahoma"/>
        </w:rPr>
        <w:t>”)</w:t>
      </w:r>
      <w:r w:rsidRPr="00C85BD6">
        <w:rPr>
          <w:rFonts w:cs="Tahoma"/>
        </w:rPr>
        <w:t xml:space="preserve">, </w:t>
      </w:r>
      <w:r w:rsidR="000D6D23" w:rsidRPr="00C85BD6">
        <w:rPr>
          <w:rFonts w:cs="Tahoma"/>
        </w:rPr>
        <w:t>conforme contrato de coordenação, estruturação e distribuição pública, com esforços restritos, das Debêntures, a ser celebrado entre a Emissora e o Coordenador Líder</w:t>
      </w:r>
      <w:r w:rsidRPr="00C85BD6">
        <w:rPr>
          <w:rFonts w:cs="Tahoma"/>
          <w:bCs/>
          <w:i/>
        </w:rPr>
        <w:t xml:space="preserve"> </w:t>
      </w:r>
      <w:r w:rsidRPr="00C85BD6">
        <w:rPr>
          <w:rFonts w:cs="Tahoma"/>
          <w:bCs/>
        </w:rPr>
        <w:t>(“</w:t>
      </w:r>
      <w:r w:rsidRPr="00C85BD6">
        <w:rPr>
          <w:rFonts w:cs="Tahoma"/>
          <w:bCs/>
          <w:u w:val="single"/>
        </w:rPr>
        <w:t>Contrato de Distribuição</w:t>
      </w:r>
      <w:r w:rsidRPr="00C85BD6">
        <w:rPr>
          <w:rFonts w:cs="Tahoma"/>
          <w:bCs/>
        </w:rPr>
        <w:t>”)</w:t>
      </w:r>
      <w:r w:rsidRPr="00C85BD6">
        <w:rPr>
          <w:rFonts w:cs="Tahoma"/>
        </w:rPr>
        <w:t>, tendo como público alvo das Debêntures quaisquer investidores profissionais, nos termos definidos no artigo 9º-A da Instrução da CVM nº</w:t>
      </w:r>
      <w:r w:rsidR="00C7267B" w:rsidRPr="00C85BD6">
        <w:rPr>
          <w:rFonts w:cs="Tahoma"/>
        </w:rPr>
        <w:t xml:space="preserve"> </w:t>
      </w:r>
      <w:r w:rsidRPr="00C85BD6">
        <w:rPr>
          <w:rFonts w:cs="Tahoma"/>
        </w:rPr>
        <w:t>539, de 13 de novembro de 2013, conforme alterada (“</w:t>
      </w:r>
      <w:r w:rsidRPr="00C85BD6">
        <w:rPr>
          <w:rFonts w:cs="Tahoma"/>
          <w:u w:val="single"/>
        </w:rPr>
        <w:t>Investidores Profissionais</w:t>
      </w:r>
      <w:r w:rsidRPr="00C85BD6">
        <w:rPr>
          <w:rFonts w:cs="Tahoma"/>
        </w:rPr>
        <w:t xml:space="preserve">”). </w:t>
      </w:r>
      <w:r w:rsidR="00872C72" w:rsidRPr="00C85BD6">
        <w:rPr>
          <w:rFonts w:cs="Tahoma"/>
        </w:rPr>
        <w:t xml:space="preserve">Na eventualidade de a totalidade das </w:t>
      </w:r>
      <w:r w:rsidR="00872C72" w:rsidRPr="00C85BD6">
        <w:rPr>
          <w:rFonts w:cs="Tahoma"/>
        </w:rPr>
        <w:lastRenderedPageBreak/>
        <w:t>Debêntures não ser distribuída no âmbito da Oferta Restrita, nenhuma Debênture será integralizada e a Oferta Restrita será cancelada, sendo todas as intenções de investimento automaticamente canceladas.</w:t>
      </w:r>
    </w:p>
    <w:p w14:paraId="4A4F058E" w14:textId="5EBC45BA" w:rsidR="00833360" w:rsidRPr="00C85BD6" w:rsidRDefault="00833360" w:rsidP="002334BF">
      <w:pPr>
        <w:pStyle w:val="PargrafodaLista"/>
        <w:numPr>
          <w:ilvl w:val="1"/>
          <w:numId w:val="21"/>
        </w:numPr>
        <w:spacing w:after="240" w:line="320" w:lineRule="exact"/>
        <w:contextualSpacing w:val="0"/>
        <w:outlineLvl w:val="1"/>
        <w:rPr>
          <w:rFonts w:cs="Tahoma"/>
        </w:rPr>
      </w:pPr>
      <w:bookmarkStart w:id="56" w:name="_BPDC_LN_INS_1367"/>
      <w:bookmarkStart w:id="57" w:name="_BPDC_PR_INS_1368"/>
      <w:bookmarkStart w:id="58" w:name="_BPDC_LN_INS_1358"/>
      <w:bookmarkStart w:id="59" w:name="_BPDC_PR_INS_1359"/>
      <w:bookmarkStart w:id="60" w:name="_BPDC_PR_INS_1360"/>
      <w:bookmarkStart w:id="61" w:name="_BPDC_PR_INS_1361"/>
      <w:bookmarkStart w:id="62" w:name="_BPDC_PR_INS_1362"/>
      <w:bookmarkStart w:id="63" w:name="_BPDC_PR_INS_1363"/>
      <w:bookmarkStart w:id="64" w:name="_BPDC_PR_INS_1364"/>
      <w:bookmarkStart w:id="65" w:name="_BPDC_PR_INS_1365"/>
      <w:bookmarkStart w:id="66" w:name="_BPDC_PR_INS_1366"/>
      <w:bookmarkStart w:id="67" w:name="_BPDC_LN_INS_1355"/>
      <w:bookmarkStart w:id="68" w:name="_BPDC_PR_INS_1356"/>
      <w:bookmarkStart w:id="69" w:name="_BPDC_PR_INS_1357"/>
      <w:bookmarkStart w:id="70" w:name="_BPDC_LN_INS_1352"/>
      <w:bookmarkStart w:id="71" w:name="_BPDC_PR_INS_1353"/>
      <w:bookmarkStart w:id="72" w:name="_BPDC_PR_INS_1354"/>
      <w:bookmarkStart w:id="73" w:name="_BPDC_LN_INS_1350"/>
      <w:bookmarkStart w:id="74" w:name="_BPDC_PR_INS_135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C85BD6">
        <w:rPr>
          <w:rFonts w:cs="Tahoma"/>
          <w:i/>
        </w:rPr>
        <w:t>Procedimento de Distribuição</w:t>
      </w:r>
      <w:r w:rsidRPr="00C85BD6">
        <w:rPr>
          <w:rFonts w:cs="Tahoma"/>
        </w:rPr>
        <w:t>. O plano de distribuição seguirá o procedimento descrito na Instrução CVM 476, observado o disposto no Contrato de Distribuição</w:t>
      </w:r>
      <w:r w:rsidR="001B642D" w:rsidRPr="00C85BD6">
        <w:rPr>
          <w:rFonts w:cs="Tahoma"/>
        </w:rPr>
        <w:t xml:space="preserve"> e na Escritura de Emissão</w:t>
      </w:r>
      <w:r w:rsidR="00872C72" w:rsidRPr="00C85BD6">
        <w:rPr>
          <w:rFonts w:cs="Tahoma"/>
        </w:rPr>
        <w:t xml:space="preserve">. Para tanto, serão </w:t>
      </w:r>
      <w:r w:rsidRPr="00C85BD6">
        <w:rPr>
          <w:rFonts w:cs="Tahoma"/>
        </w:rPr>
        <w:t>acessa</w:t>
      </w:r>
      <w:r w:rsidR="00872C72" w:rsidRPr="00C85BD6">
        <w:rPr>
          <w:rFonts w:cs="Tahoma"/>
        </w:rPr>
        <w:t>dos</w:t>
      </w:r>
      <w:r w:rsidRPr="00C85BD6">
        <w:rPr>
          <w:rFonts w:cs="Tahoma"/>
        </w:rPr>
        <w:t>, no máximo, 75 (setenta e cinco) Investidores Profissionais, sendo possível a subscrição ou aquisição por, no máximo, 50 (cinquenta) Investidores Profissionais</w:t>
      </w:r>
      <w:r w:rsidR="00872C72" w:rsidRPr="00C85BD6">
        <w:rPr>
          <w:rFonts w:cs="Tahoma"/>
        </w:rPr>
        <w:t>, em conformidade com o artigo 3° da Instrução CVM 476, sendo certo que fundos de investimento e carteiras administradas de valores mobiliários cujas decisões de investimento sejam tomadas pelo mesmo gestor serão considerados como um único investidor para os fins dos limites acima</w:t>
      </w:r>
      <w:r w:rsidRPr="00C85BD6">
        <w:rPr>
          <w:rFonts w:cs="Tahoma"/>
        </w:rPr>
        <w:t xml:space="preserve">. </w:t>
      </w:r>
    </w:p>
    <w:p w14:paraId="5494FDF7" w14:textId="32FF3A7C" w:rsidR="00833360" w:rsidRPr="00C85BD6" w:rsidRDefault="004645A9" w:rsidP="002334BF">
      <w:pPr>
        <w:pStyle w:val="PargrafodaLista"/>
        <w:numPr>
          <w:ilvl w:val="1"/>
          <w:numId w:val="21"/>
        </w:numPr>
        <w:spacing w:after="240" w:line="320" w:lineRule="exact"/>
        <w:contextualSpacing w:val="0"/>
        <w:outlineLvl w:val="1"/>
        <w:rPr>
          <w:rFonts w:cs="Tahoma"/>
        </w:rPr>
      </w:pPr>
      <w:bookmarkStart w:id="75" w:name="_BPDC_LN_INS_1348"/>
      <w:bookmarkStart w:id="76" w:name="_BPDC_PR_INS_1349"/>
      <w:bookmarkStart w:id="77" w:name="_BPDC_LN_INS_1344"/>
      <w:bookmarkStart w:id="78" w:name="_BPDC_PR_INS_1345"/>
      <w:bookmarkStart w:id="79" w:name="_BPDC_LN_INS_1342"/>
      <w:bookmarkStart w:id="80" w:name="_BPDC_PR_INS_1343"/>
      <w:bookmarkStart w:id="81" w:name="_BPDC_LN_INS_1340"/>
      <w:bookmarkStart w:id="82" w:name="_BPDC_PR_INS_1341"/>
      <w:bookmarkStart w:id="83" w:name="_BPDC_LN_INS_1338"/>
      <w:bookmarkStart w:id="84" w:name="_BPDC_PR_INS_1339"/>
      <w:bookmarkStart w:id="85" w:name="_Hlk7540052"/>
      <w:bookmarkEnd w:id="75"/>
      <w:bookmarkEnd w:id="76"/>
      <w:bookmarkEnd w:id="77"/>
      <w:bookmarkEnd w:id="78"/>
      <w:bookmarkEnd w:id="79"/>
      <w:bookmarkEnd w:id="80"/>
      <w:bookmarkEnd w:id="81"/>
      <w:bookmarkEnd w:id="82"/>
      <w:bookmarkEnd w:id="83"/>
      <w:bookmarkEnd w:id="84"/>
      <w:r w:rsidRPr="00C85BD6">
        <w:rPr>
          <w:rFonts w:cs="Tahoma"/>
          <w:i/>
        </w:rPr>
        <w:t xml:space="preserve">Prazo, Forma e </w:t>
      </w:r>
      <w:r w:rsidR="00833360" w:rsidRPr="00C85BD6">
        <w:rPr>
          <w:rFonts w:cs="Tahoma"/>
          <w:i/>
        </w:rPr>
        <w:t>Preço de Subscrição</w:t>
      </w:r>
      <w:r w:rsidRPr="00C85BD6">
        <w:rPr>
          <w:rFonts w:cs="Tahoma"/>
          <w:i/>
        </w:rPr>
        <w:t xml:space="preserve"> e Integralização</w:t>
      </w:r>
      <w:r w:rsidR="00833360" w:rsidRPr="00C85BD6">
        <w:rPr>
          <w:rFonts w:cs="Tahoma"/>
        </w:rPr>
        <w:t xml:space="preserve">. </w:t>
      </w:r>
      <w:r w:rsidRPr="00C85BD6">
        <w:rPr>
          <w:rFonts w:eastAsia="Arial Unicode MS" w:cs="Tahoma"/>
          <w:bCs/>
          <w:iCs/>
        </w:rPr>
        <w:t>As Debêntures serão subscritas e integralizadas, à vista, no ato da subscrição, pelo seu Valor Nominal Unitário, em uma única data e em moeda corrente nacional</w:t>
      </w:r>
      <w:r w:rsidRPr="00C85BD6">
        <w:rPr>
          <w:rFonts w:eastAsia="Arial Unicode MS" w:cs="Tahoma"/>
        </w:rPr>
        <w:t xml:space="preserve"> </w:t>
      </w:r>
      <w:r w:rsidRPr="00C85BD6">
        <w:rPr>
          <w:rFonts w:eastAsia="Arial Unicode MS" w:cs="Tahoma"/>
          <w:bCs/>
          <w:iCs/>
        </w:rPr>
        <w:t>(“</w:t>
      </w:r>
      <w:r w:rsidRPr="00C85BD6">
        <w:rPr>
          <w:rFonts w:eastAsia="Arial Unicode MS" w:cs="Tahoma"/>
          <w:bCs/>
          <w:iCs/>
          <w:u w:val="single"/>
        </w:rPr>
        <w:t>Data de Subscrição e Integralização</w:t>
      </w:r>
      <w:r w:rsidRPr="00C85BD6">
        <w:rPr>
          <w:rFonts w:eastAsia="Arial Unicode MS" w:cs="Tahoma"/>
          <w:bCs/>
          <w:iCs/>
        </w:rPr>
        <w:t>”).</w:t>
      </w:r>
      <w:r w:rsidR="00833360" w:rsidRPr="00C85BD6">
        <w:rPr>
          <w:rFonts w:cs="Tahoma"/>
        </w:rPr>
        <w:t xml:space="preserve"> </w:t>
      </w:r>
      <w:r w:rsidRPr="00C85BD6">
        <w:rPr>
          <w:rFonts w:eastAsia="Arial Unicode MS" w:cs="Tahoma"/>
        </w:rPr>
        <w:t>O preço de subscrição poderá ser acrescido de ágio ou deságio na data de sua integralização, por decisão, em conjunto, da Emissora e do Coordenador Líder, desde que aplicado a todas as Debêntures</w:t>
      </w:r>
      <w:r w:rsidR="00DC137F" w:rsidRPr="00C85BD6">
        <w:rPr>
          <w:rFonts w:eastAsia="Arial Unicode MS" w:cs="Tahoma"/>
        </w:rPr>
        <w:t>.</w:t>
      </w:r>
      <w:r w:rsidR="00833360" w:rsidRPr="00C85BD6">
        <w:rPr>
          <w:rFonts w:cs="Tahoma"/>
        </w:rPr>
        <w:t xml:space="preserve"> </w:t>
      </w:r>
    </w:p>
    <w:p w14:paraId="7C291965" w14:textId="59DA478A" w:rsidR="00833360" w:rsidRPr="00C85BD6" w:rsidRDefault="00833360" w:rsidP="002334BF">
      <w:pPr>
        <w:pStyle w:val="PargrafodaLista"/>
        <w:numPr>
          <w:ilvl w:val="1"/>
          <w:numId w:val="21"/>
        </w:numPr>
        <w:spacing w:after="240" w:line="320" w:lineRule="exact"/>
        <w:contextualSpacing w:val="0"/>
        <w:outlineLvl w:val="1"/>
        <w:rPr>
          <w:rFonts w:cs="Tahoma"/>
        </w:rPr>
      </w:pPr>
      <w:bookmarkStart w:id="86" w:name="_BPDC_LN_INS_1336"/>
      <w:bookmarkStart w:id="87" w:name="_BPDC_PR_INS_1337"/>
      <w:bookmarkStart w:id="88" w:name="_BPDC_LN_INS_1334"/>
      <w:bookmarkStart w:id="89" w:name="_BPDC_PR_INS_1335"/>
      <w:bookmarkStart w:id="90" w:name="_BPDC_LN_INS_1332"/>
      <w:bookmarkStart w:id="91" w:name="_BPDC_PR_INS_1333"/>
      <w:bookmarkStart w:id="92" w:name="_BPDC_LN_INS_1330"/>
      <w:bookmarkStart w:id="93" w:name="_BPDC_PR_INS_1331"/>
      <w:bookmarkStart w:id="94" w:name="_BPDC_LN_INS_1327"/>
      <w:bookmarkStart w:id="95" w:name="_BPDC_PR_INS_1328"/>
      <w:bookmarkStart w:id="96" w:name="_BPDC_PR_INS_1329"/>
      <w:bookmarkStart w:id="97" w:name="_BPDC_LN_INS_1325"/>
      <w:bookmarkStart w:id="98" w:name="_BPDC_PR_INS_1326"/>
      <w:bookmarkStart w:id="99" w:name="_BPDC_LN_INS_1323"/>
      <w:bookmarkStart w:id="100" w:name="_BPDC_PR_INS_1324"/>
      <w:bookmarkStart w:id="101" w:name="_BPDC_LN_INS_1321"/>
      <w:bookmarkStart w:id="102" w:name="_BPDC_PR_INS_1322"/>
      <w:bookmarkStart w:id="103" w:name="_BPDC_LN_INS_1317"/>
      <w:bookmarkStart w:id="104" w:name="_BPDC_PR_INS_1318"/>
      <w:bookmarkStart w:id="105" w:name="OLE_LINK5"/>
      <w:bookmarkStart w:id="106" w:name="OLE_LINK6"/>
      <w:bookmarkStart w:id="107" w:name="_DV_C91"/>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C85BD6">
        <w:rPr>
          <w:rFonts w:cs="Tahoma"/>
          <w:i/>
        </w:rPr>
        <w:t xml:space="preserve">Prazo e Data de Vencimento. </w:t>
      </w:r>
      <w:r w:rsidR="00DC137F" w:rsidRPr="00C85BD6">
        <w:rPr>
          <w:rFonts w:eastAsia="Arial Unicode MS" w:cs="Tahoma"/>
        </w:rPr>
        <w:t xml:space="preserve">A Data de Vencimento das Debêntures ocorrerá em 15 de dezembro de 2029, ressalvadas a hipótese de Oferta de Resgate Antecipado Total, Resgate Antecipado Facultativo Total e de vencimento antecipado estabelecidas na Escritura de Emissão </w:t>
      </w:r>
      <w:r w:rsidRPr="00C85BD6">
        <w:rPr>
          <w:rFonts w:cs="Tahoma"/>
        </w:rPr>
        <w:t>(“</w:t>
      </w:r>
      <w:r w:rsidRPr="00C85BD6">
        <w:rPr>
          <w:rFonts w:cs="Tahoma"/>
          <w:u w:val="single"/>
        </w:rPr>
        <w:t>Data</w:t>
      </w:r>
      <w:r w:rsidR="003A49E9" w:rsidRPr="00C85BD6">
        <w:rPr>
          <w:rFonts w:cs="Tahoma"/>
          <w:u w:val="single"/>
        </w:rPr>
        <w:t> </w:t>
      </w:r>
      <w:r w:rsidRPr="00C85BD6">
        <w:rPr>
          <w:rFonts w:cs="Tahoma"/>
          <w:u w:val="single"/>
        </w:rPr>
        <w:t>de</w:t>
      </w:r>
      <w:r w:rsidR="003A49E9" w:rsidRPr="00C85BD6">
        <w:rPr>
          <w:rFonts w:cs="Tahoma"/>
          <w:u w:val="single"/>
        </w:rPr>
        <w:t> </w:t>
      </w:r>
      <w:r w:rsidRPr="00C85BD6">
        <w:rPr>
          <w:rFonts w:cs="Tahoma"/>
          <w:u w:val="single"/>
        </w:rPr>
        <w:t>Vencimento</w:t>
      </w:r>
      <w:r w:rsidRPr="00C85BD6">
        <w:rPr>
          <w:rFonts w:cs="Tahoma"/>
        </w:rPr>
        <w:t xml:space="preserve">”). </w:t>
      </w:r>
    </w:p>
    <w:p w14:paraId="4FC02CE1" w14:textId="2F61FBAF" w:rsidR="00833360" w:rsidRPr="00C85BD6" w:rsidRDefault="00833360" w:rsidP="002334BF">
      <w:pPr>
        <w:pStyle w:val="PargrafodaLista"/>
        <w:numPr>
          <w:ilvl w:val="1"/>
          <w:numId w:val="21"/>
        </w:numPr>
        <w:spacing w:after="240" w:line="320" w:lineRule="exact"/>
        <w:contextualSpacing w:val="0"/>
        <w:outlineLvl w:val="1"/>
        <w:rPr>
          <w:rFonts w:cs="Tahoma"/>
        </w:rPr>
      </w:pPr>
      <w:bookmarkStart w:id="108" w:name="_BPDC_LN_INS_1315"/>
      <w:bookmarkStart w:id="109" w:name="_BPDC_PR_INS_1316"/>
      <w:bookmarkStart w:id="110" w:name="_BPDC_LN_INS_1313"/>
      <w:bookmarkStart w:id="111" w:name="_BPDC_PR_INS_1314"/>
      <w:bookmarkStart w:id="112" w:name="_Hlk7540033"/>
      <w:bookmarkEnd w:id="108"/>
      <w:bookmarkEnd w:id="109"/>
      <w:bookmarkEnd w:id="110"/>
      <w:bookmarkEnd w:id="111"/>
      <w:r w:rsidRPr="00C85BD6">
        <w:rPr>
          <w:rFonts w:cs="Tahoma"/>
          <w:i/>
        </w:rPr>
        <w:t xml:space="preserve">Forma e Comprovação de Titularidade das Debêntures. </w:t>
      </w:r>
      <w:r w:rsidRPr="00C85BD6">
        <w:rPr>
          <w:rFonts w:cs="Tahoma"/>
        </w:rPr>
        <w:t xml:space="preserve">As Debêntures serão </w:t>
      </w:r>
      <w:r w:rsidRPr="00C85BD6">
        <w:rPr>
          <w:rFonts w:eastAsia="Arial Unicode MS" w:cs="Tahoma"/>
        </w:rPr>
        <w:t>emitidas na forma nominativa e escritural</w:t>
      </w:r>
      <w:r w:rsidRPr="00C85BD6">
        <w:rPr>
          <w:rFonts w:cs="Tahoma"/>
        </w:rPr>
        <w:t>, sem a emissão de cautelas ou certificados</w:t>
      </w:r>
      <w:r w:rsidR="00DC137F" w:rsidRPr="00C85BD6">
        <w:rPr>
          <w:rFonts w:cs="Tahoma"/>
        </w:rPr>
        <w:t xml:space="preserve"> representativos das Debêntures</w:t>
      </w:r>
      <w:r w:rsidRPr="00C85BD6">
        <w:rPr>
          <w:rFonts w:cs="Tahoma"/>
        </w:rPr>
        <w:t xml:space="preserve">, sendo que, para todos os fins de direito, a titularidade das Debêntures será comprovada pelo extrato das Debêntures emitido pelo Escriturador. Adicionalmente, </w:t>
      </w:r>
      <w:r w:rsidR="00DC137F" w:rsidRPr="00C85BD6">
        <w:rPr>
          <w:rFonts w:cs="Tahoma"/>
        </w:rPr>
        <w:t>será reconhecido como comprovante de titularidade das Debêntures o extrato emitido pela B3 em nome do respectivo Debenturista titular, quando as Debêntures estiverem custodiadas eletronicamente na B3</w:t>
      </w:r>
      <w:r w:rsidRPr="00C85BD6">
        <w:rPr>
          <w:rFonts w:cs="Tahoma"/>
        </w:rPr>
        <w:t>.</w:t>
      </w:r>
    </w:p>
    <w:p w14:paraId="1A8690E0" w14:textId="655BD1E6" w:rsidR="00833360" w:rsidRPr="00C85BD6" w:rsidRDefault="00833360" w:rsidP="002334BF">
      <w:pPr>
        <w:pStyle w:val="PargrafodaLista"/>
        <w:numPr>
          <w:ilvl w:val="1"/>
          <w:numId w:val="21"/>
        </w:numPr>
        <w:spacing w:after="240" w:line="320" w:lineRule="exact"/>
        <w:contextualSpacing w:val="0"/>
        <w:outlineLvl w:val="1"/>
        <w:rPr>
          <w:rFonts w:cs="Tahoma"/>
        </w:rPr>
      </w:pPr>
      <w:bookmarkStart w:id="113" w:name="_BPDC_LN_INS_1311"/>
      <w:bookmarkStart w:id="114" w:name="_BPDC_PR_INS_1312"/>
      <w:bookmarkEnd w:id="112"/>
      <w:bookmarkEnd w:id="113"/>
      <w:bookmarkEnd w:id="114"/>
      <w:r w:rsidRPr="00C85BD6">
        <w:rPr>
          <w:rFonts w:cs="Tahoma"/>
          <w:i/>
        </w:rPr>
        <w:t xml:space="preserve">Conversibilidade. </w:t>
      </w:r>
      <w:r w:rsidRPr="00C85BD6">
        <w:rPr>
          <w:rFonts w:cs="Tahoma"/>
        </w:rPr>
        <w:t>As Debêntures serão simples, não conversíveis em ações de emissão da Emissora.</w:t>
      </w:r>
    </w:p>
    <w:p w14:paraId="3770B2BF" w14:textId="5C2B0883" w:rsidR="00833360" w:rsidRPr="00C85BD6" w:rsidRDefault="00833360" w:rsidP="002334BF">
      <w:pPr>
        <w:pStyle w:val="PargrafodaLista"/>
        <w:numPr>
          <w:ilvl w:val="1"/>
          <w:numId w:val="21"/>
        </w:numPr>
        <w:spacing w:after="240" w:line="320" w:lineRule="exact"/>
        <w:contextualSpacing w:val="0"/>
        <w:outlineLvl w:val="1"/>
        <w:rPr>
          <w:rFonts w:cs="Tahoma"/>
        </w:rPr>
      </w:pPr>
      <w:bookmarkStart w:id="115" w:name="_BPDC_LN_INS_1309"/>
      <w:bookmarkStart w:id="116" w:name="_BPDC_PR_INS_1310"/>
      <w:bookmarkEnd w:id="115"/>
      <w:bookmarkEnd w:id="116"/>
      <w:r w:rsidRPr="00C85BD6">
        <w:rPr>
          <w:rFonts w:cs="Tahoma"/>
          <w:i/>
        </w:rPr>
        <w:t xml:space="preserve">Espécie. </w:t>
      </w:r>
      <w:r w:rsidRPr="00C85BD6">
        <w:rPr>
          <w:rFonts w:cs="Tahoma"/>
        </w:rPr>
        <w:t xml:space="preserve">As Debêntures serão da espécie quirografária, nos termos do artigo 58 da Lei das Sociedades por Ações, e não conferirão qualquer privilégio especial ou geral aos seus titulares, </w:t>
      </w:r>
      <w:r w:rsidRPr="00C85BD6">
        <w:rPr>
          <w:rFonts w:cs="Tahoma"/>
          <w:kern w:val="16"/>
        </w:rPr>
        <w:t>nem</w:t>
      </w:r>
      <w:r w:rsidRPr="00C85BD6">
        <w:rPr>
          <w:rFonts w:cs="Tahoma"/>
        </w:rPr>
        <w:t xml:space="preserve"> especificarão bens para garantir eventual execução judicial ou extrajudicial das obrigações da Emissora decorrentes das Debêntures. </w:t>
      </w:r>
    </w:p>
    <w:p w14:paraId="79862D43" w14:textId="27CD0F1A" w:rsidR="00833360" w:rsidRPr="00C85BD6" w:rsidRDefault="00833360" w:rsidP="002334BF">
      <w:pPr>
        <w:pStyle w:val="PargrafodaLista"/>
        <w:numPr>
          <w:ilvl w:val="1"/>
          <w:numId w:val="21"/>
        </w:numPr>
        <w:spacing w:after="240" w:line="320" w:lineRule="exact"/>
        <w:contextualSpacing w:val="0"/>
        <w:outlineLvl w:val="1"/>
        <w:rPr>
          <w:rFonts w:cs="Tahoma"/>
        </w:rPr>
      </w:pPr>
      <w:bookmarkStart w:id="117" w:name="_BPDC_LN_INS_1307"/>
      <w:bookmarkStart w:id="118" w:name="_BPDC_PR_INS_1308"/>
      <w:bookmarkStart w:id="119" w:name="_BPDC_LN_INS_1305"/>
      <w:bookmarkStart w:id="120" w:name="_BPDC_PR_INS_1306"/>
      <w:bookmarkStart w:id="121" w:name="_DV_M117"/>
      <w:bookmarkStart w:id="122" w:name="_DV_M118"/>
      <w:bookmarkStart w:id="123" w:name="_DV_M119"/>
      <w:bookmarkEnd w:id="105"/>
      <w:bookmarkEnd w:id="106"/>
      <w:bookmarkEnd w:id="117"/>
      <w:bookmarkEnd w:id="118"/>
      <w:bookmarkEnd w:id="119"/>
      <w:bookmarkEnd w:id="120"/>
      <w:bookmarkEnd w:id="121"/>
      <w:bookmarkEnd w:id="122"/>
      <w:bookmarkEnd w:id="123"/>
      <w:r w:rsidRPr="00C85BD6">
        <w:rPr>
          <w:rFonts w:cs="Tahoma"/>
          <w:i/>
        </w:rPr>
        <w:lastRenderedPageBreak/>
        <w:t xml:space="preserve">Direito de Preferência. </w:t>
      </w:r>
      <w:r w:rsidR="00DC137F" w:rsidRPr="00C85BD6">
        <w:rPr>
          <w:rFonts w:eastAsia="Arial Unicode MS" w:cs="Tahoma"/>
        </w:rPr>
        <w:t>Não haverá preferência para subscrição das Debêntures pelas atuais acionistas da Emissora.</w:t>
      </w:r>
    </w:p>
    <w:p w14:paraId="2B83686A" w14:textId="77777777" w:rsidR="00833360" w:rsidRPr="00C85BD6" w:rsidRDefault="00833360" w:rsidP="002334BF">
      <w:pPr>
        <w:pStyle w:val="PargrafodaLista"/>
        <w:numPr>
          <w:ilvl w:val="1"/>
          <w:numId w:val="21"/>
        </w:numPr>
        <w:spacing w:after="240" w:line="320" w:lineRule="exact"/>
        <w:contextualSpacing w:val="0"/>
        <w:outlineLvl w:val="1"/>
        <w:rPr>
          <w:rFonts w:eastAsia="Arial Unicode MS" w:cs="Tahoma"/>
          <w:i/>
        </w:rPr>
      </w:pPr>
      <w:bookmarkStart w:id="124" w:name="_BPDC_LN_INS_1303"/>
      <w:bookmarkStart w:id="125" w:name="_BPDC_PR_INS_1304"/>
      <w:bookmarkStart w:id="126" w:name="_Ref322636697"/>
      <w:bookmarkStart w:id="127" w:name="_Ref368499099"/>
      <w:bookmarkStart w:id="128" w:name="_Ref368431731"/>
      <w:bookmarkEnd w:id="124"/>
      <w:bookmarkEnd w:id="125"/>
      <w:r w:rsidRPr="00C85BD6">
        <w:rPr>
          <w:rFonts w:eastAsia="Arial Unicode MS" w:cs="Tahoma"/>
          <w:i/>
        </w:rPr>
        <w:t>Atualização Monetária e Juros Remuneratórios das Debêntures</w:t>
      </w:r>
      <w:bookmarkEnd w:id="126"/>
      <w:r w:rsidRPr="00C85BD6">
        <w:rPr>
          <w:rFonts w:eastAsia="Arial Unicode MS" w:cs="Tahoma"/>
          <w:i/>
        </w:rPr>
        <w:t>.</w:t>
      </w:r>
      <w:bookmarkEnd w:id="127"/>
      <w:bookmarkEnd w:id="128"/>
      <w:r w:rsidRPr="00C85BD6">
        <w:rPr>
          <w:rFonts w:eastAsia="Arial Unicode MS" w:cs="Tahoma"/>
          <w:i/>
        </w:rPr>
        <w:t xml:space="preserve"> </w:t>
      </w:r>
    </w:p>
    <w:p w14:paraId="6B4974C2" w14:textId="01F0791C" w:rsidR="00833360" w:rsidRPr="00C85BD6" w:rsidRDefault="00833360" w:rsidP="002334BF">
      <w:pPr>
        <w:pStyle w:val="PargrafodaLista"/>
        <w:numPr>
          <w:ilvl w:val="2"/>
          <w:numId w:val="21"/>
        </w:numPr>
        <w:spacing w:after="240" w:line="320" w:lineRule="exact"/>
        <w:ind w:left="1418"/>
        <w:contextualSpacing w:val="0"/>
        <w:rPr>
          <w:rFonts w:cs="Tahoma"/>
        </w:rPr>
      </w:pPr>
      <w:bookmarkStart w:id="129" w:name="_BPDC_LN_INS_1301"/>
      <w:bookmarkStart w:id="130" w:name="_BPDC_PR_INS_1302"/>
      <w:bookmarkEnd w:id="129"/>
      <w:bookmarkEnd w:id="130"/>
      <w:r w:rsidRPr="00C85BD6">
        <w:rPr>
          <w:rFonts w:eastAsia="Arial Unicode MS" w:cs="Tahoma"/>
          <w:i/>
        </w:rPr>
        <w:t xml:space="preserve">Atualização Monetária. </w:t>
      </w:r>
      <w:bookmarkStart w:id="131" w:name="_Ref297575368"/>
      <w:bookmarkStart w:id="132" w:name="_Ref297645468"/>
      <w:r w:rsidRPr="00C85BD6">
        <w:rPr>
          <w:rFonts w:cs="Tahoma"/>
        </w:rPr>
        <w:t xml:space="preserve">O Valor Nominal Unitário das Debêntures </w:t>
      </w:r>
      <w:r w:rsidR="00C86957" w:rsidRPr="00C85BD6">
        <w:rPr>
          <w:rFonts w:cs="Tahoma"/>
        </w:rPr>
        <w:t>ou o Saldo do Valor Nominal Unitário das Debêntures, conforme o caso, será atualizado monetariamente pela variação acumulada do IPCA, desde a Data de Subscrição e Integralização até a data do efetivo pagamento</w:t>
      </w:r>
      <w:r w:rsidR="00A85DEA" w:rsidRPr="00C85BD6">
        <w:rPr>
          <w:rFonts w:cs="Tahoma"/>
        </w:rPr>
        <w:t xml:space="preserve"> (“</w:t>
      </w:r>
      <w:r w:rsidR="00A85DEA" w:rsidRPr="00C85BD6">
        <w:rPr>
          <w:rFonts w:cs="Tahoma"/>
          <w:u w:val="single"/>
        </w:rPr>
        <w:t>Atualização Monetária</w:t>
      </w:r>
      <w:r w:rsidR="00A85DEA" w:rsidRPr="00C85BD6">
        <w:rPr>
          <w:rFonts w:cs="Tahoma"/>
        </w:rPr>
        <w:t>”)</w:t>
      </w:r>
      <w:r w:rsidR="00C86957" w:rsidRPr="00C85BD6">
        <w:rPr>
          <w:rFonts w:cs="Tahoma"/>
        </w:rPr>
        <w:t xml:space="preserve">, calculada de forma </w:t>
      </w:r>
      <w:r w:rsidR="00C86957" w:rsidRPr="00C85BD6">
        <w:rPr>
          <w:rFonts w:cs="Tahoma"/>
          <w:i/>
          <w:iCs/>
        </w:rPr>
        <w:t>pro rata temporis</w:t>
      </w:r>
      <w:r w:rsidR="00C86957" w:rsidRPr="00C85BD6">
        <w:rPr>
          <w:rFonts w:cs="Tahoma"/>
        </w:rPr>
        <w:t xml:space="preserve"> por Dias Úteis até a integral liquidação das Debêntures, conforme fórmula </w:t>
      </w:r>
      <w:r w:rsidR="00A85DEA" w:rsidRPr="00C85BD6">
        <w:rPr>
          <w:rFonts w:cs="Tahoma"/>
        </w:rPr>
        <w:t>prevista na</w:t>
      </w:r>
      <w:r w:rsidR="00C86957" w:rsidRPr="00C85BD6">
        <w:rPr>
          <w:rFonts w:cs="Tahoma"/>
        </w:rPr>
        <w:t xml:space="preserve"> Escritura de Emissão, sendo o produto da atualização monetária automaticamente incorporado ao Valor Nominal Unitário das Debêntures ou, se for o caso, ao Saldo do Valor Nominal Unitário das Debêntures</w:t>
      </w:r>
      <w:bookmarkEnd w:id="131"/>
      <w:bookmarkEnd w:id="132"/>
      <w:r w:rsidR="00A85DEA" w:rsidRPr="00C85BD6">
        <w:rPr>
          <w:rFonts w:cs="Tahoma"/>
        </w:rPr>
        <w:t xml:space="preserve"> (“</w:t>
      </w:r>
      <w:r w:rsidR="00A85DEA" w:rsidRPr="00C85BD6">
        <w:rPr>
          <w:rFonts w:cs="Tahoma"/>
          <w:u w:val="single"/>
        </w:rPr>
        <w:t>Valor Nominal Atualizado</w:t>
      </w:r>
      <w:r w:rsidR="00A85DEA" w:rsidRPr="00C85BD6">
        <w:rPr>
          <w:rFonts w:cs="Tahoma"/>
        </w:rPr>
        <w:t>”)</w:t>
      </w:r>
      <w:r w:rsidRPr="00C85BD6">
        <w:rPr>
          <w:rFonts w:cs="Tahoma"/>
        </w:rPr>
        <w:t>.</w:t>
      </w:r>
    </w:p>
    <w:p w14:paraId="7C1136E6" w14:textId="03A324E7" w:rsidR="00833360" w:rsidRPr="00C85BD6" w:rsidRDefault="00833360" w:rsidP="002334BF">
      <w:pPr>
        <w:pStyle w:val="PargrafodaLista"/>
        <w:numPr>
          <w:ilvl w:val="2"/>
          <w:numId w:val="21"/>
        </w:numPr>
        <w:spacing w:after="240" w:line="320" w:lineRule="exact"/>
        <w:ind w:left="1418"/>
        <w:contextualSpacing w:val="0"/>
        <w:rPr>
          <w:rFonts w:cs="Tahoma"/>
        </w:rPr>
      </w:pPr>
      <w:bookmarkStart w:id="133" w:name="_DV_M251"/>
      <w:bookmarkStart w:id="134" w:name="_DV_M253"/>
      <w:bookmarkStart w:id="135" w:name="_BPDC_LN_INS_1299"/>
      <w:bookmarkStart w:id="136" w:name="_BPDC_PR_INS_1300"/>
      <w:bookmarkStart w:id="137" w:name="_BPDC_LN_INS_1262"/>
      <w:bookmarkStart w:id="138" w:name="_BPDC_PR_INS_1263"/>
      <w:bookmarkStart w:id="139" w:name="_BPDC_PR_INS_1264"/>
      <w:bookmarkStart w:id="140" w:name="_Ref322633734"/>
      <w:bookmarkEnd w:id="133"/>
      <w:bookmarkEnd w:id="134"/>
      <w:bookmarkEnd w:id="135"/>
      <w:bookmarkEnd w:id="136"/>
      <w:bookmarkEnd w:id="137"/>
      <w:bookmarkEnd w:id="138"/>
      <w:bookmarkEnd w:id="139"/>
      <w:r w:rsidRPr="00C85BD6">
        <w:rPr>
          <w:rFonts w:cs="Tahoma"/>
          <w:i/>
        </w:rPr>
        <w:t>Juros Remuneratórios</w:t>
      </w:r>
      <w:r w:rsidRPr="00C85BD6">
        <w:rPr>
          <w:rFonts w:cs="Tahoma"/>
        </w:rPr>
        <w:t xml:space="preserve">. Sobre o Valor Nominal </w:t>
      </w:r>
      <w:r w:rsidR="005E276D" w:rsidRPr="00C85BD6">
        <w:rPr>
          <w:rFonts w:cs="Tahoma"/>
        </w:rPr>
        <w:t xml:space="preserve">Atualizado </w:t>
      </w:r>
      <w:r w:rsidRPr="00C85BD6">
        <w:rPr>
          <w:rFonts w:cs="Tahoma"/>
        </w:rPr>
        <w:t xml:space="preserve">das Debêntures incidirão juros remuneratórios </w:t>
      </w:r>
      <w:r w:rsidR="00556E97" w:rsidRPr="00C85BD6">
        <w:rPr>
          <w:rFonts w:cs="Tahoma"/>
        </w:rPr>
        <w:t xml:space="preserve">de 7,0590% (sete inteiros e quinhentos e noventa décimos de milésimos por cento) ao ano, computados com base 252 (duzentos e cinquenta e dois) Dias Úteis, calculada de forma exponencial e cumulativa </w:t>
      </w:r>
      <w:r w:rsidR="00556E97" w:rsidRPr="00C85BD6">
        <w:rPr>
          <w:rFonts w:cs="Tahoma"/>
          <w:i/>
          <w:iCs/>
        </w:rPr>
        <w:t>pro rata temporis</w:t>
      </w:r>
      <w:r w:rsidR="00556E97" w:rsidRPr="00C85BD6">
        <w:rPr>
          <w:rFonts w:cs="Tahoma"/>
        </w:rPr>
        <w:t xml:space="preserve"> por Dias Úteis decorridos, conforme definido no procedimento de </w:t>
      </w:r>
      <w:r w:rsidR="00156FFC" w:rsidRPr="00C85BD6">
        <w:rPr>
          <w:rFonts w:cs="Tahoma"/>
        </w:rPr>
        <w:t>coleta de intenções de investimento, realizado anteriormente à Data de Emissão</w:t>
      </w:r>
      <w:r w:rsidR="00156FFC" w:rsidRPr="00C85BD6">
        <w:rPr>
          <w:rFonts w:ascii="Segoe UI" w:hAnsi="Segoe UI" w:cs="Segoe UI"/>
        </w:rPr>
        <w:t xml:space="preserve"> </w:t>
      </w:r>
      <w:r w:rsidR="00556E97" w:rsidRPr="00C85BD6">
        <w:rPr>
          <w:rFonts w:cs="Tahoma"/>
        </w:rPr>
        <w:t>(“</w:t>
      </w:r>
      <w:r w:rsidR="00556E97" w:rsidRPr="00C85BD6">
        <w:rPr>
          <w:rFonts w:cs="Tahoma"/>
          <w:u w:val="single"/>
        </w:rPr>
        <w:t>Juros Remuneratórios</w:t>
      </w:r>
      <w:r w:rsidR="00556E97" w:rsidRPr="00C85BD6">
        <w:rPr>
          <w:rFonts w:cs="Tahoma"/>
        </w:rPr>
        <w:t>”), incidentes desde a Data de Subscrição e Integralização ou da Data de Pagamento dos Juros Remuneratórios imediatamente anterior, conforme o caso, até a data do efetivo pagamento</w:t>
      </w:r>
      <w:r w:rsidRPr="00C85BD6">
        <w:rPr>
          <w:rFonts w:cs="Tahoma"/>
        </w:rPr>
        <w:t xml:space="preserve">, conforme fórmula </w:t>
      </w:r>
      <w:r w:rsidR="005E276D" w:rsidRPr="00C85BD6">
        <w:rPr>
          <w:rFonts w:cs="Tahoma"/>
        </w:rPr>
        <w:t>prevista n</w:t>
      </w:r>
      <w:r w:rsidRPr="00C85BD6">
        <w:rPr>
          <w:rFonts w:cs="Tahoma"/>
        </w:rPr>
        <w:t>a Escritura de Emissão.</w:t>
      </w:r>
      <w:r w:rsidR="00556E97" w:rsidRPr="00C85BD6">
        <w:rPr>
          <w:rFonts w:cs="Tahoma"/>
        </w:rPr>
        <w:t xml:space="preserve"> </w:t>
      </w:r>
    </w:p>
    <w:p w14:paraId="3B7422A5" w14:textId="6AAB44C7" w:rsidR="00833360" w:rsidRPr="00C85BD6" w:rsidRDefault="00833360" w:rsidP="002334BF">
      <w:pPr>
        <w:pStyle w:val="PargrafodaLista"/>
        <w:numPr>
          <w:ilvl w:val="1"/>
          <w:numId w:val="21"/>
        </w:numPr>
        <w:spacing w:after="240" w:line="320" w:lineRule="exact"/>
        <w:contextualSpacing w:val="0"/>
        <w:outlineLvl w:val="1"/>
        <w:rPr>
          <w:rFonts w:eastAsia="MS Mincho" w:cs="Tahoma"/>
          <w:i/>
        </w:rPr>
      </w:pPr>
      <w:bookmarkStart w:id="141" w:name="_BPDC_LN_INS_1243"/>
      <w:bookmarkStart w:id="142" w:name="_BPDC_PR_INS_1244"/>
      <w:bookmarkStart w:id="143" w:name="_DV_C299"/>
      <w:bookmarkEnd w:id="140"/>
      <w:bookmarkEnd w:id="141"/>
      <w:bookmarkEnd w:id="142"/>
      <w:bookmarkEnd w:id="143"/>
      <w:r w:rsidRPr="00C85BD6">
        <w:rPr>
          <w:rFonts w:eastAsia="MS Mincho" w:cs="Tahoma"/>
          <w:i/>
        </w:rPr>
        <w:t>Pagamento dos Juros Remuneratórios.</w:t>
      </w:r>
      <w:bookmarkStart w:id="144" w:name="_BPDC_LN_INS_1241"/>
      <w:bookmarkStart w:id="145" w:name="_BPDC_PR_INS_1242"/>
      <w:bookmarkEnd w:id="144"/>
      <w:bookmarkEnd w:id="145"/>
      <w:r w:rsidRPr="00C85BD6">
        <w:rPr>
          <w:rFonts w:eastAsia="MS Mincho" w:cs="Tahoma"/>
          <w:i/>
        </w:rPr>
        <w:t xml:space="preserve"> </w:t>
      </w:r>
      <w:r w:rsidR="005E276D" w:rsidRPr="00C85BD6">
        <w:rPr>
          <w:rFonts w:eastAsia="Arial Unicode MS" w:cs="Tahoma"/>
        </w:rPr>
        <w:t>Os Juros Remuneratórios serão apurados semestralmente, sempre no dia 15 dos meses de junho e dezembro de cada ano, sendo certo que (i) o primeiro pagamento de Juros Remuneratórios será realizado em 15 de junho de 2021 (data do primeiro pagamento); e (ii) o último pagamento será realizado na Data de Vencimento das Debêntures.</w:t>
      </w:r>
    </w:p>
    <w:p w14:paraId="7161EEFA" w14:textId="7CBEF981" w:rsidR="00833360" w:rsidRPr="00C85BD6" w:rsidRDefault="00833360" w:rsidP="002334BF">
      <w:pPr>
        <w:pStyle w:val="PargrafodaLista"/>
        <w:numPr>
          <w:ilvl w:val="1"/>
          <w:numId w:val="21"/>
        </w:numPr>
        <w:spacing w:after="240" w:line="320" w:lineRule="exact"/>
        <w:contextualSpacing w:val="0"/>
        <w:outlineLvl w:val="1"/>
        <w:rPr>
          <w:rFonts w:eastAsia="MS Mincho" w:cs="Tahoma"/>
        </w:rPr>
      </w:pPr>
      <w:r w:rsidRPr="00C85BD6">
        <w:rPr>
          <w:rFonts w:eastAsia="MS Mincho" w:cs="Tahoma"/>
          <w:i/>
        </w:rPr>
        <w:t xml:space="preserve">Repactuação. </w:t>
      </w:r>
      <w:r w:rsidRPr="00C85BD6">
        <w:rPr>
          <w:rFonts w:eastAsia="MS Mincho" w:cs="Tahoma"/>
        </w:rPr>
        <w:t>Não haverá repactuação das Debêntures.</w:t>
      </w:r>
    </w:p>
    <w:p w14:paraId="5519E142" w14:textId="2C10EDE9" w:rsidR="00833360" w:rsidRPr="00C85BD6" w:rsidRDefault="00833360" w:rsidP="002334BF">
      <w:pPr>
        <w:pStyle w:val="PargrafodaLista"/>
        <w:numPr>
          <w:ilvl w:val="1"/>
          <w:numId w:val="21"/>
        </w:numPr>
        <w:spacing w:after="240" w:line="320" w:lineRule="exact"/>
        <w:contextualSpacing w:val="0"/>
        <w:outlineLvl w:val="1"/>
        <w:rPr>
          <w:rFonts w:eastAsia="MS Mincho" w:cs="Tahoma"/>
          <w:i/>
        </w:rPr>
      </w:pPr>
      <w:bookmarkStart w:id="146" w:name="_BPDC_LN_INS_1235"/>
      <w:bookmarkStart w:id="147" w:name="_BPDC_PR_INS_1236"/>
      <w:bookmarkEnd w:id="146"/>
      <w:bookmarkEnd w:id="147"/>
      <w:r w:rsidRPr="00C85BD6">
        <w:rPr>
          <w:rFonts w:eastAsia="MS Mincho" w:cs="Tahoma"/>
          <w:i/>
        </w:rPr>
        <w:t xml:space="preserve">Amortização. </w:t>
      </w:r>
      <w:bookmarkStart w:id="148" w:name="_DV_M112"/>
      <w:bookmarkStart w:id="149" w:name="_DV_M126"/>
      <w:bookmarkStart w:id="150" w:name="_DV_M132"/>
      <w:bookmarkStart w:id="151" w:name="_DV_M138"/>
      <w:bookmarkStart w:id="152" w:name="_BPDC_LN_INS_1233"/>
      <w:bookmarkStart w:id="153" w:name="_BPDC_PR_INS_1234"/>
      <w:bookmarkEnd w:id="148"/>
      <w:bookmarkEnd w:id="149"/>
      <w:bookmarkEnd w:id="150"/>
      <w:bookmarkEnd w:id="151"/>
      <w:bookmarkEnd w:id="152"/>
      <w:bookmarkEnd w:id="153"/>
      <w:r w:rsidR="008212D8" w:rsidRPr="00C85BD6">
        <w:rPr>
          <w:rFonts w:eastAsia="Arial Unicode MS" w:cs="Tahoma"/>
        </w:rPr>
        <w:tab/>
        <w:t>O Valor Nominal Atualizado das Debêntures será amortizado pela Emissora em 17 (dezessete) parcelas semestrais e consecutivas, sempre no dia 15 dos meses de junho e dezembro de cada ano, sendo que a 1ª (primeira) parcela de amortização será paga no dia 15 de dezembro de 2021 e as demais nas datas detalhadas na Escritura de Emissão, observando-se, ainda, as proporções definidas na Escritura de Emissão</w:t>
      </w:r>
      <w:r w:rsidRPr="00C85BD6">
        <w:rPr>
          <w:rFonts w:cs="Tahoma"/>
        </w:rPr>
        <w:t>.</w:t>
      </w:r>
    </w:p>
    <w:p w14:paraId="5CE3854E" w14:textId="5F1D9DA3" w:rsidR="00833360" w:rsidRPr="00C85BD6" w:rsidRDefault="00833360" w:rsidP="002334BF">
      <w:pPr>
        <w:pStyle w:val="PargrafodaLista"/>
        <w:numPr>
          <w:ilvl w:val="1"/>
          <w:numId w:val="21"/>
        </w:numPr>
        <w:spacing w:after="240" w:line="320" w:lineRule="exact"/>
        <w:contextualSpacing w:val="0"/>
        <w:outlineLvl w:val="1"/>
        <w:rPr>
          <w:rFonts w:cs="Tahoma"/>
        </w:rPr>
      </w:pPr>
      <w:bookmarkStart w:id="154" w:name="_BPDC_LN_INS_1229"/>
      <w:bookmarkStart w:id="155" w:name="_BPDC_PR_INS_1230"/>
      <w:bookmarkStart w:id="156" w:name="_DV_M139"/>
      <w:bookmarkEnd w:id="154"/>
      <w:bookmarkEnd w:id="155"/>
      <w:bookmarkEnd w:id="156"/>
      <w:r w:rsidRPr="00C85BD6">
        <w:rPr>
          <w:rFonts w:cs="Tahoma"/>
          <w:i/>
          <w:w w:val="0"/>
        </w:rPr>
        <w:lastRenderedPageBreak/>
        <w:t>Local de Pagamento.</w:t>
      </w:r>
      <w:bookmarkStart w:id="157" w:name="_DV_M140"/>
      <w:bookmarkEnd w:id="157"/>
      <w:r w:rsidRPr="00C85BD6">
        <w:rPr>
          <w:rFonts w:cs="Tahoma"/>
          <w:i/>
          <w:w w:val="0"/>
        </w:rPr>
        <w:t xml:space="preserve"> </w:t>
      </w:r>
      <w:r w:rsidR="008212D8" w:rsidRPr="00C85BD6">
        <w:rPr>
          <w:rFonts w:eastAsia="Arial Unicode MS" w:cs="Tahoma"/>
        </w:rPr>
        <w:t>Os pagamentos a que fazem jus as Debêntures serão efetuados: (i) utilizando-se os procedimentos adotados pela B3 para as Debêntures custodiadas eletronicamente na B3; ou (ii) os procedimentos adotados pelo Banco Liquidante, para as Debêntures que eventualmente não estejam custodiadas eletronicamente na B3</w:t>
      </w:r>
      <w:r w:rsidRPr="00C85BD6">
        <w:rPr>
          <w:rFonts w:cs="Tahoma"/>
        </w:rPr>
        <w:t>.</w:t>
      </w:r>
    </w:p>
    <w:p w14:paraId="1F7DE37F" w14:textId="19BC1DC2" w:rsidR="00833360" w:rsidRPr="00C85BD6" w:rsidRDefault="00833360" w:rsidP="002334BF">
      <w:pPr>
        <w:pStyle w:val="PargrafodaLista"/>
        <w:numPr>
          <w:ilvl w:val="1"/>
          <w:numId w:val="21"/>
        </w:numPr>
        <w:spacing w:after="240" w:line="320" w:lineRule="exact"/>
        <w:contextualSpacing w:val="0"/>
        <w:outlineLvl w:val="1"/>
        <w:rPr>
          <w:rFonts w:eastAsia="Arial Unicode MS" w:cs="Tahoma"/>
          <w:w w:val="0"/>
          <w:u w:val="single"/>
        </w:rPr>
      </w:pPr>
      <w:bookmarkStart w:id="158" w:name="_BPDC_LN_INS_1227"/>
      <w:bookmarkStart w:id="159" w:name="_BPDC_PR_INS_1228"/>
      <w:bookmarkStart w:id="160" w:name="_BPDC_LN_INS_1225"/>
      <w:bookmarkStart w:id="161" w:name="_BPDC_PR_INS_1226"/>
      <w:bookmarkStart w:id="162" w:name="_DV_M143"/>
      <w:bookmarkStart w:id="163" w:name="_DV_M144"/>
      <w:bookmarkStart w:id="164" w:name="_BPDC_LN_INS_1223"/>
      <w:bookmarkStart w:id="165" w:name="_BPDC_PR_INS_1224"/>
      <w:bookmarkStart w:id="166" w:name="_DV_M149"/>
      <w:bookmarkEnd w:id="158"/>
      <w:bookmarkEnd w:id="159"/>
      <w:bookmarkEnd w:id="160"/>
      <w:bookmarkEnd w:id="161"/>
      <w:bookmarkEnd w:id="162"/>
      <w:bookmarkEnd w:id="163"/>
      <w:bookmarkEnd w:id="164"/>
      <w:bookmarkEnd w:id="165"/>
      <w:bookmarkEnd w:id="166"/>
      <w:r w:rsidRPr="00C85BD6">
        <w:rPr>
          <w:rFonts w:cs="Tahoma"/>
          <w:i/>
          <w:w w:val="0"/>
        </w:rPr>
        <w:t xml:space="preserve">Encargos Moratórios. </w:t>
      </w:r>
      <w:bookmarkStart w:id="167" w:name="_DV_M150"/>
      <w:bookmarkStart w:id="168" w:name="_Ref322619233"/>
      <w:bookmarkEnd w:id="167"/>
      <w:r w:rsidR="008212D8" w:rsidRPr="00C85BD6">
        <w:rPr>
          <w:rFonts w:eastAsia="Arial Unicode MS" w:cs="Tahoma"/>
        </w:rPr>
        <w:t xml:space="preserve">Sem prejuízo da Remuneração, ocorrendo impontualidade no pagamento pela Emissora de quaisquer obrigações pecuniárias relativas às Debêntures, os débitos vencidos e não pagos serão acrescidos de juros de mora de 1% (um por cento) ao mês, calculados </w:t>
      </w:r>
      <w:r w:rsidR="008212D8" w:rsidRPr="00C85BD6">
        <w:rPr>
          <w:rFonts w:eastAsia="Arial Unicode MS" w:cs="Tahoma"/>
          <w:i/>
        </w:rPr>
        <w:t>pro rata temporis</w:t>
      </w:r>
      <w:r w:rsidR="008212D8" w:rsidRPr="00C85BD6">
        <w:rPr>
          <w:rFonts w:eastAsia="Arial Unicode MS" w:cs="Tahoma"/>
        </w:rPr>
        <w:t>, desde a data de inadimplemento até a data do efetivo pagamento, bem como de multa não compensatória de 2% (dois por cento) sobre o valor de tais débitos, independentemente de aviso, notificação ou interpelação judicial ou extrajudicial</w:t>
      </w:r>
      <w:r w:rsidRPr="00C85BD6">
        <w:rPr>
          <w:rFonts w:cs="Tahoma"/>
        </w:rPr>
        <w:t xml:space="preserve"> (“</w:t>
      </w:r>
      <w:r w:rsidRPr="00C85BD6">
        <w:rPr>
          <w:rFonts w:cs="Tahoma"/>
          <w:u w:val="single"/>
        </w:rPr>
        <w:t>Encargos Moratórios</w:t>
      </w:r>
      <w:r w:rsidRPr="00C85BD6">
        <w:rPr>
          <w:rFonts w:cs="Tahoma"/>
        </w:rPr>
        <w:t>”).</w:t>
      </w:r>
      <w:bookmarkEnd w:id="168"/>
      <w:r w:rsidRPr="00C85BD6">
        <w:rPr>
          <w:rFonts w:eastAsia="Arial Unicode MS" w:cs="Tahoma"/>
          <w:w w:val="0"/>
        </w:rPr>
        <w:t xml:space="preserve"> </w:t>
      </w:r>
    </w:p>
    <w:p w14:paraId="44E9D41D" w14:textId="0D220642" w:rsidR="005708DB" w:rsidRPr="00C85BD6" w:rsidRDefault="005708DB" w:rsidP="002334BF">
      <w:pPr>
        <w:pStyle w:val="PargrafodaLista"/>
        <w:numPr>
          <w:ilvl w:val="1"/>
          <w:numId w:val="21"/>
        </w:numPr>
        <w:spacing w:after="240" w:line="320" w:lineRule="exact"/>
        <w:contextualSpacing w:val="0"/>
        <w:outlineLvl w:val="1"/>
        <w:rPr>
          <w:rFonts w:cs="Tahoma"/>
          <w:w w:val="0"/>
        </w:rPr>
      </w:pPr>
      <w:bookmarkStart w:id="169" w:name="_BPDC_LN_INS_1221"/>
      <w:bookmarkStart w:id="170" w:name="_BPDC_PR_INS_1222"/>
      <w:bookmarkStart w:id="171" w:name="_BPDC_LN_INS_1219"/>
      <w:bookmarkStart w:id="172" w:name="_BPDC_PR_INS_1220"/>
      <w:bookmarkStart w:id="173" w:name="_DV_M159"/>
      <w:bookmarkStart w:id="174" w:name="_BPDC_LN_INS_1217"/>
      <w:bookmarkStart w:id="175" w:name="_BPDC_PR_INS_1218"/>
      <w:bookmarkStart w:id="176" w:name="_Hlk7454446"/>
      <w:bookmarkEnd w:id="169"/>
      <w:bookmarkEnd w:id="170"/>
      <w:bookmarkEnd w:id="171"/>
      <w:bookmarkEnd w:id="172"/>
      <w:bookmarkEnd w:id="173"/>
      <w:bookmarkEnd w:id="174"/>
      <w:bookmarkEnd w:id="175"/>
      <w:r w:rsidRPr="00C85BD6">
        <w:rPr>
          <w:rFonts w:cs="Tahoma"/>
          <w:i/>
          <w:w w:val="0"/>
        </w:rPr>
        <w:t xml:space="preserve">Resgate Antecipado Total. </w:t>
      </w:r>
      <w:r w:rsidRPr="00C85BD6">
        <w:rPr>
          <w:rFonts w:cs="Tahoma"/>
          <w:w w:val="0"/>
        </w:rPr>
        <w:t>A Emissora poderá,</w:t>
      </w:r>
      <w:r w:rsidR="00613CA4" w:rsidRPr="00C85BD6">
        <w:rPr>
          <w:rFonts w:cs="Tahoma"/>
          <w:w w:val="0"/>
        </w:rPr>
        <w:t xml:space="preserve"> a qualquer tempo, a seu exclusivo critério,</w:t>
      </w:r>
      <w:r w:rsidRPr="00C85BD6">
        <w:rPr>
          <w:rFonts w:cs="Tahoma"/>
          <w:w w:val="0"/>
        </w:rPr>
        <w:t xml:space="preserve"> </w:t>
      </w:r>
      <w:r w:rsidR="000D6D23" w:rsidRPr="00C85BD6">
        <w:rPr>
          <w:rFonts w:cs="Tahoma"/>
          <w:w w:val="0"/>
        </w:rPr>
        <w:t xml:space="preserve">realizar </w:t>
      </w:r>
      <w:r w:rsidR="00613CA4" w:rsidRPr="00C85BD6">
        <w:rPr>
          <w:rFonts w:cs="Tahoma"/>
          <w:w w:val="0"/>
        </w:rPr>
        <w:t>oferta de resgate antecipado total das Debêntures</w:t>
      </w:r>
      <w:r w:rsidR="00282FC0" w:rsidRPr="00C85BD6">
        <w:rPr>
          <w:rFonts w:cs="Tahoma"/>
          <w:w w:val="0"/>
        </w:rPr>
        <w:t>,</w:t>
      </w:r>
      <w:r w:rsidR="00613CA4" w:rsidRPr="00C85BD6">
        <w:rPr>
          <w:rFonts w:cs="Tahoma"/>
          <w:w w:val="0"/>
        </w:rPr>
        <w:t xml:space="preserve"> </w:t>
      </w:r>
      <w:r w:rsidRPr="00C85BD6">
        <w:rPr>
          <w:rFonts w:cs="Tahoma"/>
          <w:w w:val="0"/>
        </w:rPr>
        <w:t>conforme termos e condições previstos na Escritura de Emissão</w:t>
      </w:r>
      <w:r w:rsidR="00282FC0" w:rsidRPr="00C85BD6">
        <w:rPr>
          <w:rFonts w:cs="Tahoma"/>
          <w:w w:val="0"/>
        </w:rPr>
        <w:t xml:space="preserve"> e na legislação aplicável</w:t>
      </w:r>
      <w:r w:rsidRPr="00C85BD6">
        <w:rPr>
          <w:rFonts w:cs="Tahoma"/>
          <w:w w:val="0"/>
        </w:rPr>
        <w:t>.</w:t>
      </w:r>
    </w:p>
    <w:p w14:paraId="3B8D30AA" w14:textId="3135B51D" w:rsidR="00833360" w:rsidRPr="00C85BD6" w:rsidRDefault="00833360" w:rsidP="002334BF">
      <w:pPr>
        <w:pStyle w:val="PargrafodaLista"/>
        <w:numPr>
          <w:ilvl w:val="1"/>
          <w:numId w:val="21"/>
        </w:numPr>
        <w:spacing w:after="240" w:line="320" w:lineRule="exact"/>
        <w:contextualSpacing w:val="0"/>
        <w:outlineLvl w:val="1"/>
        <w:rPr>
          <w:rFonts w:cs="Tahoma"/>
          <w:w w:val="0"/>
        </w:rPr>
      </w:pPr>
      <w:r w:rsidRPr="00C85BD6">
        <w:rPr>
          <w:rFonts w:cs="Tahoma"/>
          <w:i/>
          <w:w w:val="0"/>
        </w:rPr>
        <w:t>Resgate Antecipado Facultativo</w:t>
      </w:r>
      <w:r w:rsidR="0082507A" w:rsidRPr="00C85BD6">
        <w:rPr>
          <w:rFonts w:cs="Tahoma"/>
          <w:i/>
          <w:w w:val="0"/>
        </w:rPr>
        <w:t xml:space="preserve"> Total</w:t>
      </w:r>
      <w:r w:rsidRPr="00C85BD6">
        <w:rPr>
          <w:rFonts w:cs="Tahoma"/>
          <w:w w:val="0"/>
        </w:rPr>
        <w:t>.</w:t>
      </w:r>
      <w:r w:rsidR="005708DB" w:rsidRPr="00C85BD6">
        <w:rPr>
          <w:rFonts w:cs="Tahoma"/>
          <w:w w:val="0"/>
        </w:rPr>
        <w:t xml:space="preserve"> </w:t>
      </w:r>
      <w:r w:rsidR="00282FC0" w:rsidRPr="00C85BD6">
        <w:rPr>
          <w:rFonts w:eastAsia="Arial Unicode MS" w:cs="Tahoma"/>
        </w:rPr>
        <w:t xml:space="preserve">A Emissora poderá realizar o resgate antecipado facultativo total das Debêntures, observados os termos e condições estabelecidos na Escritura de Emissão e desde que seja permitido pela lei e regulamentação aplicáveis, a seu exclusivo critério e independentemente da vontade dos Debenturistas, desde que o prazo transcorrido entre a Data de Emissão e a data do resgate antecipado facultativo total seja superior a 5 (cinco) anos, e desde que a Emissora esteja adimplente com suas obrigações, nos termos da Escritura de Emissão. Por ocasião de tal resgate antecipado facultativo total das Debêntures, os Debenturistas farão jus ao pagamento de um valor a ser calculado de acordo com a fórmula prevista na Escritura de Emissão. </w:t>
      </w:r>
      <w:bookmarkEnd w:id="176"/>
    </w:p>
    <w:p w14:paraId="3290C612" w14:textId="0F3DB059" w:rsidR="00833360" w:rsidRPr="00C85BD6" w:rsidRDefault="00833360" w:rsidP="002334BF">
      <w:pPr>
        <w:pStyle w:val="PargrafodaLista"/>
        <w:numPr>
          <w:ilvl w:val="1"/>
          <w:numId w:val="21"/>
        </w:numPr>
        <w:spacing w:after="240" w:line="320" w:lineRule="exact"/>
        <w:contextualSpacing w:val="0"/>
        <w:outlineLvl w:val="1"/>
        <w:rPr>
          <w:rFonts w:cs="Tahoma"/>
        </w:rPr>
      </w:pPr>
      <w:bookmarkStart w:id="177" w:name="_BPDC_LN_INS_1174"/>
      <w:bookmarkStart w:id="178" w:name="_BPDC_PR_INS_1175"/>
      <w:bookmarkStart w:id="179" w:name="_BPDC_LN_INS_1160"/>
      <w:bookmarkStart w:id="180" w:name="_BPDC_PR_INS_1161"/>
      <w:bookmarkEnd w:id="107"/>
      <w:bookmarkEnd w:id="177"/>
      <w:bookmarkEnd w:id="178"/>
      <w:bookmarkEnd w:id="179"/>
      <w:bookmarkEnd w:id="180"/>
      <w:r w:rsidRPr="00C85BD6">
        <w:rPr>
          <w:rFonts w:eastAsia="Arial Unicode MS" w:cs="Tahoma"/>
          <w:i/>
          <w:w w:val="0"/>
        </w:rPr>
        <w:t xml:space="preserve">Aquisição Facultativa. </w:t>
      </w:r>
      <w:r w:rsidR="00C27736" w:rsidRPr="00C85BD6">
        <w:rPr>
          <w:rFonts w:eastAsia="Arial Unicode MS" w:cs="Tahoma"/>
        </w:rPr>
        <w:t>A</w:t>
      </w:r>
      <w:r w:rsidR="00C27736" w:rsidRPr="00C85BD6" w:rsidDel="00037E93">
        <w:rPr>
          <w:rFonts w:eastAsia="Arial Unicode MS" w:cs="Tahoma"/>
        </w:rPr>
        <w:t xml:space="preserve">s Debêntures poderão ser adquiridas pela Emissora, </w:t>
      </w:r>
      <w:r w:rsidR="00C27736" w:rsidRPr="00C85BD6">
        <w:rPr>
          <w:rFonts w:cs="Tahoma"/>
        </w:rPr>
        <w:t xml:space="preserve">a qualquer tempo, </w:t>
      </w:r>
      <w:r w:rsidR="00C27736" w:rsidRPr="00C85BD6" w:rsidDel="00037E93">
        <w:rPr>
          <w:rFonts w:eastAsia="Arial Unicode MS" w:cs="Tahoma"/>
        </w:rPr>
        <w:t>no mercado secundário,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poderão</w:t>
      </w:r>
      <w:r w:rsidR="00C27736" w:rsidRPr="00C85BD6">
        <w:rPr>
          <w:rFonts w:eastAsia="Arial Unicode MS" w:cs="Tahoma"/>
        </w:rPr>
        <w:t>, a critério da Emissora</w:t>
      </w:r>
      <w:r w:rsidR="00C27736" w:rsidRPr="00C85BD6" w:rsidDel="00037E93">
        <w:rPr>
          <w:rFonts w:eastAsia="Arial Unicode MS" w:cs="Tahoma"/>
        </w:rPr>
        <w:t>: (i) ser canceladas; (ii) permanecer na tesouraria da Emissora; ou (iii) ser novamente colocadas no mercado.</w:t>
      </w:r>
    </w:p>
    <w:p w14:paraId="0D20BB66" w14:textId="722E9B1B" w:rsidR="00857CE2" w:rsidRPr="00C85BD6" w:rsidRDefault="00833360" w:rsidP="002334BF">
      <w:pPr>
        <w:pStyle w:val="PargrafodaLista"/>
        <w:numPr>
          <w:ilvl w:val="1"/>
          <w:numId w:val="21"/>
        </w:numPr>
        <w:spacing w:after="240" w:line="320" w:lineRule="exact"/>
        <w:contextualSpacing w:val="0"/>
        <w:outlineLvl w:val="1"/>
        <w:rPr>
          <w:rFonts w:cs="Tahoma"/>
        </w:rPr>
      </w:pPr>
      <w:r w:rsidRPr="00C85BD6">
        <w:rPr>
          <w:rFonts w:cs="Tahoma"/>
          <w:i/>
          <w:w w:val="0"/>
        </w:rPr>
        <w:t xml:space="preserve">Amortização </w:t>
      </w:r>
      <w:r w:rsidR="00C27736" w:rsidRPr="00C85BD6">
        <w:rPr>
          <w:rFonts w:cs="Tahoma"/>
          <w:i/>
          <w:w w:val="0"/>
        </w:rPr>
        <w:t>Extraordinária</w:t>
      </w:r>
      <w:r w:rsidRPr="00C85BD6">
        <w:rPr>
          <w:rFonts w:cs="Tahoma"/>
          <w:w w:val="0"/>
        </w:rPr>
        <w:t xml:space="preserve">. </w:t>
      </w:r>
      <w:r w:rsidR="0082507A" w:rsidRPr="00C85BD6">
        <w:rPr>
          <w:rFonts w:cs="Tahoma"/>
          <w:w w:val="0"/>
        </w:rPr>
        <w:t>As Debêntures não estarão sujeitas a amortização extraordinária pela Emissora.</w:t>
      </w:r>
      <w:r w:rsidR="00857CE2" w:rsidRPr="00C85BD6">
        <w:rPr>
          <w:rFonts w:cs="Tahoma"/>
        </w:rPr>
        <w:t xml:space="preserve"> </w:t>
      </w:r>
    </w:p>
    <w:p w14:paraId="3BC1EC6E" w14:textId="6832BCF0" w:rsidR="00DE2C87" w:rsidRPr="00C85BD6" w:rsidRDefault="00CC3A0A" w:rsidP="002334BF">
      <w:pPr>
        <w:pStyle w:val="PargrafodaLista"/>
        <w:numPr>
          <w:ilvl w:val="1"/>
          <w:numId w:val="21"/>
        </w:numPr>
        <w:spacing w:after="240" w:line="320" w:lineRule="exact"/>
        <w:contextualSpacing w:val="0"/>
        <w:outlineLvl w:val="1"/>
        <w:rPr>
          <w:rFonts w:eastAsia="Arial Unicode MS" w:cs="Tahoma"/>
          <w:w w:val="0"/>
        </w:rPr>
      </w:pPr>
      <w:r w:rsidRPr="00C85BD6">
        <w:rPr>
          <w:rFonts w:cs="Tahoma"/>
          <w:i/>
          <w:w w:val="0"/>
        </w:rPr>
        <w:lastRenderedPageBreak/>
        <w:t>Vencimento Antecipado</w:t>
      </w:r>
      <w:r w:rsidRPr="00C85BD6">
        <w:rPr>
          <w:rFonts w:cs="Tahoma"/>
          <w:w w:val="0"/>
        </w:rPr>
        <w:t xml:space="preserve">. </w:t>
      </w:r>
      <w:bookmarkStart w:id="181" w:name="_Ref322619558"/>
      <w:r w:rsidR="00C27736" w:rsidRPr="00C85BD6">
        <w:rPr>
          <w:rFonts w:eastAsia="Arial Unicode MS" w:cs="Tahoma"/>
          <w:w w:val="0"/>
        </w:rPr>
        <w:t xml:space="preserve">Todas as </w:t>
      </w:r>
      <w:r w:rsidR="00C27736" w:rsidRPr="00C85BD6">
        <w:rPr>
          <w:rFonts w:cs="Tahoma"/>
          <w:w w:val="0"/>
        </w:rPr>
        <w:t>obrigações</w:t>
      </w:r>
      <w:r w:rsidR="00C27736" w:rsidRPr="00C85BD6">
        <w:rPr>
          <w:rFonts w:eastAsia="Arial Unicode MS" w:cs="Tahoma"/>
          <w:w w:val="0"/>
        </w:rPr>
        <w:t xml:space="preserve"> objeto da Escritura de Emissão poderão ser consideradas antecipadamente vencidas e imediatamente exigíveis</w:t>
      </w:r>
      <w:r w:rsidR="00C27736" w:rsidRPr="00C85BD6">
        <w:rPr>
          <w:rFonts w:eastAsia="Arial Unicode MS" w:cs="Tahoma"/>
        </w:rPr>
        <w:t xml:space="preserve">, na ocorrência de quaisquer dos eventos de inadimplemento listados na </w:t>
      </w:r>
      <w:r w:rsidR="000C00FC" w:rsidRPr="00C85BD6">
        <w:rPr>
          <w:rFonts w:eastAsia="Arial Unicode MS" w:cs="Tahoma"/>
        </w:rPr>
        <w:t xml:space="preserve">Cláusula 7.1 da </w:t>
      </w:r>
      <w:r w:rsidR="00C27736" w:rsidRPr="00C85BD6">
        <w:rPr>
          <w:rFonts w:eastAsia="Arial Unicode MS" w:cs="Tahoma"/>
        </w:rPr>
        <w:t xml:space="preserve">Escritura de Emissão, e observados os prazos e os procedimentos previstos na Escritura de Emissão. </w:t>
      </w:r>
      <w:r w:rsidR="000C00FC" w:rsidRPr="00C85BD6">
        <w:rPr>
          <w:rFonts w:eastAsia="Arial Unicode MS" w:cs="Tahoma"/>
        </w:rPr>
        <w:t>Em caso de declaração de vencimento antecipado, o Agente Fiduciário exigirá o pagamento do Valor Nominal Atualizado, acrescido dos Juros Remuneratórios</w:t>
      </w:r>
      <w:bookmarkStart w:id="182" w:name="_DV_C169"/>
      <w:r w:rsidR="000C00FC" w:rsidRPr="00C85BD6">
        <w:rPr>
          <w:rFonts w:eastAsia="Arial Unicode MS" w:cs="Tahoma"/>
        </w:rPr>
        <w:t>,</w:t>
      </w:r>
      <w:bookmarkStart w:id="183" w:name="_DV_M246"/>
      <w:bookmarkEnd w:id="182"/>
      <w:bookmarkEnd w:id="183"/>
      <w:r w:rsidR="000C00FC" w:rsidRPr="00C85BD6">
        <w:rPr>
          <w:rFonts w:eastAsia="Arial Unicode MS" w:cs="Tahoma"/>
        </w:rPr>
        <w:t xml:space="preserve"> </w:t>
      </w:r>
      <w:bookmarkStart w:id="184" w:name="_DV_M247"/>
      <w:bookmarkEnd w:id="184"/>
      <w:r w:rsidR="000C00FC" w:rsidRPr="00C85BD6">
        <w:rPr>
          <w:rFonts w:eastAsia="Arial Unicode MS" w:cs="Tahoma"/>
        </w:rPr>
        <w:t xml:space="preserve">calculados </w:t>
      </w:r>
      <w:r w:rsidR="000C00FC" w:rsidRPr="00C85BD6">
        <w:rPr>
          <w:rFonts w:eastAsia="Arial Unicode MS" w:cs="Tahoma"/>
          <w:i/>
        </w:rPr>
        <w:t xml:space="preserve">pro rata temporis </w:t>
      </w:r>
      <w:r w:rsidR="000C00FC" w:rsidRPr="00C85BD6">
        <w:rPr>
          <w:rFonts w:eastAsia="Arial Unicode MS" w:cs="Tahoma"/>
        </w:rPr>
        <w:t xml:space="preserve">desde a </w:t>
      </w:r>
      <w:r w:rsidR="000C00FC" w:rsidRPr="00C85BD6">
        <w:rPr>
          <w:rFonts w:eastAsia="Arial Unicode MS" w:cs="Tahoma"/>
          <w:bCs/>
          <w:iCs/>
        </w:rPr>
        <w:t xml:space="preserve">Data de Subscrição e Integralização </w:t>
      </w:r>
      <w:r w:rsidR="000C00FC" w:rsidRPr="00C85BD6">
        <w:rPr>
          <w:rFonts w:eastAsia="Arial Unicode MS" w:cs="Tahoma"/>
        </w:rPr>
        <w:t xml:space="preserve">ou a Data de Pagamento dos Juros Remuneratórios imediatamente anterior (conforme o caso), </w:t>
      </w:r>
      <w:bookmarkStart w:id="185" w:name="_DV_C170"/>
      <w:r w:rsidR="000C00FC" w:rsidRPr="00C85BD6">
        <w:rPr>
          <w:rFonts w:eastAsia="Arial Unicode MS" w:cs="Tahoma"/>
        </w:rPr>
        <w:t>e dos Encargos Moratórios e multas, se houver,</w:t>
      </w:r>
      <w:bookmarkStart w:id="186" w:name="_DV_M248"/>
      <w:bookmarkEnd w:id="185"/>
      <w:bookmarkEnd w:id="186"/>
      <w:r w:rsidR="000C00FC" w:rsidRPr="00C85BD6">
        <w:rPr>
          <w:rFonts w:eastAsia="Arial Unicode MS" w:cs="Tahoma"/>
        </w:rPr>
        <w:t xml:space="preserve"> incidentes até a data do seu efetivo pagamento.</w:t>
      </w:r>
    </w:p>
    <w:bookmarkEnd w:id="181"/>
    <w:p w14:paraId="756BC4E8" w14:textId="05D8A209" w:rsidR="00E173E1" w:rsidRPr="00C85BD6" w:rsidRDefault="00E173E1" w:rsidP="002334BF">
      <w:pPr>
        <w:pStyle w:val="PargrafodaLista"/>
        <w:numPr>
          <w:ilvl w:val="1"/>
          <w:numId w:val="21"/>
        </w:numPr>
        <w:spacing w:after="240" w:line="320" w:lineRule="exact"/>
        <w:contextualSpacing w:val="0"/>
        <w:outlineLvl w:val="1"/>
        <w:rPr>
          <w:rFonts w:cs="Tahoma"/>
          <w:i/>
          <w:w w:val="0"/>
        </w:rPr>
      </w:pPr>
      <w:r w:rsidRPr="00C85BD6">
        <w:rPr>
          <w:rFonts w:cs="Tahoma"/>
          <w:i/>
          <w:w w:val="0"/>
        </w:rPr>
        <w:t>Condição Suspensiva.</w:t>
      </w:r>
      <w:r w:rsidRPr="00C85BD6">
        <w:rPr>
          <w:rFonts w:cs="Tahoma"/>
          <w:w w:val="0"/>
        </w:rPr>
        <w:t xml:space="preserve"> </w:t>
      </w:r>
      <w:r w:rsidRPr="00C85BD6">
        <w:rPr>
          <w:rFonts w:eastAsia="Arial Unicode MS" w:cs="Tahoma"/>
        </w:rPr>
        <w:t>Nos termos do artigo 125 do Código Civil Brasileiro, a eficácia dos termos e condições da Escritura de Emissão está sujeita à sua aprovação pelos debenturistas da 1ª (primeira) emissão de debêntures da Companhia, em sede de assembleia geral de debenturistas, realizada conforme a respectiva escritura de emissão.</w:t>
      </w:r>
    </w:p>
    <w:p w14:paraId="64B0907F" w14:textId="4C83C00E" w:rsidR="001977E6" w:rsidRPr="00C85BD6" w:rsidRDefault="001977E6" w:rsidP="002334BF">
      <w:pPr>
        <w:pStyle w:val="PargrafodaLista"/>
        <w:numPr>
          <w:ilvl w:val="1"/>
          <w:numId w:val="21"/>
        </w:numPr>
        <w:spacing w:after="240" w:line="320" w:lineRule="exact"/>
        <w:contextualSpacing w:val="0"/>
        <w:outlineLvl w:val="1"/>
        <w:rPr>
          <w:rFonts w:cs="Tahoma"/>
          <w:i/>
          <w:w w:val="0"/>
        </w:rPr>
      </w:pPr>
      <w:r w:rsidRPr="00C85BD6">
        <w:rPr>
          <w:rFonts w:cs="Tahoma"/>
          <w:i/>
          <w:w w:val="0"/>
        </w:rPr>
        <w:t xml:space="preserve">Demais Condições. </w:t>
      </w:r>
      <w:r w:rsidRPr="00C85BD6">
        <w:rPr>
          <w:rFonts w:cs="Tahoma"/>
          <w:w w:val="0"/>
        </w:rPr>
        <w:t>Todas as demais condições e regras específicas relacionadas à Emissão e/ou às Debêntures serão tratadas na Escritura de Emissão</w:t>
      </w:r>
      <w:r w:rsidR="001F6ACE" w:rsidRPr="00C85BD6">
        <w:rPr>
          <w:rFonts w:cs="Tahoma"/>
          <w:w w:val="0"/>
        </w:rPr>
        <w:t>.</w:t>
      </w:r>
    </w:p>
    <w:p w14:paraId="1DC68D63" w14:textId="5A8F205E" w:rsidR="00EC3EAF" w:rsidRPr="00C85BD6" w:rsidRDefault="00EC3EAF" w:rsidP="002334BF">
      <w:pPr>
        <w:pStyle w:val="Level1"/>
        <w:numPr>
          <w:ilvl w:val="0"/>
          <w:numId w:val="16"/>
        </w:numPr>
        <w:spacing w:after="240" w:line="320" w:lineRule="exact"/>
        <w:ind w:left="0" w:firstLine="0"/>
        <w:outlineLvl w:val="9"/>
        <w:rPr>
          <w:rFonts w:eastAsiaTheme="minorEastAsia" w:cs="Tahoma"/>
          <w:b/>
          <w:szCs w:val="20"/>
        </w:rPr>
      </w:pPr>
      <w:r w:rsidRPr="00C85BD6">
        <w:rPr>
          <w:rFonts w:cs="Tahoma"/>
          <w:color w:val="000000"/>
          <w:szCs w:val="20"/>
        </w:rPr>
        <w:t xml:space="preserve">Celebração, pela Companhia, dos Documentos da </w:t>
      </w:r>
      <w:r w:rsidR="00FF380A" w:rsidRPr="00C85BD6">
        <w:rPr>
          <w:rFonts w:cs="Tahoma"/>
          <w:color w:val="000000"/>
          <w:szCs w:val="20"/>
        </w:rPr>
        <w:t>Reestruturação</w:t>
      </w:r>
      <w:r w:rsidRPr="00C85BD6">
        <w:rPr>
          <w:rFonts w:cs="Tahoma"/>
          <w:color w:val="000000"/>
          <w:szCs w:val="20"/>
        </w:rPr>
        <w:t>, bem como de qualquer documento a eles relacionados, tais como os aditamentos aos instrumentos que formaliz</w:t>
      </w:r>
      <w:r w:rsidR="00EF0197" w:rsidRPr="00C85BD6">
        <w:rPr>
          <w:rFonts w:cs="Tahoma"/>
          <w:color w:val="000000"/>
          <w:szCs w:val="20"/>
        </w:rPr>
        <w:t>a</w:t>
      </w:r>
      <w:r w:rsidRPr="00C85BD6">
        <w:rPr>
          <w:rFonts w:cs="Tahoma"/>
          <w:color w:val="000000"/>
          <w:szCs w:val="20"/>
        </w:rPr>
        <w:t xml:space="preserve">m as </w:t>
      </w:r>
      <w:r w:rsidR="00C83C7B" w:rsidRPr="00C85BD6">
        <w:rPr>
          <w:rFonts w:cs="Tahoma"/>
          <w:color w:val="000000"/>
          <w:szCs w:val="20"/>
        </w:rPr>
        <w:t>suas respectivas g</w:t>
      </w:r>
      <w:r w:rsidRPr="00C85BD6">
        <w:rPr>
          <w:rFonts w:cs="Tahoma"/>
          <w:color w:val="000000"/>
          <w:szCs w:val="20"/>
        </w:rPr>
        <w:t xml:space="preserve">arantias </w:t>
      </w:r>
      <w:r w:rsidR="00C83C7B" w:rsidRPr="00C85BD6">
        <w:rPr>
          <w:rFonts w:cs="Tahoma"/>
          <w:color w:val="000000"/>
          <w:szCs w:val="20"/>
        </w:rPr>
        <w:t>r</w:t>
      </w:r>
      <w:r w:rsidRPr="00C85BD6">
        <w:rPr>
          <w:rFonts w:cs="Tahoma"/>
          <w:color w:val="000000"/>
          <w:szCs w:val="20"/>
        </w:rPr>
        <w:t xml:space="preserve">eais e </w:t>
      </w:r>
      <w:r w:rsidR="00C83C7B" w:rsidRPr="00C85BD6">
        <w:rPr>
          <w:rFonts w:cs="Tahoma"/>
          <w:color w:val="000000"/>
          <w:szCs w:val="20"/>
        </w:rPr>
        <w:t>c</w:t>
      </w:r>
      <w:r w:rsidRPr="00C85BD6">
        <w:rPr>
          <w:rFonts w:cs="Tahoma"/>
          <w:color w:val="000000"/>
          <w:szCs w:val="20"/>
        </w:rPr>
        <w:t xml:space="preserve">ontrato de </w:t>
      </w:r>
      <w:r w:rsidR="00C83C7B" w:rsidRPr="00C85BD6">
        <w:rPr>
          <w:rFonts w:cs="Tahoma"/>
          <w:color w:val="000000"/>
          <w:szCs w:val="20"/>
        </w:rPr>
        <w:t>c</w:t>
      </w:r>
      <w:r w:rsidRPr="00C85BD6">
        <w:rPr>
          <w:rFonts w:cs="Tahoma"/>
          <w:color w:val="000000"/>
          <w:szCs w:val="20"/>
        </w:rPr>
        <w:t>ompartilhamento de Garantias</w:t>
      </w:r>
      <w:r w:rsidR="006C2301" w:rsidRPr="00C85BD6">
        <w:rPr>
          <w:rFonts w:cs="Tahoma"/>
          <w:color w:val="000000"/>
          <w:szCs w:val="20"/>
        </w:rPr>
        <w:t xml:space="preserve">, </w:t>
      </w:r>
      <w:r w:rsidR="009B6E30" w:rsidRPr="00C85BD6">
        <w:rPr>
          <w:rFonts w:cs="Tahoma"/>
          <w:color w:val="000000"/>
          <w:szCs w:val="20"/>
        </w:rPr>
        <w:t xml:space="preserve">conforme definidos </w:t>
      </w:r>
      <w:r w:rsidR="00FF380A" w:rsidRPr="00C85BD6">
        <w:rPr>
          <w:rFonts w:cs="Tahoma"/>
          <w:color w:val="000000"/>
          <w:szCs w:val="20"/>
        </w:rPr>
        <w:t>na Escritura da 1ª Emissão</w:t>
      </w:r>
      <w:r w:rsidR="00C83C7B" w:rsidRPr="00C85BD6">
        <w:rPr>
          <w:rFonts w:cs="Tahoma"/>
          <w:color w:val="000000"/>
          <w:szCs w:val="20"/>
        </w:rPr>
        <w:t xml:space="preserve"> e no Contrato de Financiamento BNDES</w:t>
      </w:r>
      <w:r w:rsidR="00FF380A" w:rsidRPr="00C85BD6">
        <w:rPr>
          <w:rFonts w:cs="Tahoma"/>
          <w:color w:val="000000"/>
          <w:szCs w:val="20"/>
        </w:rPr>
        <w:t xml:space="preserve">, </w:t>
      </w:r>
      <w:r w:rsidR="00C83C7B" w:rsidRPr="00C85BD6">
        <w:rPr>
          <w:rFonts w:cs="Tahoma"/>
          <w:color w:val="000000"/>
          <w:szCs w:val="20"/>
        </w:rPr>
        <w:t xml:space="preserve">de modo a incluir a Echo Holding 1 S.A. e a Echoenergia Participações S.A. como intervenientes no Contrato de Financiamento BNDES, alterar a curva de amortização das debêntures emitidas nos termos da Escritura da 1ª Emissão, modificar a operacionalização da cascata de pagamentos estabelecida no Contrato de Cessão Fiduciária, dentre outras modificações, </w:t>
      </w:r>
      <w:r w:rsidR="00724B84" w:rsidRPr="00C85BD6">
        <w:rPr>
          <w:rFonts w:cs="Tahoma"/>
          <w:color w:val="000000"/>
          <w:szCs w:val="20"/>
        </w:rPr>
        <w:t xml:space="preserve">desde </w:t>
      </w:r>
      <w:r w:rsidR="00FF380A" w:rsidRPr="00C85BD6">
        <w:rPr>
          <w:rFonts w:cs="Tahoma"/>
          <w:color w:val="000000"/>
          <w:szCs w:val="20"/>
        </w:rPr>
        <w:t xml:space="preserve">que a celebração de tais documentos </w:t>
      </w:r>
      <w:r w:rsidR="00724B84" w:rsidRPr="00C85BD6">
        <w:rPr>
          <w:rFonts w:cs="Tahoma"/>
          <w:color w:val="000000"/>
          <w:szCs w:val="20"/>
        </w:rPr>
        <w:t xml:space="preserve">tenha sido aprovada também </w:t>
      </w:r>
      <w:r w:rsidR="00FF380A" w:rsidRPr="00C85BD6">
        <w:rPr>
          <w:rFonts w:cs="Tahoma"/>
          <w:color w:val="000000"/>
          <w:szCs w:val="20"/>
        </w:rPr>
        <w:t>pelos titulares das debêntures objeto da Escritura da 1ª Emissão</w:t>
      </w:r>
      <w:r w:rsidR="00FF380A" w:rsidRPr="00C85BD6">
        <w:rPr>
          <w:rFonts w:cs="Tahoma"/>
          <w:szCs w:val="20"/>
        </w:rPr>
        <w:t>, em sede de assembleia geral de debenturistas, conforme exigido pela Escritura da 1ª Emissão</w:t>
      </w:r>
      <w:r w:rsidR="006C2301" w:rsidRPr="00C85BD6">
        <w:rPr>
          <w:rFonts w:eastAsia="Calibri" w:cs="Tahoma"/>
          <w:bCs/>
          <w:color w:val="000000"/>
          <w:szCs w:val="20"/>
        </w:rPr>
        <w:t>.</w:t>
      </w:r>
      <w:r w:rsidR="009B6E30" w:rsidRPr="00C85BD6">
        <w:rPr>
          <w:rFonts w:cs="Tahoma"/>
          <w:color w:val="000000"/>
          <w:szCs w:val="20"/>
        </w:rPr>
        <w:t xml:space="preserve"> </w:t>
      </w:r>
    </w:p>
    <w:p w14:paraId="0AB0AEE6" w14:textId="10C9F632" w:rsidR="00E10F4A" w:rsidRPr="00C85BD6" w:rsidRDefault="00E10F4A" w:rsidP="002334BF">
      <w:pPr>
        <w:pStyle w:val="Level1"/>
        <w:numPr>
          <w:ilvl w:val="0"/>
          <w:numId w:val="16"/>
        </w:numPr>
        <w:spacing w:after="240" w:line="320" w:lineRule="exact"/>
        <w:ind w:left="0" w:firstLine="0"/>
        <w:outlineLvl w:val="9"/>
        <w:rPr>
          <w:rStyle w:val="DeltaViewInsertion"/>
          <w:rFonts w:eastAsiaTheme="minorEastAsia" w:cs="Tahoma"/>
          <w:b/>
          <w:color w:val="auto"/>
          <w:szCs w:val="20"/>
          <w:u w:val="none"/>
        </w:rPr>
      </w:pPr>
      <w:r w:rsidRPr="00C85BD6">
        <w:rPr>
          <w:rFonts w:cs="Tahoma"/>
          <w:szCs w:val="20"/>
        </w:rPr>
        <w:t>A</w:t>
      </w:r>
      <w:r w:rsidR="001977E6" w:rsidRPr="00C85BD6">
        <w:rPr>
          <w:rFonts w:cs="Tahoma"/>
          <w:szCs w:val="20"/>
        </w:rPr>
        <w:t>utorizar a diretoria da Companhia, ou seus procuradores, a praticar todos os atos necessários e/ou convenientes à realização da Emissão e/ou da Oferta Restrita</w:t>
      </w:r>
      <w:r w:rsidR="008B2276" w:rsidRPr="00C85BD6">
        <w:rPr>
          <w:rFonts w:cs="Tahoma"/>
          <w:szCs w:val="20"/>
        </w:rPr>
        <w:t>,</w:t>
      </w:r>
      <w:r w:rsidR="00EF0197" w:rsidRPr="00C85BD6">
        <w:rPr>
          <w:rFonts w:cs="Tahoma"/>
          <w:szCs w:val="20"/>
        </w:rPr>
        <w:t xml:space="preserve"> </w:t>
      </w:r>
      <w:r w:rsidR="008B2276" w:rsidRPr="00C85BD6">
        <w:rPr>
          <w:rFonts w:cs="Tahoma"/>
          <w:szCs w:val="20"/>
        </w:rPr>
        <w:t xml:space="preserve"> bem como ratificar os atos necessários e/ou convenientes à realização da Emissão e/ou da Oferta Restrita, já praticados</w:t>
      </w:r>
      <w:r w:rsidR="001977E6" w:rsidRPr="00C85BD6">
        <w:rPr>
          <w:rFonts w:cs="Tahoma"/>
          <w:szCs w:val="20"/>
        </w:rPr>
        <w:t xml:space="preserve">, incluindo, mas não se limitando, </w:t>
      </w:r>
      <w:bookmarkStart w:id="187" w:name="_DV_M197"/>
      <w:bookmarkStart w:id="188" w:name="Texto752"/>
      <w:bookmarkStart w:id="189" w:name="_DV_M198"/>
      <w:bookmarkStart w:id="190" w:name="_DV_M199"/>
      <w:bookmarkStart w:id="191" w:name="_DV_M200"/>
      <w:bookmarkStart w:id="192" w:name="_DV_C306"/>
      <w:bookmarkEnd w:id="187"/>
      <w:bookmarkEnd w:id="188"/>
      <w:bookmarkEnd w:id="189"/>
      <w:bookmarkEnd w:id="190"/>
      <w:bookmarkEnd w:id="191"/>
      <w:r w:rsidRPr="00C85BD6">
        <w:rPr>
          <w:rFonts w:cs="Tahoma"/>
          <w:szCs w:val="20"/>
        </w:rPr>
        <w:t>(i) </w:t>
      </w:r>
      <w:r w:rsidR="000D6D23" w:rsidRPr="00C85BD6">
        <w:rPr>
          <w:rFonts w:cs="Tahoma"/>
          <w:szCs w:val="20"/>
        </w:rPr>
        <w:t xml:space="preserve">a celebração </w:t>
      </w:r>
      <w:r w:rsidR="002F597C" w:rsidRPr="00C85BD6">
        <w:rPr>
          <w:rFonts w:cs="Tahoma"/>
          <w:szCs w:val="20"/>
        </w:rPr>
        <w:t xml:space="preserve">dos Documentos da Emissão, (ii) </w:t>
      </w:r>
      <w:r w:rsidRPr="00C85BD6">
        <w:rPr>
          <w:rFonts w:cs="Tahoma"/>
          <w:szCs w:val="20"/>
        </w:rPr>
        <w:t xml:space="preserve">a contratação </w:t>
      </w:r>
      <w:r w:rsidR="002F597C" w:rsidRPr="00C85BD6">
        <w:rPr>
          <w:rFonts w:cs="Tahoma"/>
          <w:szCs w:val="20"/>
        </w:rPr>
        <w:t>d</w:t>
      </w:r>
      <w:r w:rsidR="008B2276" w:rsidRPr="00C85BD6">
        <w:rPr>
          <w:rFonts w:cs="Tahoma"/>
          <w:szCs w:val="20"/>
        </w:rPr>
        <w:t xml:space="preserve">o Coordenador Líder </w:t>
      </w:r>
      <w:r w:rsidRPr="00C85BD6">
        <w:rPr>
          <w:rFonts w:cs="Tahoma"/>
          <w:szCs w:val="20"/>
        </w:rPr>
        <w:t>para realizar a distribuição pública das Debêntures, com esforços restritos, nos termos da Instrução CVM 476; (ii</w:t>
      </w:r>
      <w:r w:rsidR="002F597C" w:rsidRPr="00C85BD6">
        <w:rPr>
          <w:rFonts w:cs="Tahoma"/>
          <w:szCs w:val="20"/>
        </w:rPr>
        <w:t>i</w:t>
      </w:r>
      <w:r w:rsidRPr="00C85BD6">
        <w:rPr>
          <w:rFonts w:cs="Tahoma"/>
          <w:szCs w:val="20"/>
        </w:rPr>
        <w:t>) a contra</w:t>
      </w:r>
      <w:r w:rsidR="00767512" w:rsidRPr="00C85BD6">
        <w:rPr>
          <w:rFonts w:cs="Tahoma"/>
          <w:szCs w:val="20"/>
        </w:rPr>
        <w:t>ta</w:t>
      </w:r>
      <w:r w:rsidRPr="00C85BD6">
        <w:rPr>
          <w:rFonts w:cs="Tahoma"/>
          <w:szCs w:val="20"/>
        </w:rPr>
        <w:t xml:space="preserve">ção dos demais prestadores de serviços inerentes à Emissão, à Oferta Restrita e às Debêntures, incluindo, sem limitação, o </w:t>
      </w:r>
      <w:r w:rsidR="008B2276" w:rsidRPr="00C85BD6">
        <w:rPr>
          <w:rFonts w:cs="Tahoma"/>
          <w:szCs w:val="20"/>
        </w:rPr>
        <w:t>E</w:t>
      </w:r>
      <w:r w:rsidRPr="00C85BD6">
        <w:rPr>
          <w:rFonts w:cs="Tahoma"/>
          <w:szCs w:val="20"/>
        </w:rPr>
        <w:t xml:space="preserve">scriturador, o </w:t>
      </w:r>
      <w:r w:rsidR="008B2276" w:rsidRPr="00C85BD6">
        <w:rPr>
          <w:rFonts w:cs="Tahoma"/>
          <w:szCs w:val="20"/>
        </w:rPr>
        <w:t>B</w:t>
      </w:r>
      <w:r w:rsidRPr="00C85BD6">
        <w:rPr>
          <w:rFonts w:cs="Tahoma"/>
          <w:szCs w:val="20"/>
        </w:rPr>
        <w:t xml:space="preserve">anco </w:t>
      </w:r>
      <w:r w:rsidR="008B2276" w:rsidRPr="00C85BD6">
        <w:rPr>
          <w:rFonts w:cs="Tahoma"/>
          <w:szCs w:val="20"/>
        </w:rPr>
        <w:t>L</w:t>
      </w:r>
      <w:r w:rsidRPr="00C85BD6">
        <w:rPr>
          <w:rFonts w:cs="Tahoma"/>
          <w:szCs w:val="20"/>
        </w:rPr>
        <w:t>iqu</w:t>
      </w:r>
      <w:r w:rsidR="008B2276" w:rsidRPr="00C85BD6">
        <w:rPr>
          <w:rFonts w:cs="Tahoma"/>
          <w:szCs w:val="20"/>
        </w:rPr>
        <w:t xml:space="preserve">idante, o Agente Fiduciário, os </w:t>
      </w:r>
      <w:r w:rsidRPr="00C85BD6">
        <w:rPr>
          <w:rFonts w:cs="Tahoma"/>
          <w:szCs w:val="20"/>
        </w:rPr>
        <w:t>assessores legais, a B3, dentre outros; e (</w:t>
      </w:r>
      <w:r w:rsidR="002F597C" w:rsidRPr="00C85BD6">
        <w:rPr>
          <w:rFonts w:cs="Tahoma"/>
          <w:szCs w:val="20"/>
        </w:rPr>
        <w:t>iv</w:t>
      </w:r>
      <w:r w:rsidRPr="00C85BD6">
        <w:rPr>
          <w:rFonts w:cs="Tahoma"/>
          <w:szCs w:val="20"/>
        </w:rPr>
        <w:t xml:space="preserve">) praticar todo e qualquer </w:t>
      </w:r>
      <w:r w:rsidR="002F597C" w:rsidRPr="00C85BD6">
        <w:rPr>
          <w:rFonts w:cs="Tahoma"/>
          <w:szCs w:val="20"/>
        </w:rPr>
        <w:t xml:space="preserve">outro </w:t>
      </w:r>
      <w:r w:rsidRPr="00C85BD6">
        <w:rPr>
          <w:rFonts w:cs="Tahoma"/>
          <w:szCs w:val="20"/>
        </w:rPr>
        <w:t>ato necessário à realização da Oferta Restrita e da Emissão</w:t>
      </w:r>
      <w:r w:rsidR="00EF0197" w:rsidRPr="00C85BD6">
        <w:rPr>
          <w:rFonts w:cs="Tahoma"/>
          <w:szCs w:val="20"/>
        </w:rPr>
        <w:t xml:space="preserve">, </w:t>
      </w:r>
      <w:r w:rsidR="00EF0197" w:rsidRPr="00C85BD6">
        <w:rPr>
          <w:rFonts w:cs="Tahoma"/>
          <w:szCs w:val="20"/>
        </w:rPr>
        <w:lastRenderedPageBreak/>
        <w:t>bem como à celebração dos Documentos da Reestruturação</w:t>
      </w:r>
      <w:r w:rsidR="001C0367" w:rsidRPr="00C85BD6">
        <w:rPr>
          <w:rFonts w:cs="Tahoma"/>
          <w:szCs w:val="20"/>
        </w:rPr>
        <w:t xml:space="preserve"> e </w:t>
      </w:r>
      <w:r w:rsidR="001C0367" w:rsidRPr="00C85BD6">
        <w:rPr>
          <w:rFonts w:cs="Tahoma"/>
          <w:color w:val="000000"/>
          <w:szCs w:val="20"/>
        </w:rPr>
        <w:t>de qualquer documento a eles relacionados</w:t>
      </w:r>
      <w:r w:rsidR="001F6ACE" w:rsidRPr="00C85BD6">
        <w:rPr>
          <w:rFonts w:cs="Tahoma"/>
          <w:szCs w:val="20"/>
        </w:rPr>
        <w:t>.</w:t>
      </w:r>
      <w:bookmarkEnd w:id="192"/>
    </w:p>
    <w:p w14:paraId="37327496" w14:textId="745DCC44" w:rsidR="00E10F4A" w:rsidRPr="00C85BD6" w:rsidRDefault="00E10F4A" w:rsidP="002334BF">
      <w:pPr>
        <w:pStyle w:val="PargrafodaLista"/>
        <w:numPr>
          <w:ilvl w:val="0"/>
          <w:numId w:val="21"/>
        </w:numPr>
        <w:spacing w:after="240" w:line="320" w:lineRule="exact"/>
        <w:contextualSpacing w:val="0"/>
        <w:outlineLvl w:val="0"/>
        <w:rPr>
          <w:rFonts w:cs="Tahoma"/>
        </w:rPr>
      </w:pPr>
      <w:bookmarkStart w:id="193" w:name="_DV_M201"/>
      <w:bookmarkEnd w:id="193"/>
      <w:r w:rsidRPr="00C85BD6">
        <w:rPr>
          <w:rFonts w:eastAsia="MS Mincho" w:cs="Tahoma"/>
          <w:b/>
        </w:rPr>
        <w:t>ENCERRAMENTO</w:t>
      </w:r>
      <w:r w:rsidRPr="00C85BD6">
        <w:rPr>
          <w:rFonts w:eastAsia="MS Mincho" w:cs="Tahoma"/>
        </w:rPr>
        <w:t xml:space="preserve">: </w:t>
      </w:r>
      <w:r w:rsidRPr="00C85BD6">
        <w:rPr>
          <w:rFonts w:cs="Tahoma"/>
        </w:rPr>
        <w:t xml:space="preserve">Após tomadas e aprovadas as deliberações, foi oferecida a palavra a quem dela quisesse fazer uso e, como ninguém se manifestou, foram dados por encerrados os trabalhos, lavrando-se a presente ata na forma sumária, nos termos parágrafo 1º do art. 130 da Lei das Sociedades por Ações que, após lida e aprovada, foi assinada por todos os presentes. </w:t>
      </w:r>
      <w:r w:rsidRPr="00C85BD6">
        <w:rPr>
          <w:rFonts w:cs="Tahoma"/>
          <w:u w:val="single"/>
        </w:rPr>
        <w:t>Mesa</w:t>
      </w:r>
      <w:r w:rsidRPr="00C85BD6">
        <w:rPr>
          <w:rFonts w:cs="Tahoma"/>
        </w:rPr>
        <w:t xml:space="preserve">: Presidente – </w:t>
      </w:r>
      <w:r w:rsidR="000D34D6" w:rsidRPr="00C85BD6">
        <w:rPr>
          <w:rFonts w:cs="Tahoma"/>
        </w:rPr>
        <w:t>Lara Monteiro da Silva</w:t>
      </w:r>
      <w:r w:rsidRPr="00C85BD6">
        <w:rPr>
          <w:rFonts w:cs="Tahoma"/>
        </w:rPr>
        <w:t xml:space="preserve"> e Secretário – </w:t>
      </w:r>
      <w:r w:rsidR="000D34D6" w:rsidRPr="00C85BD6">
        <w:rPr>
          <w:rFonts w:cs="Tahoma"/>
        </w:rPr>
        <w:t>Mario Harry Lavoura</w:t>
      </w:r>
      <w:r w:rsidRPr="00C85BD6">
        <w:rPr>
          <w:rFonts w:cs="Tahoma"/>
        </w:rPr>
        <w:t xml:space="preserve">. </w:t>
      </w:r>
      <w:r w:rsidRPr="00C85BD6">
        <w:rPr>
          <w:rFonts w:cs="Tahoma"/>
          <w:u w:val="single"/>
        </w:rPr>
        <w:t>Acionista</w:t>
      </w:r>
      <w:r w:rsidRPr="00C85BD6">
        <w:rPr>
          <w:rFonts w:cs="Tahoma"/>
        </w:rPr>
        <w:t xml:space="preserve">: </w:t>
      </w:r>
      <w:r w:rsidR="00767512" w:rsidRPr="00C85BD6">
        <w:rPr>
          <w:rFonts w:cs="Tahoma"/>
        </w:rPr>
        <w:t>Echo Holding I</w:t>
      </w:r>
      <w:r w:rsidR="008521C0" w:rsidRPr="00C85BD6">
        <w:rPr>
          <w:rFonts w:cs="Tahoma"/>
        </w:rPr>
        <w:t xml:space="preserve"> S.A</w:t>
      </w:r>
      <w:r w:rsidR="00767512" w:rsidRPr="00C85BD6">
        <w:rPr>
          <w:rFonts w:cs="Tahoma"/>
        </w:rPr>
        <w:t>.</w:t>
      </w:r>
      <w:r w:rsidRPr="00C85BD6">
        <w:rPr>
          <w:rFonts w:cs="Tahoma"/>
        </w:rPr>
        <w:t xml:space="preserve"> </w:t>
      </w:r>
    </w:p>
    <w:p w14:paraId="25AF7FD3" w14:textId="77777777" w:rsidR="00E10F4A" w:rsidRPr="00C85BD6" w:rsidRDefault="00E10F4A" w:rsidP="002334BF">
      <w:pPr>
        <w:spacing w:after="240" w:line="320" w:lineRule="exact"/>
        <w:jc w:val="center"/>
        <w:rPr>
          <w:rFonts w:eastAsia="MS Mincho" w:cs="Tahoma"/>
          <w:color w:val="000000"/>
        </w:rPr>
      </w:pPr>
      <w:r w:rsidRPr="00C85BD6">
        <w:rPr>
          <w:rFonts w:cs="Tahoma"/>
        </w:rPr>
        <w:t>A presente ata é cópia fiel da que foi lavrada em livro próprio, do que damos fé.</w:t>
      </w:r>
    </w:p>
    <w:p w14:paraId="58C7999E" w14:textId="33349EC1" w:rsidR="00E10F4A" w:rsidRPr="00C85BD6" w:rsidRDefault="00EE01BF" w:rsidP="002334BF">
      <w:pPr>
        <w:pStyle w:val="Item"/>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838"/>
        </w:tabs>
        <w:spacing w:after="240" w:line="320" w:lineRule="exact"/>
        <w:ind w:left="0" w:firstLine="0"/>
        <w:jc w:val="center"/>
        <w:rPr>
          <w:rFonts w:cs="Tahoma"/>
          <w:color w:val="000000"/>
          <w:sz w:val="20"/>
        </w:rPr>
      </w:pPr>
      <w:bookmarkStart w:id="194" w:name="_DV_M204"/>
      <w:bookmarkEnd w:id="194"/>
      <w:r w:rsidRPr="00C85BD6">
        <w:rPr>
          <w:rFonts w:cs="Tahoma"/>
          <w:color w:val="000000"/>
          <w:sz w:val="20"/>
        </w:rPr>
        <w:t>Fortaleza</w:t>
      </w:r>
      <w:r w:rsidR="00E10F4A" w:rsidRPr="00C85BD6">
        <w:rPr>
          <w:rFonts w:cs="Tahoma"/>
          <w:color w:val="000000"/>
          <w:sz w:val="20"/>
        </w:rPr>
        <w:t xml:space="preserve">, </w:t>
      </w:r>
      <w:r w:rsidR="008B331D" w:rsidRPr="00C85BD6">
        <w:rPr>
          <w:rFonts w:cs="Tahoma"/>
          <w:color w:val="000000"/>
          <w:sz w:val="20"/>
        </w:rPr>
        <w:t xml:space="preserve">06 </w:t>
      </w:r>
      <w:r w:rsidR="00E10F4A" w:rsidRPr="00C85BD6">
        <w:rPr>
          <w:rFonts w:cs="Tahoma"/>
          <w:color w:val="000000"/>
          <w:sz w:val="20"/>
        </w:rPr>
        <w:t xml:space="preserve">de </w:t>
      </w:r>
      <w:r w:rsidR="008521C0" w:rsidRPr="00C85BD6">
        <w:rPr>
          <w:rFonts w:cs="Tahoma"/>
          <w:color w:val="000000"/>
          <w:sz w:val="20"/>
        </w:rPr>
        <w:t xml:space="preserve">abril </w:t>
      </w:r>
      <w:r w:rsidR="00E10F4A" w:rsidRPr="00C85BD6">
        <w:rPr>
          <w:rFonts w:cs="Tahoma"/>
          <w:color w:val="000000"/>
          <w:sz w:val="20"/>
        </w:rPr>
        <w:t xml:space="preserve">de </w:t>
      </w:r>
      <w:r w:rsidRPr="00C85BD6">
        <w:rPr>
          <w:rFonts w:cs="Tahoma"/>
          <w:color w:val="000000"/>
          <w:sz w:val="20"/>
        </w:rPr>
        <w:t>2020</w:t>
      </w:r>
      <w:r w:rsidR="00E10F4A" w:rsidRPr="00C85BD6">
        <w:rPr>
          <w:rFonts w:cs="Tahoma"/>
          <w:color w:val="000000"/>
          <w:sz w:val="20"/>
        </w:rPr>
        <w:t>.</w:t>
      </w:r>
    </w:p>
    <w:p w14:paraId="7C5D25AD" w14:textId="77777777" w:rsidR="00E10F4A" w:rsidRPr="00C85BD6" w:rsidRDefault="00E10F4A" w:rsidP="002334BF">
      <w:pPr>
        <w:spacing w:after="240" w:line="320" w:lineRule="exact"/>
        <w:rPr>
          <w:rFonts w:eastAsia="MS Mincho" w:cs="Tahoma"/>
        </w:rPr>
      </w:pPr>
    </w:p>
    <w:p w14:paraId="1C7B518A" w14:textId="77777777" w:rsidR="00E10F4A" w:rsidRPr="00C85BD6" w:rsidRDefault="00E10F4A" w:rsidP="002334BF">
      <w:pPr>
        <w:spacing w:after="240" w:line="320" w:lineRule="exact"/>
        <w:jc w:val="center"/>
        <w:rPr>
          <w:rFonts w:eastAsia="MS Mincho" w:cs="Tahoma"/>
        </w:rPr>
      </w:pPr>
    </w:p>
    <w:tbl>
      <w:tblPr>
        <w:tblW w:w="0" w:type="auto"/>
        <w:tblInd w:w="-108" w:type="dxa"/>
        <w:tblLook w:val="0000" w:firstRow="0" w:lastRow="0" w:firstColumn="0" w:lastColumn="0" w:noHBand="0" w:noVBand="0"/>
      </w:tblPr>
      <w:tblGrid>
        <w:gridCol w:w="4306"/>
        <w:gridCol w:w="4306"/>
      </w:tblGrid>
      <w:tr w:rsidR="00E10F4A" w:rsidRPr="00C85BD6" w14:paraId="53C3EDAA" w14:textId="77777777" w:rsidTr="00157E85">
        <w:tc>
          <w:tcPr>
            <w:tcW w:w="4839" w:type="dxa"/>
            <w:tcBorders>
              <w:top w:val="nil"/>
              <w:left w:val="nil"/>
              <w:bottom w:val="nil"/>
              <w:right w:val="nil"/>
            </w:tcBorders>
          </w:tcPr>
          <w:p w14:paraId="41F3DFFE" w14:textId="685AFEA3" w:rsidR="00E10F4A" w:rsidRPr="00C85BD6" w:rsidRDefault="00E10F4A" w:rsidP="002334BF">
            <w:pPr>
              <w:spacing w:after="240" w:line="320" w:lineRule="exact"/>
              <w:jc w:val="center"/>
              <w:rPr>
                <w:rFonts w:eastAsia="MS Mincho" w:cs="Tahoma"/>
              </w:rPr>
            </w:pPr>
            <w:r w:rsidRPr="00C85BD6">
              <w:rPr>
                <w:rFonts w:eastAsia="MS Mincho" w:cs="Tahoma"/>
              </w:rPr>
              <w:t>__________________________________</w:t>
            </w:r>
          </w:p>
          <w:p w14:paraId="53D24001" w14:textId="250A4905" w:rsidR="0090049D" w:rsidRPr="00C85BD6" w:rsidRDefault="000D34D6" w:rsidP="002334BF">
            <w:pPr>
              <w:spacing w:after="240" w:line="320" w:lineRule="exact"/>
              <w:jc w:val="center"/>
              <w:outlineLvl w:val="0"/>
              <w:rPr>
                <w:rFonts w:cs="Tahoma"/>
              </w:rPr>
            </w:pPr>
            <w:r w:rsidRPr="00C85BD6">
              <w:rPr>
                <w:rFonts w:cs="Tahoma"/>
              </w:rPr>
              <w:t>Lara Monteiro da Silva</w:t>
            </w:r>
          </w:p>
          <w:p w14:paraId="43E4EA57" w14:textId="59BD722E" w:rsidR="00E10F4A" w:rsidRPr="00C85BD6" w:rsidRDefault="00E10F4A" w:rsidP="002334BF">
            <w:pPr>
              <w:spacing w:after="240" w:line="320" w:lineRule="exact"/>
              <w:jc w:val="center"/>
              <w:outlineLvl w:val="0"/>
              <w:rPr>
                <w:rFonts w:eastAsia="MS Mincho" w:cs="Tahoma"/>
              </w:rPr>
            </w:pPr>
            <w:r w:rsidRPr="00C85BD6">
              <w:rPr>
                <w:rFonts w:eastAsia="MS Mincho" w:cs="Tahoma"/>
              </w:rPr>
              <w:t>Presidente</w:t>
            </w:r>
          </w:p>
        </w:tc>
        <w:tc>
          <w:tcPr>
            <w:tcW w:w="4839" w:type="dxa"/>
            <w:tcBorders>
              <w:top w:val="nil"/>
              <w:left w:val="nil"/>
              <w:bottom w:val="nil"/>
              <w:right w:val="nil"/>
            </w:tcBorders>
          </w:tcPr>
          <w:p w14:paraId="3FFEE7FE" w14:textId="69010CF5" w:rsidR="00E10F4A" w:rsidRPr="00C85BD6" w:rsidRDefault="00E10F4A" w:rsidP="002334BF">
            <w:pPr>
              <w:spacing w:after="240" w:line="320" w:lineRule="exact"/>
              <w:jc w:val="center"/>
              <w:rPr>
                <w:rFonts w:eastAsia="MS Mincho" w:cs="Tahoma"/>
              </w:rPr>
            </w:pPr>
            <w:r w:rsidRPr="00C85BD6">
              <w:rPr>
                <w:rFonts w:eastAsia="MS Mincho" w:cs="Tahoma"/>
              </w:rPr>
              <w:t>__________________________________</w:t>
            </w:r>
          </w:p>
          <w:p w14:paraId="77EC3A40" w14:textId="121F05C2" w:rsidR="0090049D" w:rsidRPr="00C85BD6" w:rsidRDefault="000D34D6" w:rsidP="002334BF">
            <w:pPr>
              <w:spacing w:after="240" w:line="320" w:lineRule="exact"/>
              <w:jc w:val="center"/>
              <w:rPr>
                <w:rFonts w:cs="Tahoma"/>
              </w:rPr>
            </w:pPr>
            <w:bookmarkStart w:id="195" w:name="_DV_C316"/>
            <w:r w:rsidRPr="00C85BD6">
              <w:rPr>
                <w:rFonts w:cs="Tahoma"/>
              </w:rPr>
              <w:t>Mario Harry Lavoura</w:t>
            </w:r>
          </w:p>
          <w:p w14:paraId="3116D3B1" w14:textId="27836CA8" w:rsidR="00E10F4A" w:rsidRPr="00C85BD6" w:rsidRDefault="00E10F4A" w:rsidP="002334BF">
            <w:pPr>
              <w:spacing w:after="240" w:line="320" w:lineRule="exact"/>
              <w:jc w:val="center"/>
              <w:rPr>
                <w:rFonts w:eastAsia="MS Mincho" w:cs="Tahoma"/>
              </w:rPr>
            </w:pPr>
            <w:r w:rsidRPr="00C85BD6">
              <w:rPr>
                <w:rFonts w:eastAsia="MS Mincho" w:cs="Tahoma"/>
              </w:rPr>
              <w:t>Secretário</w:t>
            </w:r>
            <w:bookmarkEnd w:id="195"/>
          </w:p>
        </w:tc>
      </w:tr>
    </w:tbl>
    <w:p w14:paraId="1E816DB9" w14:textId="77777777" w:rsidR="00F223B2" w:rsidRPr="00C85BD6" w:rsidRDefault="00F223B2" w:rsidP="002334BF">
      <w:pPr>
        <w:pStyle w:val="Level1"/>
        <w:numPr>
          <w:ilvl w:val="0"/>
          <w:numId w:val="0"/>
        </w:numPr>
        <w:spacing w:after="240" w:line="320" w:lineRule="exact"/>
        <w:ind w:left="680" w:hanging="680"/>
        <w:outlineLvl w:val="9"/>
        <w:rPr>
          <w:rFonts w:cs="Tahoma"/>
          <w:szCs w:val="20"/>
        </w:rPr>
      </w:pPr>
    </w:p>
    <w:sectPr w:rsidR="00F223B2" w:rsidRPr="00C85BD6" w:rsidSect="003A49E9">
      <w:headerReference w:type="default" r:id="rId11"/>
      <w:footerReference w:type="default" r:id="rId12"/>
      <w:pgSz w:w="11906" w:h="16838"/>
      <w:pgMar w:top="297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CD4CF" w14:textId="77777777" w:rsidR="00065DC5" w:rsidRDefault="00065DC5" w:rsidP="00AE6E43">
      <w:r>
        <w:separator/>
      </w:r>
    </w:p>
  </w:endnote>
  <w:endnote w:type="continuationSeparator" w:id="0">
    <w:p w14:paraId="7FEEAD58" w14:textId="77777777" w:rsidR="00065DC5" w:rsidRDefault="00065DC5" w:rsidP="00AE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C5488" w14:textId="77777777" w:rsidR="00AE6E43" w:rsidRDefault="00AE6E43" w:rsidP="00054990">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E7984" w14:textId="77777777" w:rsidR="00065DC5" w:rsidRDefault="00065DC5" w:rsidP="00AE6E43">
      <w:r>
        <w:separator/>
      </w:r>
    </w:p>
  </w:footnote>
  <w:footnote w:type="continuationSeparator" w:id="0">
    <w:p w14:paraId="60FC6D8A" w14:textId="77777777" w:rsidR="00065DC5" w:rsidRDefault="00065DC5" w:rsidP="00AE6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0DD41" w14:textId="77777777" w:rsidR="00054990" w:rsidRPr="00054990" w:rsidRDefault="00054990" w:rsidP="00054990">
    <w:pPr>
      <w:pStyle w:val="Cabealho"/>
      <w:jc w:val="right"/>
      <w:rPr>
        <w:rFonts w:cs="Tahoma"/>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110"/>
    <w:multiLevelType w:val="hybridMultilevel"/>
    <w:tmpl w:val="73DAFE42"/>
    <w:lvl w:ilvl="0" w:tplc="8B02420E">
      <w:start w:val="9"/>
      <w:numFmt w:val="lowerLetter"/>
      <w:lvlText w:val="(%1)"/>
      <w:lvlJc w:val="left"/>
      <w:pPr>
        <w:ind w:left="1070" w:hanging="360"/>
      </w:pPr>
      <w:rPr>
        <w:rFonts w:hint="default"/>
        <w:u w:val="single"/>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15:restartNumberingAfterBreak="0">
    <w:nsid w:val="078F20BF"/>
    <w:multiLevelType w:val="multilevel"/>
    <w:tmpl w:val="81C4B33E"/>
    <w:lvl w:ilvl="0">
      <w:start w:val="1"/>
      <w:numFmt w:val="decimal"/>
      <w:lvlText w:val="%1."/>
      <w:lvlJc w:val="left"/>
      <w:pPr>
        <w:ind w:left="0" w:firstLine="0"/>
      </w:pPr>
      <w:rPr>
        <w:rFonts w:hint="default"/>
        <w:b/>
      </w:rPr>
    </w:lvl>
    <w:lvl w:ilvl="1">
      <w:start w:val="1"/>
      <w:numFmt w:val="decimal"/>
      <w:lvlText w:val="%1.%2."/>
      <w:lvlJc w:val="left"/>
      <w:pPr>
        <w:ind w:left="709" w:hanging="709"/>
      </w:pPr>
      <w:rPr>
        <w:rFonts w:hint="default"/>
        <w:b/>
        <w:i w:val="0"/>
      </w:rPr>
    </w:lvl>
    <w:lvl w:ilvl="2">
      <w:start w:val="1"/>
      <w:numFmt w:val="decimal"/>
      <w:lvlText w:val="%1.%2.%3."/>
      <w:lvlJc w:val="left"/>
      <w:pPr>
        <w:ind w:left="2694" w:hanging="709"/>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722B8E"/>
    <w:multiLevelType w:val="hybridMultilevel"/>
    <w:tmpl w:val="1A962FFA"/>
    <w:lvl w:ilvl="0" w:tplc="EB5A5EF6">
      <w:start w:val="1"/>
      <w:numFmt w:val="decimal"/>
      <w:lvlText w:val="%1."/>
      <w:lvlJc w:val="left"/>
      <w:pPr>
        <w:ind w:left="0"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FD1A79AC"/>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none"/>
      <w:pStyle w:val="Level4"/>
      <w:lvlText w:val="6.8.4.1"/>
      <w:lvlJc w:val="left"/>
      <w:pPr>
        <w:tabs>
          <w:tab w:val="num" w:pos="2041"/>
        </w:tabs>
        <w:ind w:left="2041" w:hanging="680"/>
      </w:pPr>
      <w:rPr>
        <w:rFonts w:ascii="Tahoma" w:hAnsi="Tahoma" w:cs="Tahoma" w:hint="default"/>
        <w:b/>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A8034A"/>
    <w:multiLevelType w:val="hybridMultilevel"/>
    <w:tmpl w:val="7D94FC06"/>
    <w:lvl w:ilvl="0" w:tplc="F0E8B85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19E63E3"/>
    <w:multiLevelType w:val="hybridMultilevel"/>
    <w:tmpl w:val="1CD0A530"/>
    <w:lvl w:ilvl="0" w:tplc="B8CE37C4">
      <w:start w:val="1"/>
      <w:numFmt w:val="lowerRoman"/>
      <w:lvlText w:val="(%1)"/>
      <w:lvlJc w:val="left"/>
      <w:pPr>
        <w:tabs>
          <w:tab w:val="num" w:pos="1134"/>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2C3674"/>
    <w:multiLevelType w:val="hybridMultilevel"/>
    <w:tmpl w:val="14601896"/>
    <w:lvl w:ilvl="0" w:tplc="87B4694C">
      <w:start w:val="1"/>
      <w:numFmt w:val="lowerLetter"/>
      <w:lvlText w:val="(%1)"/>
      <w:lvlJc w:val="left"/>
      <w:pPr>
        <w:ind w:left="1070" w:hanging="360"/>
      </w:pPr>
      <w:rPr>
        <w:rFonts w:ascii="Tahoma" w:hAnsi="Tahoma" w:cs="Tahoma" w:hint="default"/>
        <w:b/>
        <w:i w:val="0"/>
        <w:sz w:val="22"/>
        <w:szCs w:val="22"/>
      </w:rPr>
    </w:lvl>
    <w:lvl w:ilvl="1" w:tplc="7962323A">
      <w:start w:val="1"/>
      <w:numFmt w:val="lowerRoman"/>
      <w:lvlText w:val="%2."/>
      <w:lvlJc w:val="right"/>
      <w:pPr>
        <w:ind w:left="1790" w:hanging="360"/>
      </w:pPr>
      <w:rPr>
        <w:b w:val="0"/>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 w15:restartNumberingAfterBreak="0">
    <w:nsid w:val="39326341"/>
    <w:multiLevelType w:val="hybridMultilevel"/>
    <w:tmpl w:val="1A56AA08"/>
    <w:lvl w:ilvl="0" w:tplc="D64E060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B16AE9"/>
    <w:multiLevelType w:val="hybridMultilevel"/>
    <w:tmpl w:val="E65E23A8"/>
    <w:lvl w:ilvl="0" w:tplc="8214CECC">
      <w:start w:val="1"/>
      <w:numFmt w:val="upp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B0578E1"/>
    <w:multiLevelType w:val="multilevel"/>
    <w:tmpl w:val="27E49D48"/>
    <w:lvl w:ilvl="0">
      <w:start w:val="6"/>
      <w:numFmt w:val="decimal"/>
      <w:lvlText w:val="%1."/>
      <w:lvlJc w:val="left"/>
      <w:pPr>
        <w:ind w:left="600" w:hanging="600"/>
      </w:pPr>
      <w:rPr>
        <w:rFonts w:hint="default"/>
      </w:rPr>
    </w:lvl>
    <w:lvl w:ilvl="1">
      <w:start w:val="21"/>
      <w:numFmt w:val="decimal"/>
      <w:lvlText w:val="%1.%2."/>
      <w:lvlJc w:val="left"/>
      <w:pPr>
        <w:ind w:left="1060" w:hanging="720"/>
      </w:pPr>
      <w:rPr>
        <w:rFonts w:hint="default"/>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0" w15:restartNumberingAfterBreak="0">
    <w:nsid w:val="3F3816EA"/>
    <w:multiLevelType w:val="hybridMultilevel"/>
    <w:tmpl w:val="7AFA5C90"/>
    <w:lvl w:ilvl="0" w:tplc="65BEB7D4">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6A08DD"/>
    <w:multiLevelType w:val="hybridMultilevel"/>
    <w:tmpl w:val="C9066124"/>
    <w:lvl w:ilvl="0" w:tplc="5E184CEA">
      <w:start w:val="2"/>
      <w:numFmt w:val="lowerRoman"/>
      <w:lvlText w:val="(%1)"/>
      <w:lvlJc w:val="left"/>
      <w:pPr>
        <w:ind w:left="1430" w:hanging="720"/>
      </w:pPr>
      <w:rPr>
        <w:rFonts w:hint="default"/>
        <w:u w:val="single"/>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2" w15:restartNumberingAfterBreak="0">
    <w:nsid w:val="48D72DDC"/>
    <w:multiLevelType w:val="hybridMultilevel"/>
    <w:tmpl w:val="42042860"/>
    <w:lvl w:ilvl="0" w:tplc="FBF81B3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4" w15:restartNumberingAfterBreak="0">
    <w:nsid w:val="51D3425A"/>
    <w:multiLevelType w:val="hybridMultilevel"/>
    <w:tmpl w:val="20D60CEC"/>
    <w:lvl w:ilvl="0" w:tplc="A3F6A2F6">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55449E5"/>
    <w:multiLevelType w:val="hybridMultilevel"/>
    <w:tmpl w:val="A4D29C76"/>
    <w:lvl w:ilvl="0" w:tplc="05C4B1E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ECF68B8"/>
    <w:multiLevelType w:val="hybridMultilevel"/>
    <w:tmpl w:val="74E29F78"/>
    <w:lvl w:ilvl="0" w:tplc="C0C62706">
      <w:start w:val="1"/>
      <w:numFmt w:val="decimal"/>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8" w15:restartNumberingAfterBreak="0">
    <w:nsid w:val="65937830"/>
    <w:multiLevelType w:val="hybridMultilevel"/>
    <w:tmpl w:val="117C2F84"/>
    <w:lvl w:ilvl="0" w:tplc="FBF81B3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DC20A5F"/>
    <w:multiLevelType w:val="hybridMultilevel"/>
    <w:tmpl w:val="3E4EBBC2"/>
    <w:lvl w:ilvl="0" w:tplc="C1DA427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6F431E9D"/>
    <w:multiLevelType w:val="hybridMultilevel"/>
    <w:tmpl w:val="B45243E8"/>
    <w:lvl w:ilvl="0" w:tplc="8A009720">
      <w:start w:val="1"/>
      <w:numFmt w:val="decimal"/>
      <w:lvlText w:val="%1."/>
      <w:lvlJc w:val="left"/>
      <w:pPr>
        <w:ind w:left="360" w:hanging="360"/>
      </w:pPr>
      <w:rPr>
        <w:rFonts w:hint="default"/>
        <w:b/>
        <w:sz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0"/>
  </w:num>
  <w:num w:numId="2">
    <w:abstractNumId w:val="19"/>
  </w:num>
  <w:num w:numId="3">
    <w:abstractNumId w:val="4"/>
  </w:num>
  <w:num w:numId="4">
    <w:abstractNumId w:val="5"/>
  </w:num>
  <w:num w:numId="5">
    <w:abstractNumId w:val="15"/>
  </w:num>
  <w:num w:numId="6">
    <w:abstractNumId w:val="14"/>
  </w:num>
  <w:num w:numId="7">
    <w:abstractNumId w:val="6"/>
  </w:num>
  <w:num w:numId="8">
    <w:abstractNumId w:val="10"/>
  </w:num>
  <w:num w:numId="9">
    <w:abstractNumId w:val="0"/>
  </w:num>
  <w:num w:numId="10">
    <w:abstractNumId w:val="11"/>
  </w:num>
  <w:num w:numId="11">
    <w:abstractNumId w:val="3"/>
  </w:num>
  <w:num w:numId="12">
    <w:abstractNumId w:val="9"/>
  </w:num>
  <w:num w:numId="13">
    <w:abstractNumId w:val="13"/>
  </w:num>
  <w:num w:numId="14">
    <w:abstractNumId w:val="17"/>
  </w:num>
  <w:num w:numId="15">
    <w:abstractNumId w:val="17"/>
    <w:lvlOverride w:ilvl="0">
      <w:startOverride w:val="1"/>
    </w:lvlOverride>
  </w:num>
  <w:num w:numId="16">
    <w:abstractNumId w:val="8"/>
  </w:num>
  <w:num w:numId="17">
    <w:abstractNumId w:val="2"/>
  </w:num>
  <w:num w:numId="18">
    <w:abstractNumId w:val="12"/>
  </w:num>
  <w:num w:numId="19">
    <w:abstractNumId w:val="18"/>
  </w:num>
  <w:num w:numId="20">
    <w:abstractNumId w:val="16"/>
  </w:num>
  <w:num w:numId="21">
    <w:abstractNumId w:val="1"/>
  </w:num>
  <w:num w:numId="22">
    <w:abstractNumId w:val="17"/>
  </w:num>
  <w:num w:numId="23">
    <w:abstractNumId w:val="17"/>
  </w:num>
  <w:num w:numId="24">
    <w:abstractNumId w:val="17"/>
    <w:lvlOverride w:ilvl="0">
      <w:startOverride w:val="1"/>
    </w:lvlOverride>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B5E"/>
    <w:rsid w:val="00010E7A"/>
    <w:rsid w:val="00034773"/>
    <w:rsid w:val="00037D23"/>
    <w:rsid w:val="000436B9"/>
    <w:rsid w:val="00054990"/>
    <w:rsid w:val="00065DC5"/>
    <w:rsid w:val="000665EC"/>
    <w:rsid w:val="0007453A"/>
    <w:rsid w:val="000A4A93"/>
    <w:rsid w:val="000C00FC"/>
    <w:rsid w:val="000D19CA"/>
    <w:rsid w:val="000D34D6"/>
    <w:rsid w:val="000D6D23"/>
    <w:rsid w:val="000E3B3A"/>
    <w:rsid w:val="000F1C1A"/>
    <w:rsid w:val="000F37AD"/>
    <w:rsid w:val="000F391B"/>
    <w:rsid w:val="000F5D87"/>
    <w:rsid w:val="000F607A"/>
    <w:rsid w:val="000F6A46"/>
    <w:rsid w:val="001019B2"/>
    <w:rsid w:val="00156FFC"/>
    <w:rsid w:val="001977E6"/>
    <w:rsid w:val="001A2BC8"/>
    <w:rsid w:val="001B642D"/>
    <w:rsid w:val="001C0367"/>
    <w:rsid w:val="001C4D3D"/>
    <w:rsid w:val="001E0664"/>
    <w:rsid w:val="001F35B0"/>
    <w:rsid w:val="001F6ACE"/>
    <w:rsid w:val="001F7234"/>
    <w:rsid w:val="0020401A"/>
    <w:rsid w:val="0022054B"/>
    <w:rsid w:val="002334BF"/>
    <w:rsid w:val="00237348"/>
    <w:rsid w:val="00254337"/>
    <w:rsid w:val="002571DD"/>
    <w:rsid w:val="00274A1C"/>
    <w:rsid w:val="00282E15"/>
    <w:rsid w:val="00282FC0"/>
    <w:rsid w:val="002C1BE7"/>
    <w:rsid w:val="002D79E7"/>
    <w:rsid w:val="002F1B0B"/>
    <w:rsid w:val="002F597C"/>
    <w:rsid w:val="003026A7"/>
    <w:rsid w:val="00306956"/>
    <w:rsid w:val="0031670A"/>
    <w:rsid w:val="00317192"/>
    <w:rsid w:val="00330909"/>
    <w:rsid w:val="003736D3"/>
    <w:rsid w:val="003A49E9"/>
    <w:rsid w:val="003C74FB"/>
    <w:rsid w:val="003E4C94"/>
    <w:rsid w:val="003E5E36"/>
    <w:rsid w:val="003F492A"/>
    <w:rsid w:val="00451F6F"/>
    <w:rsid w:val="00460CCF"/>
    <w:rsid w:val="004645A9"/>
    <w:rsid w:val="00466C92"/>
    <w:rsid w:val="00491A6C"/>
    <w:rsid w:val="00494A68"/>
    <w:rsid w:val="00497E17"/>
    <w:rsid w:val="004B4451"/>
    <w:rsid w:val="004C1B33"/>
    <w:rsid w:val="004C1B3B"/>
    <w:rsid w:val="004F16FA"/>
    <w:rsid w:val="004F59E6"/>
    <w:rsid w:val="00556E13"/>
    <w:rsid w:val="00556E97"/>
    <w:rsid w:val="00560068"/>
    <w:rsid w:val="005708DB"/>
    <w:rsid w:val="005A14D8"/>
    <w:rsid w:val="005C2BEC"/>
    <w:rsid w:val="005C3810"/>
    <w:rsid w:val="005D0FD2"/>
    <w:rsid w:val="005E276D"/>
    <w:rsid w:val="005E4EF6"/>
    <w:rsid w:val="00602827"/>
    <w:rsid w:val="006134C3"/>
    <w:rsid w:val="00613CA4"/>
    <w:rsid w:val="00644AC9"/>
    <w:rsid w:val="00653235"/>
    <w:rsid w:val="0067113B"/>
    <w:rsid w:val="006964F6"/>
    <w:rsid w:val="00696ACE"/>
    <w:rsid w:val="006A4371"/>
    <w:rsid w:val="006B37F8"/>
    <w:rsid w:val="006C2301"/>
    <w:rsid w:val="006D0A21"/>
    <w:rsid w:val="00724B84"/>
    <w:rsid w:val="00735AE7"/>
    <w:rsid w:val="0073690A"/>
    <w:rsid w:val="00764775"/>
    <w:rsid w:val="00767512"/>
    <w:rsid w:val="00803357"/>
    <w:rsid w:val="00805F0B"/>
    <w:rsid w:val="00807457"/>
    <w:rsid w:val="008212D8"/>
    <w:rsid w:val="00821438"/>
    <w:rsid w:val="0082507A"/>
    <w:rsid w:val="00833360"/>
    <w:rsid w:val="008472DD"/>
    <w:rsid w:val="008521C0"/>
    <w:rsid w:val="00857CE2"/>
    <w:rsid w:val="0086056F"/>
    <w:rsid w:val="00872C72"/>
    <w:rsid w:val="00872DBF"/>
    <w:rsid w:val="00874A56"/>
    <w:rsid w:val="008B0ADE"/>
    <w:rsid w:val="008B2276"/>
    <w:rsid w:val="008B331D"/>
    <w:rsid w:val="0090049D"/>
    <w:rsid w:val="0090224A"/>
    <w:rsid w:val="00910A5F"/>
    <w:rsid w:val="0091762B"/>
    <w:rsid w:val="0092692D"/>
    <w:rsid w:val="00931999"/>
    <w:rsid w:val="009420E8"/>
    <w:rsid w:val="009460D7"/>
    <w:rsid w:val="0095594E"/>
    <w:rsid w:val="009B39D0"/>
    <w:rsid w:val="009B6E30"/>
    <w:rsid w:val="009C4621"/>
    <w:rsid w:val="009C58FA"/>
    <w:rsid w:val="009D0FDF"/>
    <w:rsid w:val="00A806E5"/>
    <w:rsid w:val="00A80920"/>
    <w:rsid w:val="00A8186D"/>
    <w:rsid w:val="00A85DEA"/>
    <w:rsid w:val="00AA5FFE"/>
    <w:rsid w:val="00AE6E43"/>
    <w:rsid w:val="00AF10FE"/>
    <w:rsid w:val="00B259A3"/>
    <w:rsid w:val="00B8521F"/>
    <w:rsid w:val="00BB53BC"/>
    <w:rsid w:val="00BC13A1"/>
    <w:rsid w:val="00BC2B5E"/>
    <w:rsid w:val="00BE310D"/>
    <w:rsid w:val="00BE66DE"/>
    <w:rsid w:val="00C03216"/>
    <w:rsid w:val="00C0577C"/>
    <w:rsid w:val="00C120FA"/>
    <w:rsid w:val="00C27736"/>
    <w:rsid w:val="00C31584"/>
    <w:rsid w:val="00C63E67"/>
    <w:rsid w:val="00C678A6"/>
    <w:rsid w:val="00C7267B"/>
    <w:rsid w:val="00C83C7B"/>
    <w:rsid w:val="00C85BD6"/>
    <w:rsid w:val="00C86957"/>
    <w:rsid w:val="00CC3A0A"/>
    <w:rsid w:val="00CC623B"/>
    <w:rsid w:val="00CC79FA"/>
    <w:rsid w:val="00D1768F"/>
    <w:rsid w:val="00D32324"/>
    <w:rsid w:val="00D37521"/>
    <w:rsid w:val="00D53404"/>
    <w:rsid w:val="00D56C98"/>
    <w:rsid w:val="00D94BE9"/>
    <w:rsid w:val="00DC137F"/>
    <w:rsid w:val="00DE2C87"/>
    <w:rsid w:val="00DE44C2"/>
    <w:rsid w:val="00E10F4A"/>
    <w:rsid w:val="00E12633"/>
    <w:rsid w:val="00E173E1"/>
    <w:rsid w:val="00E43A37"/>
    <w:rsid w:val="00E57924"/>
    <w:rsid w:val="00E63358"/>
    <w:rsid w:val="00E758F0"/>
    <w:rsid w:val="00E85265"/>
    <w:rsid w:val="00E9447F"/>
    <w:rsid w:val="00EB0F6B"/>
    <w:rsid w:val="00EC3EAF"/>
    <w:rsid w:val="00EC4CE3"/>
    <w:rsid w:val="00EE01BF"/>
    <w:rsid w:val="00EF0197"/>
    <w:rsid w:val="00F06585"/>
    <w:rsid w:val="00F12122"/>
    <w:rsid w:val="00F12865"/>
    <w:rsid w:val="00F223B2"/>
    <w:rsid w:val="00F31174"/>
    <w:rsid w:val="00F52BB4"/>
    <w:rsid w:val="00F55DA0"/>
    <w:rsid w:val="00F729C7"/>
    <w:rsid w:val="00F76FD8"/>
    <w:rsid w:val="00F84F8D"/>
    <w:rsid w:val="00FA3D49"/>
    <w:rsid w:val="00FC5F92"/>
    <w:rsid w:val="00FE5C88"/>
    <w:rsid w:val="00FF380A"/>
  </w:rsids>
  <m:mathPr>
    <m:mathFont m:val="Cambria Math"/>
    <m:brkBin m:val="before"/>
    <m:brkBinSub m:val="--"/>
    <m:smallFrac m:val="0"/>
    <m:dispDef/>
    <m:lMargin m:val="0"/>
    <m:rMargin m:val="0"/>
    <m:defJc m:val="centerGroup"/>
    <m:wrapIndent m:val="1440"/>
    <m:intLim m:val="subSup"/>
    <m:naryLim m:val="undOvr"/>
  </m:mathPr>
  <w:themeFontLang w:val="pt-BR"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88007"/>
  <w15:chartTrackingRefBased/>
  <w15:docId w15:val="{CF3D1CA4-A157-4ED1-B612-2CE3DC29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4D8"/>
    <w:pPr>
      <w:spacing w:after="0" w:line="240" w:lineRule="auto"/>
      <w:jc w:val="both"/>
    </w:pPr>
    <w:rPr>
      <w:rFonts w:ascii="Tahoma" w:eastAsia="Times New Roman" w:hAnsi="Tahom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rsid w:val="00BC2B5E"/>
    <w:rPr>
      <w:sz w:val="16"/>
      <w:szCs w:val="16"/>
    </w:rPr>
  </w:style>
  <w:style w:type="paragraph" w:styleId="Textodecomentrio">
    <w:name w:val="annotation text"/>
    <w:basedOn w:val="Normal"/>
    <w:link w:val="TextodecomentrioChar"/>
    <w:rsid w:val="00BC2B5E"/>
  </w:style>
  <w:style w:type="character" w:customStyle="1" w:styleId="TextodecomentrioChar">
    <w:name w:val="Texto de comentário Char"/>
    <w:basedOn w:val="Fontepargpadro"/>
    <w:link w:val="Textodecomentrio"/>
    <w:rsid w:val="00BC2B5E"/>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C2B5E"/>
    <w:pPr>
      <w:ind w:left="720"/>
      <w:contextualSpacing/>
    </w:pPr>
  </w:style>
  <w:style w:type="paragraph" w:styleId="Corpodetexto3">
    <w:name w:val="Body Text 3"/>
    <w:basedOn w:val="Normal"/>
    <w:link w:val="Corpodetexto3Char"/>
    <w:rsid w:val="00BC2B5E"/>
    <w:pPr>
      <w:spacing w:after="120"/>
    </w:pPr>
    <w:rPr>
      <w:sz w:val="16"/>
      <w:szCs w:val="16"/>
    </w:rPr>
  </w:style>
  <w:style w:type="character" w:customStyle="1" w:styleId="Corpodetexto3Char">
    <w:name w:val="Corpo de texto 3 Char"/>
    <w:basedOn w:val="Fontepargpadro"/>
    <w:link w:val="Corpodetexto3"/>
    <w:rsid w:val="00BC2B5E"/>
    <w:rPr>
      <w:rFonts w:ascii="Times New Roman" w:eastAsia="Times New Roman" w:hAnsi="Times New Roman" w:cs="Times New Roman"/>
      <w:sz w:val="16"/>
      <w:szCs w:val="16"/>
      <w:lang w:eastAsia="pt-BR"/>
    </w:rPr>
  </w:style>
  <w:style w:type="paragraph" w:customStyle="1" w:styleId="sArticleStyle2text">
    <w:name w:val="sArticleStyle2_text"/>
    <w:basedOn w:val="Normal"/>
    <w:next w:val="Normal"/>
    <w:rsid w:val="00BC2B5E"/>
    <w:pPr>
      <w:tabs>
        <w:tab w:val="num" w:pos="3024"/>
      </w:tabs>
      <w:autoSpaceDE w:val="0"/>
      <w:autoSpaceDN w:val="0"/>
      <w:adjustRightInd w:val="0"/>
      <w:spacing w:after="240"/>
      <w:ind w:firstLine="1440"/>
    </w:pPr>
    <w:rPr>
      <w:rFonts w:eastAsia="SimSun"/>
      <w:sz w:val="24"/>
      <w:szCs w:val="24"/>
      <w:lang w:val="en-US" w:eastAsia="zh-CN"/>
    </w:rPr>
  </w:style>
  <w:style w:type="paragraph" w:styleId="Textodebalo">
    <w:name w:val="Balloon Text"/>
    <w:basedOn w:val="Normal"/>
    <w:link w:val="TextodebaloChar"/>
    <w:uiPriority w:val="99"/>
    <w:semiHidden/>
    <w:unhideWhenUsed/>
    <w:rsid w:val="00BC2B5E"/>
    <w:rPr>
      <w:rFonts w:ascii="Segoe UI" w:hAnsi="Segoe UI" w:cs="Segoe UI"/>
      <w:sz w:val="18"/>
      <w:szCs w:val="18"/>
    </w:rPr>
  </w:style>
  <w:style w:type="character" w:customStyle="1" w:styleId="TextodebaloChar">
    <w:name w:val="Texto de balão Char"/>
    <w:basedOn w:val="Fontepargpadro"/>
    <w:link w:val="Textodebalo"/>
    <w:uiPriority w:val="99"/>
    <w:semiHidden/>
    <w:rsid w:val="00BC2B5E"/>
    <w:rPr>
      <w:rFonts w:ascii="Segoe UI" w:eastAsia="Times New Roman" w:hAnsi="Segoe UI" w:cs="Segoe UI"/>
      <w:sz w:val="18"/>
      <w:szCs w:val="18"/>
      <w:lang w:eastAsia="pt-BR"/>
    </w:rPr>
  </w:style>
  <w:style w:type="character" w:customStyle="1" w:styleId="normaltextrun">
    <w:name w:val="normaltextrun"/>
    <w:basedOn w:val="Fontepargpadro"/>
    <w:rsid w:val="00BC13A1"/>
  </w:style>
  <w:style w:type="paragraph" w:styleId="Rodap">
    <w:name w:val="footer"/>
    <w:basedOn w:val="Normal"/>
    <w:link w:val="RodapChar"/>
    <w:uiPriority w:val="99"/>
    <w:unhideWhenUsed/>
    <w:rsid w:val="00A806E5"/>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A806E5"/>
    <w:rPr>
      <w:rFonts w:ascii="Calibri" w:eastAsia="Calibri" w:hAnsi="Calibri" w:cs="Times New Roman"/>
    </w:rPr>
  </w:style>
  <w:style w:type="paragraph" w:styleId="Cabealho">
    <w:name w:val="header"/>
    <w:aliases w:val="Cabeçalho1,Header Char"/>
    <w:basedOn w:val="Normal"/>
    <w:link w:val="CabealhoChar"/>
    <w:uiPriority w:val="99"/>
    <w:unhideWhenUsed/>
    <w:rsid w:val="00AE6E43"/>
    <w:pPr>
      <w:tabs>
        <w:tab w:val="center" w:pos="4252"/>
        <w:tab w:val="right" w:pos="8504"/>
      </w:tabs>
    </w:pPr>
  </w:style>
  <w:style w:type="character" w:customStyle="1" w:styleId="CabealhoChar">
    <w:name w:val="Cabeçalho Char"/>
    <w:aliases w:val="Cabeçalho1 Char,Header Char Char"/>
    <w:basedOn w:val="Fontepargpadro"/>
    <w:link w:val="Cabealho"/>
    <w:uiPriority w:val="99"/>
    <w:rsid w:val="00AE6E43"/>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054990"/>
    <w:pPr>
      <w:spacing w:after="120" w:line="276" w:lineRule="auto"/>
    </w:pPr>
    <w:rPr>
      <w:rFonts w:ascii="Calibri" w:eastAsia="Calibri" w:hAnsi="Calibri"/>
      <w:sz w:val="22"/>
      <w:szCs w:val="22"/>
      <w:lang w:eastAsia="en-US"/>
    </w:rPr>
  </w:style>
  <w:style w:type="character" w:customStyle="1" w:styleId="CorpodetextoChar">
    <w:name w:val="Corpo de texto Char"/>
    <w:basedOn w:val="Fontepargpadro"/>
    <w:link w:val="Corpodetexto"/>
    <w:uiPriority w:val="99"/>
    <w:semiHidden/>
    <w:rsid w:val="00054990"/>
    <w:rPr>
      <w:rFonts w:ascii="Calibri" w:eastAsia="Calibri" w:hAnsi="Calibri" w:cs="Times New Roman"/>
    </w:rPr>
  </w:style>
  <w:style w:type="paragraph" w:styleId="Subttulo">
    <w:name w:val="Subtitle"/>
    <w:basedOn w:val="Normal"/>
    <w:link w:val="SubttuloChar"/>
    <w:uiPriority w:val="11"/>
    <w:qFormat/>
    <w:rsid w:val="00054990"/>
    <w:pPr>
      <w:widowControl w:val="0"/>
      <w:autoSpaceDE w:val="0"/>
      <w:autoSpaceDN w:val="0"/>
      <w:adjustRightInd w:val="0"/>
      <w:spacing w:line="340" w:lineRule="exact"/>
      <w:jc w:val="center"/>
    </w:pPr>
    <w:rPr>
      <w:rFonts w:eastAsiaTheme="minorEastAsia"/>
      <w:b/>
      <w:sz w:val="24"/>
      <w:lang w:val="en-US"/>
    </w:rPr>
  </w:style>
  <w:style w:type="character" w:customStyle="1" w:styleId="SubttuloChar">
    <w:name w:val="Subtítulo Char"/>
    <w:basedOn w:val="Fontepargpadro"/>
    <w:link w:val="Subttulo"/>
    <w:uiPriority w:val="11"/>
    <w:rsid w:val="00054990"/>
    <w:rPr>
      <w:rFonts w:ascii="Times New Roman" w:eastAsiaTheme="minorEastAsia" w:hAnsi="Times New Roman" w:cs="Times New Roman"/>
      <w:b/>
      <w:sz w:val="24"/>
      <w:szCs w:val="20"/>
      <w:lang w:val="en-US" w:eastAsia="pt-BR"/>
    </w:rPr>
  </w:style>
  <w:style w:type="paragraph" w:customStyle="1" w:styleId="Level1">
    <w:name w:val="Level 1"/>
    <w:basedOn w:val="Normal"/>
    <w:rsid w:val="00C678A6"/>
    <w:pPr>
      <w:numPr>
        <w:numId w:val="11"/>
      </w:numPr>
      <w:spacing w:after="140" w:line="290" w:lineRule="auto"/>
      <w:outlineLvl w:val="0"/>
    </w:pPr>
    <w:rPr>
      <w:kern w:val="20"/>
      <w:szCs w:val="28"/>
      <w:lang w:eastAsia="en-US"/>
    </w:rPr>
  </w:style>
  <w:style w:type="character" w:customStyle="1" w:styleId="Level2Char">
    <w:name w:val="Level 2 Char"/>
    <w:link w:val="Level2"/>
    <w:locked/>
    <w:rsid w:val="00C678A6"/>
    <w:rPr>
      <w:rFonts w:ascii="Tahoma" w:eastAsia="Times New Roman" w:hAnsi="Tahoma"/>
      <w:kern w:val="20"/>
      <w:szCs w:val="28"/>
    </w:rPr>
  </w:style>
  <w:style w:type="paragraph" w:customStyle="1" w:styleId="Level2">
    <w:name w:val="Level 2"/>
    <w:basedOn w:val="Normal"/>
    <w:link w:val="Level2Char"/>
    <w:rsid w:val="00C678A6"/>
    <w:pPr>
      <w:numPr>
        <w:ilvl w:val="1"/>
        <w:numId w:val="11"/>
      </w:numPr>
      <w:spacing w:after="140" w:line="290" w:lineRule="auto"/>
      <w:outlineLvl w:val="1"/>
    </w:pPr>
    <w:rPr>
      <w:rFonts w:cstheme="minorBidi"/>
      <w:kern w:val="20"/>
      <w:sz w:val="22"/>
      <w:szCs w:val="28"/>
      <w:lang w:eastAsia="en-US"/>
    </w:rPr>
  </w:style>
  <w:style w:type="paragraph" w:customStyle="1" w:styleId="Level3">
    <w:name w:val="Level 3"/>
    <w:basedOn w:val="Normal"/>
    <w:link w:val="Level3Char"/>
    <w:uiPriority w:val="99"/>
    <w:rsid w:val="00C678A6"/>
    <w:pPr>
      <w:numPr>
        <w:ilvl w:val="2"/>
        <w:numId w:val="11"/>
      </w:numPr>
      <w:spacing w:after="140" w:line="290" w:lineRule="auto"/>
      <w:outlineLvl w:val="2"/>
    </w:pPr>
    <w:rPr>
      <w:kern w:val="20"/>
      <w:szCs w:val="28"/>
      <w:lang w:eastAsia="en-US"/>
    </w:rPr>
  </w:style>
  <w:style w:type="paragraph" w:customStyle="1" w:styleId="Level4">
    <w:name w:val="Level 4"/>
    <w:basedOn w:val="Normal"/>
    <w:uiPriority w:val="99"/>
    <w:rsid w:val="00C678A6"/>
    <w:pPr>
      <w:numPr>
        <w:ilvl w:val="3"/>
        <w:numId w:val="11"/>
      </w:numPr>
      <w:spacing w:after="140" w:line="290" w:lineRule="auto"/>
      <w:outlineLvl w:val="3"/>
    </w:pPr>
    <w:rPr>
      <w:rFonts w:ascii="Arial" w:hAnsi="Arial" w:cs="Arial"/>
      <w:szCs w:val="24"/>
      <w:lang w:eastAsia="en-US"/>
    </w:rPr>
  </w:style>
  <w:style w:type="paragraph" w:customStyle="1" w:styleId="Level5">
    <w:name w:val="Level 5"/>
    <w:basedOn w:val="Normal"/>
    <w:uiPriority w:val="99"/>
    <w:rsid w:val="00C678A6"/>
    <w:pPr>
      <w:numPr>
        <w:ilvl w:val="4"/>
        <w:numId w:val="11"/>
      </w:numPr>
      <w:spacing w:after="140" w:line="290" w:lineRule="auto"/>
    </w:pPr>
    <w:rPr>
      <w:kern w:val="20"/>
      <w:szCs w:val="24"/>
      <w:lang w:eastAsia="en-US"/>
    </w:rPr>
  </w:style>
  <w:style w:type="paragraph" w:customStyle="1" w:styleId="Level6">
    <w:name w:val="Level 6"/>
    <w:basedOn w:val="Normal"/>
    <w:uiPriority w:val="99"/>
    <w:rsid w:val="00C678A6"/>
    <w:pPr>
      <w:numPr>
        <w:ilvl w:val="5"/>
        <w:numId w:val="11"/>
      </w:numPr>
      <w:spacing w:after="140" w:line="290" w:lineRule="auto"/>
    </w:pPr>
    <w:rPr>
      <w:kern w:val="20"/>
      <w:szCs w:val="24"/>
      <w:lang w:eastAsia="en-US"/>
    </w:rPr>
  </w:style>
  <w:style w:type="character" w:customStyle="1" w:styleId="Level3Char">
    <w:name w:val="Level 3 Char"/>
    <w:link w:val="Level3"/>
    <w:uiPriority w:val="99"/>
    <w:locked/>
    <w:rsid w:val="00833360"/>
    <w:rPr>
      <w:rFonts w:ascii="Tahoma" w:eastAsia="Times New Roman" w:hAnsi="Tahoma" w:cs="Times New Roman"/>
      <w:kern w:val="20"/>
      <w:sz w:val="20"/>
      <w:szCs w:val="28"/>
    </w:rPr>
  </w:style>
  <w:style w:type="paragraph" w:customStyle="1" w:styleId="BodyText22">
    <w:name w:val="Body Text 22"/>
    <w:basedOn w:val="Normal"/>
    <w:rsid w:val="00857CE2"/>
    <w:rPr>
      <w:lang w:val="en-AU" w:eastAsia="en-US"/>
    </w:rPr>
  </w:style>
  <w:style w:type="paragraph" w:styleId="Recuodecorpodetexto">
    <w:name w:val="Body Text Indent"/>
    <w:basedOn w:val="Normal"/>
    <w:link w:val="RecuodecorpodetextoChar"/>
    <w:semiHidden/>
    <w:rsid w:val="00CC3A0A"/>
    <w:pPr>
      <w:spacing w:after="120"/>
      <w:ind w:left="283"/>
    </w:pPr>
    <w:rPr>
      <w:szCs w:val="24"/>
      <w:lang w:val="x-none" w:eastAsia="x-none"/>
    </w:rPr>
  </w:style>
  <w:style w:type="character" w:customStyle="1" w:styleId="RecuodecorpodetextoChar">
    <w:name w:val="Recuo de corpo de texto Char"/>
    <w:basedOn w:val="Fontepargpadro"/>
    <w:link w:val="Recuodecorpodetexto"/>
    <w:semiHidden/>
    <w:rsid w:val="00CC3A0A"/>
    <w:rPr>
      <w:rFonts w:ascii="Tahoma" w:eastAsia="Times New Roman" w:hAnsi="Tahoma" w:cs="Times New Roman"/>
      <w:sz w:val="20"/>
      <w:szCs w:val="24"/>
      <w:lang w:val="x-none" w:eastAsia="x-none"/>
    </w:rPr>
  </w:style>
  <w:style w:type="paragraph" w:customStyle="1" w:styleId="alpha5">
    <w:name w:val="alpha 5"/>
    <w:basedOn w:val="Normal"/>
    <w:rsid w:val="00CC3A0A"/>
    <w:pPr>
      <w:numPr>
        <w:numId w:val="13"/>
      </w:numPr>
      <w:spacing w:after="140" w:line="290" w:lineRule="auto"/>
    </w:pPr>
    <w:rPr>
      <w:kern w:val="20"/>
      <w:lang w:eastAsia="en-US"/>
    </w:rPr>
  </w:style>
  <w:style w:type="paragraph" w:customStyle="1" w:styleId="roman3">
    <w:name w:val="roman 3"/>
    <w:basedOn w:val="Normal"/>
    <w:rsid w:val="00CC3A0A"/>
    <w:pPr>
      <w:numPr>
        <w:numId w:val="14"/>
      </w:numPr>
      <w:spacing w:after="140" w:line="290" w:lineRule="auto"/>
    </w:pPr>
    <w:rPr>
      <w:kern w:val="20"/>
      <w:lang w:eastAsia="en-US"/>
    </w:rPr>
  </w:style>
  <w:style w:type="character" w:customStyle="1" w:styleId="DeltaViewInsertion">
    <w:name w:val="DeltaView Insertion"/>
    <w:uiPriority w:val="99"/>
    <w:rsid w:val="001977E6"/>
    <w:rPr>
      <w:color w:val="0000FF"/>
      <w:u w:val="double"/>
    </w:rPr>
  </w:style>
  <w:style w:type="paragraph" w:customStyle="1" w:styleId="Item">
    <w:name w:val="Item"/>
    <w:basedOn w:val="Normal"/>
    <w:rsid w:val="00E10F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spacing w:after="120"/>
      <w:ind w:left="720" w:hanging="72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212855">
      <w:bodyDiv w:val="1"/>
      <w:marLeft w:val="0"/>
      <w:marRight w:val="0"/>
      <w:marTop w:val="0"/>
      <w:marBottom w:val="0"/>
      <w:divBdr>
        <w:top w:val="none" w:sz="0" w:space="0" w:color="auto"/>
        <w:left w:val="none" w:sz="0" w:space="0" w:color="auto"/>
        <w:bottom w:val="none" w:sz="0" w:space="0" w:color="auto"/>
        <w:right w:val="none" w:sz="0" w:space="0" w:color="auto"/>
      </w:divBdr>
      <w:divsChild>
        <w:div w:id="1761443581">
          <w:marLeft w:val="0"/>
          <w:marRight w:val="0"/>
          <w:marTop w:val="0"/>
          <w:marBottom w:val="0"/>
          <w:divBdr>
            <w:top w:val="none" w:sz="0" w:space="0" w:color="auto"/>
            <w:left w:val="none" w:sz="0" w:space="0" w:color="auto"/>
            <w:bottom w:val="none" w:sz="0" w:space="0" w:color="auto"/>
            <w:right w:val="none" w:sz="0" w:space="0" w:color="auto"/>
          </w:divBdr>
        </w:div>
        <w:div w:id="1711762723">
          <w:marLeft w:val="0"/>
          <w:marRight w:val="0"/>
          <w:marTop w:val="0"/>
          <w:marBottom w:val="0"/>
          <w:divBdr>
            <w:top w:val="none" w:sz="0" w:space="0" w:color="auto"/>
            <w:left w:val="none" w:sz="0" w:space="0" w:color="auto"/>
            <w:bottom w:val="none" w:sz="0" w:space="0" w:color="auto"/>
            <w:right w:val="none" w:sz="0" w:space="0" w:color="auto"/>
          </w:divBdr>
        </w:div>
        <w:div w:id="223688426">
          <w:marLeft w:val="0"/>
          <w:marRight w:val="0"/>
          <w:marTop w:val="0"/>
          <w:marBottom w:val="0"/>
          <w:divBdr>
            <w:top w:val="none" w:sz="0" w:space="0" w:color="auto"/>
            <w:left w:val="none" w:sz="0" w:space="0" w:color="auto"/>
            <w:bottom w:val="none" w:sz="0" w:space="0" w:color="auto"/>
            <w:right w:val="none" w:sz="0" w:space="0" w:color="auto"/>
          </w:divBdr>
        </w:div>
        <w:div w:id="943460590">
          <w:marLeft w:val="0"/>
          <w:marRight w:val="0"/>
          <w:marTop w:val="0"/>
          <w:marBottom w:val="0"/>
          <w:divBdr>
            <w:top w:val="none" w:sz="0" w:space="0" w:color="auto"/>
            <w:left w:val="none" w:sz="0" w:space="0" w:color="auto"/>
            <w:bottom w:val="none" w:sz="0" w:space="0" w:color="auto"/>
            <w:right w:val="none" w:sz="0" w:space="0" w:color="auto"/>
          </w:divBdr>
        </w:div>
        <w:div w:id="46300880">
          <w:marLeft w:val="0"/>
          <w:marRight w:val="0"/>
          <w:marTop w:val="0"/>
          <w:marBottom w:val="0"/>
          <w:divBdr>
            <w:top w:val="none" w:sz="0" w:space="0" w:color="auto"/>
            <w:left w:val="none" w:sz="0" w:space="0" w:color="auto"/>
            <w:bottom w:val="none" w:sz="0" w:space="0" w:color="auto"/>
            <w:right w:val="none" w:sz="0" w:space="0" w:color="auto"/>
          </w:divBdr>
        </w:div>
        <w:div w:id="497157462">
          <w:marLeft w:val="0"/>
          <w:marRight w:val="0"/>
          <w:marTop w:val="0"/>
          <w:marBottom w:val="0"/>
          <w:divBdr>
            <w:top w:val="none" w:sz="0" w:space="0" w:color="auto"/>
            <w:left w:val="none" w:sz="0" w:space="0" w:color="auto"/>
            <w:bottom w:val="none" w:sz="0" w:space="0" w:color="auto"/>
            <w:right w:val="none" w:sz="0" w:space="0" w:color="auto"/>
          </w:divBdr>
        </w:div>
        <w:div w:id="993804200">
          <w:marLeft w:val="0"/>
          <w:marRight w:val="0"/>
          <w:marTop w:val="0"/>
          <w:marBottom w:val="0"/>
          <w:divBdr>
            <w:top w:val="none" w:sz="0" w:space="0" w:color="auto"/>
            <w:left w:val="none" w:sz="0" w:space="0" w:color="auto"/>
            <w:bottom w:val="none" w:sz="0" w:space="0" w:color="auto"/>
            <w:right w:val="none" w:sz="0" w:space="0" w:color="auto"/>
          </w:divBdr>
        </w:div>
        <w:div w:id="1020665826">
          <w:marLeft w:val="0"/>
          <w:marRight w:val="0"/>
          <w:marTop w:val="0"/>
          <w:marBottom w:val="0"/>
          <w:divBdr>
            <w:top w:val="none" w:sz="0" w:space="0" w:color="auto"/>
            <w:left w:val="none" w:sz="0" w:space="0" w:color="auto"/>
            <w:bottom w:val="none" w:sz="0" w:space="0" w:color="auto"/>
            <w:right w:val="none" w:sz="0" w:space="0" w:color="auto"/>
          </w:divBdr>
        </w:div>
        <w:div w:id="578295389">
          <w:marLeft w:val="0"/>
          <w:marRight w:val="0"/>
          <w:marTop w:val="0"/>
          <w:marBottom w:val="0"/>
          <w:divBdr>
            <w:top w:val="none" w:sz="0" w:space="0" w:color="auto"/>
            <w:left w:val="none" w:sz="0" w:space="0" w:color="auto"/>
            <w:bottom w:val="none" w:sz="0" w:space="0" w:color="auto"/>
            <w:right w:val="none" w:sz="0" w:space="0" w:color="auto"/>
          </w:divBdr>
        </w:div>
        <w:div w:id="1787314733">
          <w:marLeft w:val="0"/>
          <w:marRight w:val="0"/>
          <w:marTop w:val="0"/>
          <w:marBottom w:val="0"/>
          <w:divBdr>
            <w:top w:val="none" w:sz="0" w:space="0" w:color="auto"/>
            <w:left w:val="none" w:sz="0" w:space="0" w:color="auto"/>
            <w:bottom w:val="none" w:sz="0" w:space="0" w:color="auto"/>
            <w:right w:val="none" w:sz="0" w:space="0" w:color="auto"/>
          </w:divBdr>
        </w:div>
        <w:div w:id="1696930066">
          <w:marLeft w:val="0"/>
          <w:marRight w:val="0"/>
          <w:marTop w:val="0"/>
          <w:marBottom w:val="0"/>
          <w:divBdr>
            <w:top w:val="none" w:sz="0" w:space="0" w:color="auto"/>
            <w:left w:val="none" w:sz="0" w:space="0" w:color="auto"/>
            <w:bottom w:val="none" w:sz="0" w:space="0" w:color="auto"/>
            <w:right w:val="none" w:sz="0" w:space="0" w:color="auto"/>
          </w:divBdr>
        </w:div>
        <w:div w:id="1551500352">
          <w:marLeft w:val="0"/>
          <w:marRight w:val="0"/>
          <w:marTop w:val="0"/>
          <w:marBottom w:val="0"/>
          <w:divBdr>
            <w:top w:val="none" w:sz="0" w:space="0" w:color="auto"/>
            <w:left w:val="none" w:sz="0" w:space="0" w:color="auto"/>
            <w:bottom w:val="none" w:sz="0" w:space="0" w:color="auto"/>
            <w:right w:val="none" w:sz="0" w:space="0" w:color="auto"/>
          </w:divBdr>
        </w:div>
        <w:div w:id="347489789">
          <w:marLeft w:val="0"/>
          <w:marRight w:val="0"/>
          <w:marTop w:val="0"/>
          <w:marBottom w:val="0"/>
          <w:divBdr>
            <w:top w:val="none" w:sz="0" w:space="0" w:color="auto"/>
            <w:left w:val="none" w:sz="0" w:space="0" w:color="auto"/>
            <w:bottom w:val="none" w:sz="0" w:space="0" w:color="auto"/>
            <w:right w:val="none" w:sz="0" w:space="0" w:color="auto"/>
          </w:divBdr>
        </w:div>
        <w:div w:id="476649155">
          <w:marLeft w:val="0"/>
          <w:marRight w:val="0"/>
          <w:marTop w:val="0"/>
          <w:marBottom w:val="0"/>
          <w:divBdr>
            <w:top w:val="none" w:sz="0" w:space="0" w:color="auto"/>
            <w:left w:val="none" w:sz="0" w:space="0" w:color="auto"/>
            <w:bottom w:val="none" w:sz="0" w:space="0" w:color="auto"/>
            <w:right w:val="none" w:sz="0" w:space="0" w:color="auto"/>
          </w:divBdr>
        </w:div>
        <w:div w:id="1206066297">
          <w:marLeft w:val="0"/>
          <w:marRight w:val="0"/>
          <w:marTop w:val="0"/>
          <w:marBottom w:val="0"/>
          <w:divBdr>
            <w:top w:val="none" w:sz="0" w:space="0" w:color="auto"/>
            <w:left w:val="none" w:sz="0" w:space="0" w:color="auto"/>
            <w:bottom w:val="none" w:sz="0" w:space="0" w:color="auto"/>
            <w:right w:val="none" w:sz="0" w:space="0" w:color="auto"/>
          </w:divBdr>
        </w:div>
        <w:div w:id="1770853493">
          <w:marLeft w:val="0"/>
          <w:marRight w:val="0"/>
          <w:marTop w:val="0"/>
          <w:marBottom w:val="0"/>
          <w:divBdr>
            <w:top w:val="none" w:sz="0" w:space="0" w:color="auto"/>
            <w:left w:val="none" w:sz="0" w:space="0" w:color="auto"/>
            <w:bottom w:val="none" w:sz="0" w:space="0" w:color="auto"/>
            <w:right w:val="none" w:sz="0" w:space="0" w:color="auto"/>
          </w:divBdr>
        </w:div>
        <w:div w:id="1429541524">
          <w:marLeft w:val="0"/>
          <w:marRight w:val="0"/>
          <w:marTop w:val="0"/>
          <w:marBottom w:val="0"/>
          <w:divBdr>
            <w:top w:val="none" w:sz="0" w:space="0" w:color="auto"/>
            <w:left w:val="none" w:sz="0" w:space="0" w:color="auto"/>
            <w:bottom w:val="none" w:sz="0" w:space="0" w:color="auto"/>
            <w:right w:val="none" w:sz="0" w:space="0" w:color="auto"/>
          </w:divBdr>
        </w:div>
        <w:div w:id="1267663164">
          <w:marLeft w:val="0"/>
          <w:marRight w:val="0"/>
          <w:marTop w:val="0"/>
          <w:marBottom w:val="0"/>
          <w:divBdr>
            <w:top w:val="none" w:sz="0" w:space="0" w:color="auto"/>
            <w:left w:val="none" w:sz="0" w:space="0" w:color="auto"/>
            <w:bottom w:val="none" w:sz="0" w:space="0" w:color="auto"/>
            <w:right w:val="none" w:sz="0" w:space="0" w:color="auto"/>
          </w:divBdr>
        </w:div>
        <w:div w:id="1695375055">
          <w:marLeft w:val="0"/>
          <w:marRight w:val="0"/>
          <w:marTop w:val="0"/>
          <w:marBottom w:val="0"/>
          <w:divBdr>
            <w:top w:val="none" w:sz="0" w:space="0" w:color="auto"/>
            <w:left w:val="none" w:sz="0" w:space="0" w:color="auto"/>
            <w:bottom w:val="none" w:sz="0" w:space="0" w:color="auto"/>
            <w:right w:val="none" w:sz="0" w:space="0" w:color="auto"/>
          </w:divBdr>
        </w:div>
        <w:div w:id="1388643771">
          <w:marLeft w:val="0"/>
          <w:marRight w:val="0"/>
          <w:marTop w:val="0"/>
          <w:marBottom w:val="0"/>
          <w:divBdr>
            <w:top w:val="none" w:sz="0" w:space="0" w:color="auto"/>
            <w:left w:val="none" w:sz="0" w:space="0" w:color="auto"/>
            <w:bottom w:val="none" w:sz="0" w:space="0" w:color="auto"/>
            <w:right w:val="none" w:sz="0" w:space="0" w:color="auto"/>
          </w:divBdr>
        </w:div>
        <w:div w:id="1640761882">
          <w:marLeft w:val="0"/>
          <w:marRight w:val="0"/>
          <w:marTop w:val="0"/>
          <w:marBottom w:val="0"/>
          <w:divBdr>
            <w:top w:val="none" w:sz="0" w:space="0" w:color="auto"/>
            <w:left w:val="none" w:sz="0" w:space="0" w:color="auto"/>
            <w:bottom w:val="none" w:sz="0" w:space="0" w:color="auto"/>
            <w:right w:val="none" w:sz="0" w:space="0" w:color="auto"/>
          </w:divBdr>
        </w:div>
        <w:div w:id="225069232">
          <w:marLeft w:val="0"/>
          <w:marRight w:val="0"/>
          <w:marTop w:val="0"/>
          <w:marBottom w:val="0"/>
          <w:divBdr>
            <w:top w:val="none" w:sz="0" w:space="0" w:color="auto"/>
            <w:left w:val="none" w:sz="0" w:space="0" w:color="auto"/>
            <w:bottom w:val="none" w:sz="0" w:space="0" w:color="auto"/>
            <w:right w:val="none" w:sz="0" w:space="0" w:color="auto"/>
          </w:divBdr>
        </w:div>
        <w:div w:id="904872355">
          <w:marLeft w:val="0"/>
          <w:marRight w:val="0"/>
          <w:marTop w:val="0"/>
          <w:marBottom w:val="0"/>
          <w:divBdr>
            <w:top w:val="none" w:sz="0" w:space="0" w:color="auto"/>
            <w:left w:val="none" w:sz="0" w:space="0" w:color="auto"/>
            <w:bottom w:val="none" w:sz="0" w:space="0" w:color="auto"/>
            <w:right w:val="none" w:sz="0" w:space="0" w:color="auto"/>
          </w:divBdr>
        </w:div>
        <w:div w:id="529613343">
          <w:marLeft w:val="0"/>
          <w:marRight w:val="0"/>
          <w:marTop w:val="0"/>
          <w:marBottom w:val="0"/>
          <w:divBdr>
            <w:top w:val="none" w:sz="0" w:space="0" w:color="auto"/>
            <w:left w:val="none" w:sz="0" w:space="0" w:color="auto"/>
            <w:bottom w:val="none" w:sz="0" w:space="0" w:color="auto"/>
            <w:right w:val="none" w:sz="0" w:space="0" w:color="auto"/>
          </w:divBdr>
        </w:div>
        <w:div w:id="963925215">
          <w:marLeft w:val="0"/>
          <w:marRight w:val="0"/>
          <w:marTop w:val="0"/>
          <w:marBottom w:val="0"/>
          <w:divBdr>
            <w:top w:val="none" w:sz="0" w:space="0" w:color="auto"/>
            <w:left w:val="none" w:sz="0" w:space="0" w:color="auto"/>
            <w:bottom w:val="none" w:sz="0" w:space="0" w:color="auto"/>
            <w:right w:val="none" w:sz="0" w:space="0" w:color="auto"/>
          </w:divBdr>
        </w:div>
        <w:div w:id="504440866">
          <w:marLeft w:val="0"/>
          <w:marRight w:val="0"/>
          <w:marTop w:val="0"/>
          <w:marBottom w:val="0"/>
          <w:divBdr>
            <w:top w:val="none" w:sz="0" w:space="0" w:color="auto"/>
            <w:left w:val="none" w:sz="0" w:space="0" w:color="auto"/>
            <w:bottom w:val="none" w:sz="0" w:space="0" w:color="auto"/>
            <w:right w:val="none" w:sz="0" w:space="0" w:color="auto"/>
          </w:divBdr>
        </w:div>
        <w:div w:id="1048261614">
          <w:marLeft w:val="0"/>
          <w:marRight w:val="0"/>
          <w:marTop w:val="0"/>
          <w:marBottom w:val="0"/>
          <w:divBdr>
            <w:top w:val="none" w:sz="0" w:space="0" w:color="auto"/>
            <w:left w:val="none" w:sz="0" w:space="0" w:color="auto"/>
            <w:bottom w:val="none" w:sz="0" w:space="0" w:color="auto"/>
            <w:right w:val="none" w:sz="0" w:space="0" w:color="auto"/>
          </w:divBdr>
        </w:div>
        <w:div w:id="1380205084">
          <w:marLeft w:val="0"/>
          <w:marRight w:val="0"/>
          <w:marTop w:val="0"/>
          <w:marBottom w:val="0"/>
          <w:divBdr>
            <w:top w:val="none" w:sz="0" w:space="0" w:color="auto"/>
            <w:left w:val="none" w:sz="0" w:space="0" w:color="auto"/>
            <w:bottom w:val="none" w:sz="0" w:space="0" w:color="auto"/>
            <w:right w:val="none" w:sz="0" w:space="0" w:color="auto"/>
          </w:divBdr>
        </w:div>
        <w:div w:id="1340427304">
          <w:marLeft w:val="0"/>
          <w:marRight w:val="0"/>
          <w:marTop w:val="0"/>
          <w:marBottom w:val="0"/>
          <w:divBdr>
            <w:top w:val="none" w:sz="0" w:space="0" w:color="auto"/>
            <w:left w:val="none" w:sz="0" w:space="0" w:color="auto"/>
            <w:bottom w:val="none" w:sz="0" w:space="0" w:color="auto"/>
            <w:right w:val="none" w:sz="0" w:space="0" w:color="auto"/>
          </w:divBdr>
        </w:div>
        <w:div w:id="662439518">
          <w:marLeft w:val="0"/>
          <w:marRight w:val="0"/>
          <w:marTop w:val="0"/>
          <w:marBottom w:val="0"/>
          <w:divBdr>
            <w:top w:val="none" w:sz="0" w:space="0" w:color="auto"/>
            <w:left w:val="none" w:sz="0" w:space="0" w:color="auto"/>
            <w:bottom w:val="none" w:sz="0" w:space="0" w:color="auto"/>
            <w:right w:val="none" w:sz="0" w:space="0" w:color="auto"/>
          </w:divBdr>
        </w:div>
        <w:div w:id="1135875735">
          <w:marLeft w:val="0"/>
          <w:marRight w:val="0"/>
          <w:marTop w:val="0"/>
          <w:marBottom w:val="0"/>
          <w:divBdr>
            <w:top w:val="none" w:sz="0" w:space="0" w:color="auto"/>
            <w:left w:val="none" w:sz="0" w:space="0" w:color="auto"/>
            <w:bottom w:val="none" w:sz="0" w:space="0" w:color="auto"/>
            <w:right w:val="none" w:sz="0" w:space="0" w:color="auto"/>
          </w:divBdr>
        </w:div>
        <w:div w:id="458377158">
          <w:marLeft w:val="0"/>
          <w:marRight w:val="0"/>
          <w:marTop w:val="0"/>
          <w:marBottom w:val="0"/>
          <w:divBdr>
            <w:top w:val="none" w:sz="0" w:space="0" w:color="auto"/>
            <w:left w:val="none" w:sz="0" w:space="0" w:color="auto"/>
            <w:bottom w:val="none" w:sz="0" w:space="0" w:color="auto"/>
            <w:right w:val="none" w:sz="0" w:space="0" w:color="auto"/>
          </w:divBdr>
        </w:div>
        <w:div w:id="468522471">
          <w:marLeft w:val="0"/>
          <w:marRight w:val="0"/>
          <w:marTop w:val="0"/>
          <w:marBottom w:val="0"/>
          <w:divBdr>
            <w:top w:val="none" w:sz="0" w:space="0" w:color="auto"/>
            <w:left w:val="none" w:sz="0" w:space="0" w:color="auto"/>
            <w:bottom w:val="none" w:sz="0" w:space="0" w:color="auto"/>
            <w:right w:val="none" w:sz="0" w:space="0" w:color="auto"/>
          </w:divBdr>
        </w:div>
        <w:div w:id="988288268">
          <w:marLeft w:val="0"/>
          <w:marRight w:val="0"/>
          <w:marTop w:val="0"/>
          <w:marBottom w:val="0"/>
          <w:divBdr>
            <w:top w:val="none" w:sz="0" w:space="0" w:color="auto"/>
            <w:left w:val="none" w:sz="0" w:space="0" w:color="auto"/>
            <w:bottom w:val="none" w:sz="0" w:space="0" w:color="auto"/>
            <w:right w:val="none" w:sz="0" w:space="0" w:color="auto"/>
          </w:divBdr>
        </w:div>
        <w:div w:id="2044478978">
          <w:marLeft w:val="0"/>
          <w:marRight w:val="0"/>
          <w:marTop w:val="0"/>
          <w:marBottom w:val="0"/>
          <w:divBdr>
            <w:top w:val="none" w:sz="0" w:space="0" w:color="auto"/>
            <w:left w:val="none" w:sz="0" w:space="0" w:color="auto"/>
            <w:bottom w:val="none" w:sz="0" w:space="0" w:color="auto"/>
            <w:right w:val="none" w:sz="0" w:space="0" w:color="auto"/>
          </w:divBdr>
        </w:div>
        <w:div w:id="1699310808">
          <w:marLeft w:val="0"/>
          <w:marRight w:val="0"/>
          <w:marTop w:val="0"/>
          <w:marBottom w:val="0"/>
          <w:divBdr>
            <w:top w:val="none" w:sz="0" w:space="0" w:color="auto"/>
            <w:left w:val="none" w:sz="0" w:space="0" w:color="auto"/>
            <w:bottom w:val="none" w:sz="0" w:space="0" w:color="auto"/>
            <w:right w:val="none" w:sz="0" w:space="0" w:color="auto"/>
          </w:divBdr>
        </w:div>
        <w:div w:id="1052075566">
          <w:marLeft w:val="0"/>
          <w:marRight w:val="0"/>
          <w:marTop w:val="0"/>
          <w:marBottom w:val="0"/>
          <w:divBdr>
            <w:top w:val="none" w:sz="0" w:space="0" w:color="auto"/>
            <w:left w:val="none" w:sz="0" w:space="0" w:color="auto"/>
            <w:bottom w:val="none" w:sz="0" w:space="0" w:color="auto"/>
            <w:right w:val="none" w:sz="0" w:space="0" w:color="auto"/>
          </w:divBdr>
        </w:div>
        <w:div w:id="321391610">
          <w:marLeft w:val="0"/>
          <w:marRight w:val="0"/>
          <w:marTop w:val="0"/>
          <w:marBottom w:val="0"/>
          <w:divBdr>
            <w:top w:val="none" w:sz="0" w:space="0" w:color="auto"/>
            <w:left w:val="none" w:sz="0" w:space="0" w:color="auto"/>
            <w:bottom w:val="none" w:sz="0" w:space="0" w:color="auto"/>
            <w:right w:val="none" w:sz="0" w:space="0" w:color="auto"/>
          </w:divBdr>
        </w:div>
        <w:div w:id="2028746160">
          <w:marLeft w:val="0"/>
          <w:marRight w:val="0"/>
          <w:marTop w:val="0"/>
          <w:marBottom w:val="0"/>
          <w:divBdr>
            <w:top w:val="none" w:sz="0" w:space="0" w:color="auto"/>
            <w:left w:val="none" w:sz="0" w:space="0" w:color="auto"/>
            <w:bottom w:val="none" w:sz="0" w:space="0" w:color="auto"/>
            <w:right w:val="none" w:sz="0" w:space="0" w:color="auto"/>
          </w:divBdr>
        </w:div>
        <w:div w:id="784345409">
          <w:marLeft w:val="0"/>
          <w:marRight w:val="0"/>
          <w:marTop w:val="0"/>
          <w:marBottom w:val="0"/>
          <w:divBdr>
            <w:top w:val="none" w:sz="0" w:space="0" w:color="auto"/>
            <w:left w:val="none" w:sz="0" w:space="0" w:color="auto"/>
            <w:bottom w:val="none" w:sz="0" w:space="0" w:color="auto"/>
            <w:right w:val="none" w:sz="0" w:space="0" w:color="auto"/>
          </w:divBdr>
        </w:div>
        <w:div w:id="668216417">
          <w:marLeft w:val="0"/>
          <w:marRight w:val="0"/>
          <w:marTop w:val="0"/>
          <w:marBottom w:val="0"/>
          <w:divBdr>
            <w:top w:val="none" w:sz="0" w:space="0" w:color="auto"/>
            <w:left w:val="none" w:sz="0" w:space="0" w:color="auto"/>
            <w:bottom w:val="none" w:sz="0" w:space="0" w:color="auto"/>
            <w:right w:val="none" w:sz="0" w:space="0" w:color="auto"/>
          </w:divBdr>
        </w:div>
        <w:div w:id="173543672">
          <w:marLeft w:val="0"/>
          <w:marRight w:val="0"/>
          <w:marTop w:val="0"/>
          <w:marBottom w:val="0"/>
          <w:divBdr>
            <w:top w:val="none" w:sz="0" w:space="0" w:color="auto"/>
            <w:left w:val="none" w:sz="0" w:space="0" w:color="auto"/>
            <w:bottom w:val="none" w:sz="0" w:space="0" w:color="auto"/>
            <w:right w:val="none" w:sz="0" w:space="0" w:color="auto"/>
          </w:divBdr>
        </w:div>
        <w:div w:id="2107772038">
          <w:marLeft w:val="0"/>
          <w:marRight w:val="0"/>
          <w:marTop w:val="0"/>
          <w:marBottom w:val="0"/>
          <w:divBdr>
            <w:top w:val="none" w:sz="0" w:space="0" w:color="auto"/>
            <w:left w:val="none" w:sz="0" w:space="0" w:color="auto"/>
            <w:bottom w:val="none" w:sz="0" w:space="0" w:color="auto"/>
            <w:right w:val="none" w:sz="0" w:space="0" w:color="auto"/>
          </w:divBdr>
        </w:div>
        <w:div w:id="149373531">
          <w:marLeft w:val="0"/>
          <w:marRight w:val="0"/>
          <w:marTop w:val="0"/>
          <w:marBottom w:val="0"/>
          <w:divBdr>
            <w:top w:val="none" w:sz="0" w:space="0" w:color="auto"/>
            <w:left w:val="none" w:sz="0" w:space="0" w:color="auto"/>
            <w:bottom w:val="none" w:sz="0" w:space="0" w:color="auto"/>
            <w:right w:val="none" w:sz="0" w:space="0" w:color="auto"/>
          </w:divBdr>
        </w:div>
        <w:div w:id="768502438">
          <w:marLeft w:val="0"/>
          <w:marRight w:val="0"/>
          <w:marTop w:val="0"/>
          <w:marBottom w:val="0"/>
          <w:divBdr>
            <w:top w:val="none" w:sz="0" w:space="0" w:color="auto"/>
            <w:left w:val="none" w:sz="0" w:space="0" w:color="auto"/>
            <w:bottom w:val="none" w:sz="0" w:space="0" w:color="auto"/>
            <w:right w:val="none" w:sz="0" w:space="0" w:color="auto"/>
          </w:divBdr>
        </w:div>
        <w:div w:id="257719257">
          <w:marLeft w:val="0"/>
          <w:marRight w:val="0"/>
          <w:marTop w:val="0"/>
          <w:marBottom w:val="0"/>
          <w:divBdr>
            <w:top w:val="none" w:sz="0" w:space="0" w:color="auto"/>
            <w:left w:val="none" w:sz="0" w:space="0" w:color="auto"/>
            <w:bottom w:val="none" w:sz="0" w:space="0" w:color="auto"/>
            <w:right w:val="none" w:sz="0" w:space="0" w:color="auto"/>
          </w:divBdr>
        </w:div>
        <w:div w:id="1557551044">
          <w:marLeft w:val="0"/>
          <w:marRight w:val="0"/>
          <w:marTop w:val="0"/>
          <w:marBottom w:val="0"/>
          <w:divBdr>
            <w:top w:val="none" w:sz="0" w:space="0" w:color="auto"/>
            <w:left w:val="none" w:sz="0" w:space="0" w:color="auto"/>
            <w:bottom w:val="none" w:sz="0" w:space="0" w:color="auto"/>
            <w:right w:val="none" w:sz="0" w:space="0" w:color="auto"/>
          </w:divBdr>
        </w:div>
        <w:div w:id="211582300">
          <w:marLeft w:val="0"/>
          <w:marRight w:val="0"/>
          <w:marTop w:val="0"/>
          <w:marBottom w:val="0"/>
          <w:divBdr>
            <w:top w:val="none" w:sz="0" w:space="0" w:color="auto"/>
            <w:left w:val="none" w:sz="0" w:space="0" w:color="auto"/>
            <w:bottom w:val="none" w:sz="0" w:space="0" w:color="auto"/>
            <w:right w:val="none" w:sz="0" w:space="0" w:color="auto"/>
          </w:divBdr>
        </w:div>
        <w:div w:id="1893154527">
          <w:marLeft w:val="0"/>
          <w:marRight w:val="0"/>
          <w:marTop w:val="0"/>
          <w:marBottom w:val="0"/>
          <w:divBdr>
            <w:top w:val="none" w:sz="0" w:space="0" w:color="auto"/>
            <w:left w:val="none" w:sz="0" w:space="0" w:color="auto"/>
            <w:bottom w:val="none" w:sz="0" w:space="0" w:color="auto"/>
            <w:right w:val="none" w:sz="0" w:space="0" w:color="auto"/>
          </w:divBdr>
        </w:div>
        <w:div w:id="131753189">
          <w:marLeft w:val="0"/>
          <w:marRight w:val="0"/>
          <w:marTop w:val="0"/>
          <w:marBottom w:val="0"/>
          <w:divBdr>
            <w:top w:val="none" w:sz="0" w:space="0" w:color="auto"/>
            <w:left w:val="none" w:sz="0" w:space="0" w:color="auto"/>
            <w:bottom w:val="none" w:sz="0" w:space="0" w:color="auto"/>
            <w:right w:val="none" w:sz="0" w:space="0" w:color="auto"/>
          </w:divBdr>
        </w:div>
        <w:div w:id="982393881">
          <w:marLeft w:val="0"/>
          <w:marRight w:val="0"/>
          <w:marTop w:val="0"/>
          <w:marBottom w:val="0"/>
          <w:divBdr>
            <w:top w:val="none" w:sz="0" w:space="0" w:color="auto"/>
            <w:left w:val="none" w:sz="0" w:space="0" w:color="auto"/>
            <w:bottom w:val="none" w:sz="0" w:space="0" w:color="auto"/>
            <w:right w:val="none" w:sz="0" w:space="0" w:color="auto"/>
          </w:divBdr>
        </w:div>
        <w:div w:id="1704013374">
          <w:marLeft w:val="0"/>
          <w:marRight w:val="0"/>
          <w:marTop w:val="0"/>
          <w:marBottom w:val="0"/>
          <w:divBdr>
            <w:top w:val="none" w:sz="0" w:space="0" w:color="auto"/>
            <w:left w:val="none" w:sz="0" w:space="0" w:color="auto"/>
            <w:bottom w:val="none" w:sz="0" w:space="0" w:color="auto"/>
            <w:right w:val="none" w:sz="0" w:space="0" w:color="auto"/>
          </w:divBdr>
        </w:div>
        <w:div w:id="425738172">
          <w:marLeft w:val="0"/>
          <w:marRight w:val="0"/>
          <w:marTop w:val="0"/>
          <w:marBottom w:val="0"/>
          <w:divBdr>
            <w:top w:val="none" w:sz="0" w:space="0" w:color="auto"/>
            <w:left w:val="none" w:sz="0" w:space="0" w:color="auto"/>
            <w:bottom w:val="none" w:sz="0" w:space="0" w:color="auto"/>
            <w:right w:val="none" w:sz="0" w:space="0" w:color="auto"/>
          </w:divBdr>
        </w:div>
        <w:div w:id="763381539">
          <w:marLeft w:val="0"/>
          <w:marRight w:val="0"/>
          <w:marTop w:val="0"/>
          <w:marBottom w:val="0"/>
          <w:divBdr>
            <w:top w:val="none" w:sz="0" w:space="0" w:color="auto"/>
            <w:left w:val="none" w:sz="0" w:space="0" w:color="auto"/>
            <w:bottom w:val="none" w:sz="0" w:space="0" w:color="auto"/>
            <w:right w:val="none" w:sz="0" w:space="0" w:color="auto"/>
          </w:divBdr>
        </w:div>
        <w:div w:id="352075867">
          <w:marLeft w:val="0"/>
          <w:marRight w:val="0"/>
          <w:marTop w:val="0"/>
          <w:marBottom w:val="0"/>
          <w:divBdr>
            <w:top w:val="none" w:sz="0" w:space="0" w:color="auto"/>
            <w:left w:val="none" w:sz="0" w:space="0" w:color="auto"/>
            <w:bottom w:val="none" w:sz="0" w:space="0" w:color="auto"/>
            <w:right w:val="none" w:sz="0" w:space="0" w:color="auto"/>
          </w:divBdr>
        </w:div>
        <w:div w:id="1822966533">
          <w:marLeft w:val="0"/>
          <w:marRight w:val="0"/>
          <w:marTop w:val="0"/>
          <w:marBottom w:val="0"/>
          <w:divBdr>
            <w:top w:val="none" w:sz="0" w:space="0" w:color="auto"/>
            <w:left w:val="none" w:sz="0" w:space="0" w:color="auto"/>
            <w:bottom w:val="none" w:sz="0" w:space="0" w:color="auto"/>
            <w:right w:val="none" w:sz="0" w:space="0" w:color="auto"/>
          </w:divBdr>
        </w:div>
        <w:div w:id="533080392">
          <w:marLeft w:val="0"/>
          <w:marRight w:val="0"/>
          <w:marTop w:val="0"/>
          <w:marBottom w:val="0"/>
          <w:divBdr>
            <w:top w:val="none" w:sz="0" w:space="0" w:color="auto"/>
            <w:left w:val="none" w:sz="0" w:space="0" w:color="auto"/>
            <w:bottom w:val="none" w:sz="0" w:space="0" w:color="auto"/>
            <w:right w:val="none" w:sz="0" w:space="0" w:color="auto"/>
          </w:divBdr>
        </w:div>
        <w:div w:id="932786353">
          <w:marLeft w:val="0"/>
          <w:marRight w:val="0"/>
          <w:marTop w:val="0"/>
          <w:marBottom w:val="0"/>
          <w:divBdr>
            <w:top w:val="none" w:sz="0" w:space="0" w:color="auto"/>
            <w:left w:val="none" w:sz="0" w:space="0" w:color="auto"/>
            <w:bottom w:val="none" w:sz="0" w:space="0" w:color="auto"/>
            <w:right w:val="none" w:sz="0" w:space="0" w:color="auto"/>
          </w:divBdr>
        </w:div>
        <w:div w:id="2102212015">
          <w:marLeft w:val="0"/>
          <w:marRight w:val="0"/>
          <w:marTop w:val="0"/>
          <w:marBottom w:val="0"/>
          <w:divBdr>
            <w:top w:val="none" w:sz="0" w:space="0" w:color="auto"/>
            <w:left w:val="none" w:sz="0" w:space="0" w:color="auto"/>
            <w:bottom w:val="none" w:sz="0" w:space="0" w:color="auto"/>
            <w:right w:val="none" w:sz="0" w:space="0" w:color="auto"/>
          </w:divBdr>
        </w:div>
        <w:div w:id="596058993">
          <w:marLeft w:val="0"/>
          <w:marRight w:val="0"/>
          <w:marTop w:val="0"/>
          <w:marBottom w:val="0"/>
          <w:divBdr>
            <w:top w:val="none" w:sz="0" w:space="0" w:color="auto"/>
            <w:left w:val="none" w:sz="0" w:space="0" w:color="auto"/>
            <w:bottom w:val="none" w:sz="0" w:space="0" w:color="auto"/>
            <w:right w:val="none" w:sz="0" w:space="0" w:color="auto"/>
          </w:divBdr>
        </w:div>
        <w:div w:id="635374572">
          <w:marLeft w:val="0"/>
          <w:marRight w:val="0"/>
          <w:marTop w:val="0"/>
          <w:marBottom w:val="0"/>
          <w:divBdr>
            <w:top w:val="none" w:sz="0" w:space="0" w:color="auto"/>
            <w:left w:val="none" w:sz="0" w:space="0" w:color="auto"/>
            <w:bottom w:val="none" w:sz="0" w:space="0" w:color="auto"/>
            <w:right w:val="none" w:sz="0" w:space="0" w:color="auto"/>
          </w:divBdr>
        </w:div>
        <w:div w:id="1905212046">
          <w:marLeft w:val="0"/>
          <w:marRight w:val="0"/>
          <w:marTop w:val="0"/>
          <w:marBottom w:val="0"/>
          <w:divBdr>
            <w:top w:val="none" w:sz="0" w:space="0" w:color="auto"/>
            <w:left w:val="none" w:sz="0" w:space="0" w:color="auto"/>
            <w:bottom w:val="none" w:sz="0" w:space="0" w:color="auto"/>
            <w:right w:val="none" w:sz="0" w:space="0" w:color="auto"/>
          </w:divBdr>
        </w:div>
        <w:div w:id="2088569249">
          <w:marLeft w:val="0"/>
          <w:marRight w:val="0"/>
          <w:marTop w:val="0"/>
          <w:marBottom w:val="0"/>
          <w:divBdr>
            <w:top w:val="none" w:sz="0" w:space="0" w:color="auto"/>
            <w:left w:val="none" w:sz="0" w:space="0" w:color="auto"/>
            <w:bottom w:val="none" w:sz="0" w:space="0" w:color="auto"/>
            <w:right w:val="none" w:sz="0" w:space="0" w:color="auto"/>
          </w:divBdr>
        </w:div>
        <w:div w:id="1577393438">
          <w:marLeft w:val="0"/>
          <w:marRight w:val="0"/>
          <w:marTop w:val="0"/>
          <w:marBottom w:val="0"/>
          <w:divBdr>
            <w:top w:val="none" w:sz="0" w:space="0" w:color="auto"/>
            <w:left w:val="none" w:sz="0" w:space="0" w:color="auto"/>
            <w:bottom w:val="none" w:sz="0" w:space="0" w:color="auto"/>
            <w:right w:val="none" w:sz="0" w:space="0" w:color="auto"/>
          </w:divBdr>
        </w:div>
        <w:div w:id="562181626">
          <w:marLeft w:val="0"/>
          <w:marRight w:val="0"/>
          <w:marTop w:val="0"/>
          <w:marBottom w:val="0"/>
          <w:divBdr>
            <w:top w:val="none" w:sz="0" w:space="0" w:color="auto"/>
            <w:left w:val="none" w:sz="0" w:space="0" w:color="auto"/>
            <w:bottom w:val="none" w:sz="0" w:space="0" w:color="auto"/>
            <w:right w:val="none" w:sz="0" w:space="0" w:color="auto"/>
          </w:divBdr>
        </w:div>
        <w:div w:id="1193349521">
          <w:marLeft w:val="0"/>
          <w:marRight w:val="0"/>
          <w:marTop w:val="0"/>
          <w:marBottom w:val="0"/>
          <w:divBdr>
            <w:top w:val="none" w:sz="0" w:space="0" w:color="auto"/>
            <w:left w:val="none" w:sz="0" w:space="0" w:color="auto"/>
            <w:bottom w:val="none" w:sz="0" w:space="0" w:color="auto"/>
            <w:right w:val="none" w:sz="0" w:space="0" w:color="auto"/>
          </w:divBdr>
        </w:div>
        <w:div w:id="2107338173">
          <w:marLeft w:val="0"/>
          <w:marRight w:val="0"/>
          <w:marTop w:val="0"/>
          <w:marBottom w:val="0"/>
          <w:divBdr>
            <w:top w:val="none" w:sz="0" w:space="0" w:color="auto"/>
            <w:left w:val="none" w:sz="0" w:space="0" w:color="auto"/>
            <w:bottom w:val="none" w:sz="0" w:space="0" w:color="auto"/>
            <w:right w:val="none" w:sz="0" w:space="0" w:color="auto"/>
          </w:divBdr>
        </w:div>
        <w:div w:id="441462991">
          <w:marLeft w:val="0"/>
          <w:marRight w:val="0"/>
          <w:marTop w:val="0"/>
          <w:marBottom w:val="0"/>
          <w:divBdr>
            <w:top w:val="none" w:sz="0" w:space="0" w:color="auto"/>
            <w:left w:val="none" w:sz="0" w:space="0" w:color="auto"/>
            <w:bottom w:val="none" w:sz="0" w:space="0" w:color="auto"/>
            <w:right w:val="none" w:sz="0" w:space="0" w:color="auto"/>
          </w:divBdr>
        </w:div>
        <w:div w:id="161746561">
          <w:marLeft w:val="0"/>
          <w:marRight w:val="0"/>
          <w:marTop w:val="0"/>
          <w:marBottom w:val="0"/>
          <w:divBdr>
            <w:top w:val="none" w:sz="0" w:space="0" w:color="auto"/>
            <w:left w:val="none" w:sz="0" w:space="0" w:color="auto"/>
            <w:bottom w:val="none" w:sz="0" w:space="0" w:color="auto"/>
            <w:right w:val="none" w:sz="0" w:space="0" w:color="auto"/>
          </w:divBdr>
        </w:div>
        <w:div w:id="43138161">
          <w:marLeft w:val="0"/>
          <w:marRight w:val="0"/>
          <w:marTop w:val="0"/>
          <w:marBottom w:val="0"/>
          <w:divBdr>
            <w:top w:val="none" w:sz="0" w:space="0" w:color="auto"/>
            <w:left w:val="none" w:sz="0" w:space="0" w:color="auto"/>
            <w:bottom w:val="none" w:sz="0" w:space="0" w:color="auto"/>
            <w:right w:val="none" w:sz="0" w:space="0" w:color="auto"/>
          </w:divBdr>
        </w:div>
        <w:div w:id="1221937887">
          <w:marLeft w:val="0"/>
          <w:marRight w:val="0"/>
          <w:marTop w:val="0"/>
          <w:marBottom w:val="0"/>
          <w:divBdr>
            <w:top w:val="none" w:sz="0" w:space="0" w:color="auto"/>
            <w:left w:val="none" w:sz="0" w:space="0" w:color="auto"/>
            <w:bottom w:val="none" w:sz="0" w:space="0" w:color="auto"/>
            <w:right w:val="none" w:sz="0" w:space="0" w:color="auto"/>
          </w:divBdr>
        </w:div>
        <w:div w:id="1909418434">
          <w:marLeft w:val="0"/>
          <w:marRight w:val="0"/>
          <w:marTop w:val="0"/>
          <w:marBottom w:val="0"/>
          <w:divBdr>
            <w:top w:val="none" w:sz="0" w:space="0" w:color="auto"/>
            <w:left w:val="none" w:sz="0" w:space="0" w:color="auto"/>
            <w:bottom w:val="none" w:sz="0" w:space="0" w:color="auto"/>
            <w:right w:val="none" w:sz="0" w:space="0" w:color="auto"/>
          </w:divBdr>
        </w:div>
        <w:div w:id="1405297112">
          <w:marLeft w:val="0"/>
          <w:marRight w:val="0"/>
          <w:marTop w:val="0"/>
          <w:marBottom w:val="0"/>
          <w:divBdr>
            <w:top w:val="none" w:sz="0" w:space="0" w:color="auto"/>
            <w:left w:val="none" w:sz="0" w:space="0" w:color="auto"/>
            <w:bottom w:val="none" w:sz="0" w:space="0" w:color="auto"/>
            <w:right w:val="none" w:sz="0" w:space="0" w:color="auto"/>
          </w:divBdr>
        </w:div>
        <w:div w:id="1631746103">
          <w:marLeft w:val="0"/>
          <w:marRight w:val="0"/>
          <w:marTop w:val="0"/>
          <w:marBottom w:val="0"/>
          <w:divBdr>
            <w:top w:val="none" w:sz="0" w:space="0" w:color="auto"/>
            <w:left w:val="none" w:sz="0" w:space="0" w:color="auto"/>
            <w:bottom w:val="none" w:sz="0" w:space="0" w:color="auto"/>
            <w:right w:val="none" w:sz="0" w:space="0" w:color="auto"/>
          </w:divBdr>
        </w:div>
        <w:div w:id="2055541257">
          <w:marLeft w:val="0"/>
          <w:marRight w:val="0"/>
          <w:marTop w:val="0"/>
          <w:marBottom w:val="0"/>
          <w:divBdr>
            <w:top w:val="none" w:sz="0" w:space="0" w:color="auto"/>
            <w:left w:val="none" w:sz="0" w:space="0" w:color="auto"/>
            <w:bottom w:val="none" w:sz="0" w:space="0" w:color="auto"/>
            <w:right w:val="none" w:sz="0" w:space="0" w:color="auto"/>
          </w:divBdr>
        </w:div>
        <w:div w:id="1611476442">
          <w:marLeft w:val="0"/>
          <w:marRight w:val="0"/>
          <w:marTop w:val="0"/>
          <w:marBottom w:val="0"/>
          <w:divBdr>
            <w:top w:val="none" w:sz="0" w:space="0" w:color="auto"/>
            <w:left w:val="none" w:sz="0" w:space="0" w:color="auto"/>
            <w:bottom w:val="none" w:sz="0" w:space="0" w:color="auto"/>
            <w:right w:val="none" w:sz="0" w:space="0" w:color="auto"/>
          </w:divBdr>
        </w:div>
        <w:div w:id="503397670">
          <w:marLeft w:val="0"/>
          <w:marRight w:val="0"/>
          <w:marTop w:val="0"/>
          <w:marBottom w:val="0"/>
          <w:divBdr>
            <w:top w:val="none" w:sz="0" w:space="0" w:color="auto"/>
            <w:left w:val="none" w:sz="0" w:space="0" w:color="auto"/>
            <w:bottom w:val="none" w:sz="0" w:space="0" w:color="auto"/>
            <w:right w:val="none" w:sz="0" w:space="0" w:color="auto"/>
          </w:divBdr>
        </w:div>
        <w:div w:id="1817336209">
          <w:marLeft w:val="0"/>
          <w:marRight w:val="0"/>
          <w:marTop w:val="0"/>
          <w:marBottom w:val="0"/>
          <w:divBdr>
            <w:top w:val="none" w:sz="0" w:space="0" w:color="auto"/>
            <w:left w:val="none" w:sz="0" w:space="0" w:color="auto"/>
            <w:bottom w:val="none" w:sz="0" w:space="0" w:color="auto"/>
            <w:right w:val="none" w:sz="0" w:space="0" w:color="auto"/>
          </w:divBdr>
        </w:div>
        <w:div w:id="855312174">
          <w:marLeft w:val="0"/>
          <w:marRight w:val="0"/>
          <w:marTop w:val="0"/>
          <w:marBottom w:val="0"/>
          <w:divBdr>
            <w:top w:val="none" w:sz="0" w:space="0" w:color="auto"/>
            <w:left w:val="none" w:sz="0" w:space="0" w:color="auto"/>
            <w:bottom w:val="none" w:sz="0" w:space="0" w:color="auto"/>
            <w:right w:val="none" w:sz="0" w:space="0" w:color="auto"/>
          </w:divBdr>
        </w:div>
        <w:div w:id="1956401272">
          <w:marLeft w:val="0"/>
          <w:marRight w:val="0"/>
          <w:marTop w:val="0"/>
          <w:marBottom w:val="0"/>
          <w:divBdr>
            <w:top w:val="none" w:sz="0" w:space="0" w:color="auto"/>
            <w:left w:val="none" w:sz="0" w:space="0" w:color="auto"/>
            <w:bottom w:val="none" w:sz="0" w:space="0" w:color="auto"/>
            <w:right w:val="none" w:sz="0" w:space="0" w:color="auto"/>
          </w:divBdr>
        </w:div>
        <w:div w:id="512652541">
          <w:marLeft w:val="0"/>
          <w:marRight w:val="0"/>
          <w:marTop w:val="0"/>
          <w:marBottom w:val="0"/>
          <w:divBdr>
            <w:top w:val="none" w:sz="0" w:space="0" w:color="auto"/>
            <w:left w:val="none" w:sz="0" w:space="0" w:color="auto"/>
            <w:bottom w:val="none" w:sz="0" w:space="0" w:color="auto"/>
            <w:right w:val="none" w:sz="0" w:space="0" w:color="auto"/>
          </w:divBdr>
        </w:div>
        <w:div w:id="786123214">
          <w:marLeft w:val="0"/>
          <w:marRight w:val="0"/>
          <w:marTop w:val="0"/>
          <w:marBottom w:val="0"/>
          <w:divBdr>
            <w:top w:val="none" w:sz="0" w:space="0" w:color="auto"/>
            <w:left w:val="none" w:sz="0" w:space="0" w:color="auto"/>
            <w:bottom w:val="none" w:sz="0" w:space="0" w:color="auto"/>
            <w:right w:val="none" w:sz="0" w:space="0" w:color="auto"/>
          </w:divBdr>
        </w:div>
        <w:div w:id="28184348">
          <w:marLeft w:val="0"/>
          <w:marRight w:val="0"/>
          <w:marTop w:val="0"/>
          <w:marBottom w:val="0"/>
          <w:divBdr>
            <w:top w:val="none" w:sz="0" w:space="0" w:color="auto"/>
            <w:left w:val="none" w:sz="0" w:space="0" w:color="auto"/>
            <w:bottom w:val="none" w:sz="0" w:space="0" w:color="auto"/>
            <w:right w:val="none" w:sz="0" w:space="0" w:color="auto"/>
          </w:divBdr>
        </w:div>
        <w:div w:id="580721739">
          <w:marLeft w:val="0"/>
          <w:marRight w:val="0"/>
          <w:marTop w:val="0"/>
          <w:marBottom w:val="0"/>
          <w:divBdr>
            <w:top w:val="none" w:sz="0" w:space="0" w:color="auto"/>
            <w:left w:val="none" w:sz="0" w:space="0" w:color="auto"/>
            <w:bottom w:val="none" w:sz="0" w:space="0" w:color="auto"/>
            <w:right w:val="none" w:sz="0" w:space="0" w:color="auto"/>
          </w:divBdr>
        </w:div>
        <w:div w:id="22708181">
          <w:marLeft w:val="0"/>
          <w:marRight w:val="0"/>
          <w:marTop w:val="0"/>
          <w:marBottom w:val="0"/>
          <w:divBdr>
            <w:top w:val="none" w:sz="0" w:space="0" w:color="auto"/>
            <w:left w:val="none" w:sz="0" w:space="0" w:color="auto"/>
            <w:bottom w:val="none" w:sz="0" w:space="0" w:color="auto"/>
            <w:right w:val="none" w:sz="0" w:space="0" w:color="auto"/>
          </w:divBdr>
        </w:div>
        <w:div w:id="704476909">
          <w:marLeft w:val="0"/>
          <w:marRight w:val="0"/>
          <w:marTop w:val="0"/>
          <w:marBottom w:val="0"/>
          <w:divBdr>
            <w:top w:val="none" w:sz="0" w:space="0" w:color="auto"/>
            <w:left w:val="none" w:sz="0" w:space="0" w:color="auto"/>
            <w:bottom w:val="none" w:sz="0" w:space="0" w:color="auto"/>
            <w:right w:val="none" w:sz="0" w:space="0" w:color="auto"/>
          </w:divBdr>
        </w:div>
        <w:div w:id="278802869">
          <w:marLeft w:val="0"/>
          <w:marRight w:val="0"/>
          <w:marTop w:val="0"/>
          <w:marBottom w:val="0"/>
          <w:divBdr>
            <w:top w:val="none" w:sz="0" w:space="0" w:color="auto"/>
            <w:left w:val="none" w:sz="0" w:space="0" w:color="auto"/>
            <w:bottom w:val="none" w:sz="0" w:space="0" w:color="auto"/>
            <w:right w:val="none" w:sz="0" w:space="0" w:color="auto"/>
          </w:divBdr>
        </w:div>
        <w:div w:id="286281931">
          <w:marLeft w:val="0"/>
          <w:marRight w:val="0"/>
          <w:marTop w:val="0"/>
          <w:marBottom w:val="0"/>
          <w:divBdr>
            <w:top w:val="none" w:sz="0" w:space="0" w:color="auto"/>
            <w:left w:val="none" w:sz="0" w:space="0" w:color="auto"/>
            <w:bottom w:val="none" w:sz="0" w:space="0" w:color="auto"/>
            <w:right w:val="none" w:sz="0" w:space="0" w:color="auto"/>
          </w:divBdr>
        </w:div>
        <w:div w:id="419446763">
          <w:marLeft w:val="0"/>
          <w:marRight w:val="0"/>
          <w:marTop w:val="0"/>
          <w:marBottom w:val="0"/>
          <w:divBdr>
            <w:top w:val="none" w:sz="0" w:space="0" w:color="auto"/>
            <w:left w:val="none" w:sz="0" w:space="0" w:color="auto"/>
            <w:bottom w:val="none" w:sz="0" w:space="0" w:color="auto"/>
            <w:right w:val="none" w:sz="0" w:space="0" w:color="auto"/>
          </w:divBdr>
        </w:div>
        <w:div w:id="775708634">
          <w:marLeft w:val="0"/>
          <w:marRight w:val="0"/>
          <w:marTop w:val="0"/>
          <w:marBottom w:val="0"/>
          <w:divBdr>
            <w:top w:val="none" w:sz="0" w:space="0" w:color="auto"/>
            <w:left w:val="none" w:sz="0" w:space="0" w:color="auto"/>
            <w:bottom w:val="none" w:sz="0" w:space="0" w:color="auto"/>
            <w:right w:val="none" w:sz="0" w:space="0" w:color="auto"/>
          </w:divBdr>
        </w:div>
        <w:div w:id="1102841991">
          <w:marLeft w:val="0"/>
          <w:marRight w:val="0"/>
          <w:marTop w:val="0"/>
          <w:marBottom w:val="0"/>
          <w:divBdr>
            <w:top w:val="none" w:sz="0" w:space="0" w:color="auto"/>
            <w:left w:val="none" w:sz="0" w:space="0" w:color="auto"/>
            <w:bottom w:val="none" w:sz="0" w:space="0" w:color="auto"/>
            <w:right w:val="none" w:sz="0" w:space="0" w:color="auto"/>
          </w:divBdr>
        </w:div>
        <w:div w:id="1009016970">
          <w:marLeft w:val="0"/>
          <w:marRight w:val="0"/>
          <w:marTop w:val="0"/>
          <w:marBottom w:val="0"/>
          <w:divBdr>
            <w:top w:val="none" w:sz="0" w:space="0" w:color="auto"/>
            <w:left w:val="none" w:sz="0" w:space="0" w:color="auto"/>
            <w:bottom w:val="none" w:sz="0" w:space="0" w:color="auto"/>
            <w:right w:val="none" w:sz="0" w:space="0" w:color="auto"/>
          </w:divBdr>
        </w:div>
        <w:div w:id="895118217">
          <w:marLeft w:val="0"/>
          <w:marRight w:val="0"/>
          <w:marTop w:val="0"/>
          <w:marBottom w:val="0"/>
          <w:divBdr>
            <w:top w:val="none" w:sz="0" w:space="0" w:color="auto"/>
            <w:left w:val="none" w:sz="0" w:space="0" w:color="auto"/>
            <w:bottom w:val="none" w:sz="0" w:space="0" w:color="auto"/>
            <w:right w:val="none" w:sz="0" w:space="0" w:color="auto"/>
          </w:divBdr>
        </w:div>
        <w:div w:id="459809609">
          <w:marLeft w:val="0"/>
          <w:marRight w:val="0"/>
          <w:marTop w:val="0"/>
          <w:marBottom w:val="0"/>
          <w:divBdr>
            <w:top w:val="none" w:sz="0" w:space="0" w:color="auto"/>
            <w:left w:val="none" w:sz="0" w:space="0" w:color="auto"/>
            <w:bottom w:val="none" w:sz="0" w:space="0" w:color="auto"/>
            <w:right w:val="none" w:sz="0" w:space="0" w:color="auto"/>
          </w:divBdr>
        </w:div>
        <w:div w:id="1035809136">
          <w:marLeft w:val="0"/>
          <w:marRight w:val="0"/>
          <w:marTop w:val="0"/>
          <w:marBottom w:val="0"/>
          <w:divBdr>
            <w:top w:val="none" w:sz="0" w:space="0" w:color="auto"/>
            <w:left w:val="none" w:sz="0" w:space="0" w:color="auto"/>
            <w:bottom w:val="none" w:sz="0" w:space="0" w:color="auto"/>
            <w:right w:val="none" w:sz="0" w:space="0" w:color="auto"/>
          </w:divBdr>
        </w:div>
        <w:div w:id="876624524">
          <w:marLeft w:val="0"/>
          <w:marRight w:val="0"/>
          <w:marTop w:val="0"/>
          <w:marBottom w:val="0"/>
          <w:divBdr>
            <w:top w:val="none" w:sz="0" w:space="0" w:color="auto"/>
            <w:left w:val="none" w:sz="0" w:space="0" w:color="auto"/>
            <w:bottom w:val="none" w:sz="0" w:space="0" w:color="auto"/>
            <w:right w:val="none" w:sz="0" w:space="0" w:color="auto"/>
          </w:divBdr>
        </w:div>
        <w:div w:id="468330205">
          <w:marLeft w:val="0"/>
          <w:marRight w:val="0"/>
          <w:marTop w:val="0"/>
          <w:marBottom w:val="0"/>
          <w:divBdr>
            <w:top w:val="none" w:sz="0" w:space="0" w:color="auto"/>
            <w:left w:val="none" w:sz="0" w:space="0" w:color="auto"/>
            <w:bottom w:val="none" w:sz="0" w:space="0" w:color="auto"/>
            <w:right w:val="none" w:sz="0" w:space="0" w:color="auto"/>
          </w:divBdr>
        </w:div>
        <w:div w:id="315232813">
          <w:marLeft w:val="0"/>
          <w:marRight w:val="0"/>
          <w:marTop w:val="0"/>
          <w:marBottom w:val="0"/>
          <w:divBdr>
            <w:top w:val="none" w:sz="0" w:space="0" w:color="auto"/>
            <w:left w:val="none" w:sz="0" w:space="0" w:color="auto"/>
            <w:bottom w:val="none" w:sz="0" w:space="0" w:color="auto"/>
            <w:right w:val="none" w:sz="0" w:space="0" w:color="auto"/>
          </w:divBdr>
        </w:div>
        <w:div w:id="1720085402">
          <w:marLeft w:val="0"/>
          <w:marRight w:val="0"/>
          <w:marTop w:val="0"/>
          <w:marBottom w:val="0"/>
          <w:divBdr>
            <w:top w:val="none" w:sz="0" w:space="0" w:color="auto"/>
            <w:left w:val="none" w:sz="0" w:space="0" w:color="auto"/>
            <w:bottom w:val="none" w:sz="0" w:space="0" w:color="auto"/>
            <w:right w:val="none" w:sz="0" w:space="0" w:color="auto"/>
          </w:divBdr>
        </w:div>
        <w:div w:id="477958094">
          <w:marLeft w:val="0"/>
          <w:marRight w:val="0"/>
          <w:marTop w:val="0"/>
          <w:marBottom w:val="0"/>
          <w:divBdr>
            <w:top w:val="none" w:sz="0" w:space="0" w:color="auto"/>
            <w:left w:val="none" w:sz="0" w:space="0" w:color="auto"/>
            <w:bottom w:val="none" w:sz="0" w:space="0" w:color="auto"/>
            <w:right w:val="none" w:sz="0" w:space="0" w:color="auto"/>
          </w:divBdr>
        </w:div>
        <w:div w:id="1791316213">
          <w:marLeft w:val="0"/>
          <w:marRight w:val="0"/>
          <w:marTop w:val="0"/>
          <w:marBottom w:val="0"/>
          <w:divBdr>
            <w:top w:val="none" w:sz="0" w:space="0" w:color="auto"/>
            <w:left w:val="none" w:sz="0" w:space="0" w:color="auto"/>
            <w:bottom w:val="none" w:sz="0" w:space="0" w:color="auto"/>
            <w:right w:val="none" w:sz="0" w:space="0" w:color="auto"/>
          </w:divBdr>
        </w:div>
        <w:div w:id="1736735114">
          <w:marLeft w:val="0"/>
          <w:marRight w:val="0"/>
          <w:marTop w:val="0"/>
          <w:marBottom w:val="0"/>
          <w:divBdr>
            <w:top w:val="none" w:sz="0" w:space="0" w:color="auto"/>
            <w:left w:val="none" w:sz="0" w:space="0" w:color="auto"/>
            <w:bottom w:val="none" w:sz="0" w:space="0" w:color="auto"/>
            <w:right w:val="none" w:sz="0" w:space="0" w:color="auto"/>
          </w:divBdr>
        </w:div>
        <w:div w:id="1341005257">
          <w:marLeft w:val="0"/>
          <w:marRight w:val="0"/>
          <w:marTop w:val="0"/>
          <w:marBottom w:val="0"/>
          <w:divBdr>
            <w:top w:val="none" w:sz="0" w:space="0" w:color="auto"/>
            <w:left w:val="none" w:sz="0" w:space="0" w:color="auto"/>
            <w:bottom w:val="none" w:sz="0" w:space="0" w:color="auto"/>
            <w:right w:val="none" w:sz="0" w:space="0" w:color="auto"/>
          </w:divBdr>
        </w:div>
        <w:div w:id="635835889">
          <w:marLeft w:val="0"/>
          <w:marRight w:val="0"/>
          <w:marTop w:val="0"/>
          <w:marBottom w:val="0"/>
          <w:divBdr>
            <w:top w:val="none" w:sz="0" w:space="0" w:color="auto"/>
            <w:left w:val="none" w:sz="0" w:space="0" w:color="auto"/>
            <w:bottom w:val="none" w:sz="0" w:space="0" w:color="auto"/>
            <w:right w:val="none" w:sz="0" w:space="0" w:color="auto"/>
          </w:divBdr>
        </w:div>
        <w:div w:id="1597132202">
          <w:marLeft w:val="0"/>
          <w:marRight w:val="0"/>
          <w:marTop w:val="0"/>
          <w:marBottom w:val="0"/>
          <w:divBdr>
            <w:top w:val="none" w:sz="0" w:space="0" w:color="auto"/>
            <w:left w:val="none" w:sz="0" w:space="0" w:color="auto"/>
            <w:bottom w:val="none" w:sz="0" w:space="0" w:color="auto"/>
            <w:right w:val="none" w:sz="0" w:space="0" w:color="auto"/>
          </w:divBdr>
        </w:div>
        <w:div w:id="320351735">
          <w:marLeft w:val="0"/>
          <w:marRight w:val="0"/>
          <w:marTop w:val="0"/>
          <w:marBottom w:val="0"/>
          <w:divBdr>
            <w:top w:val="none" w:sz="0" w:space="0" w:color="auto"/>
            <w:left w:val="none" w:sz="0" w:space="0" w:color="auto"/>
            <w:bottom w:val="none" w:sz="0" w:space="0" w:color="auto"/>
            <w:right w:val="none" w:sz="0" w:space="0" w:color="auto"/>
          </w:divBdr>
        </w:div>
        <w:div w:id="1753813371">
          <w:marLeft w:val="0"/>
          <w:marRight w:val="0"/>
          <w:marTop w:val="0"/>
          <w:marBottom w:val="0"/>
          <w:divBdr>
            <w:top w:val="none" w:sz="0" w:space="0" w:color="auto"/>
            <w:left w:val="none" w:sz="0" w:space="0" w:color="auto"/>
            <w:bottom w:val="none" w:sz="0" w:space="0" w:color="auto"/>
            <w:right w:val="none" w:sz="0" w:space="0" w:color="auto"/>
          </w:divBdr>
        </w:div>
        <w:div w:id="473105353">
          <w:marLeft w:val="0"/>
          <w:marRight w:val="0"/>
          <w:marTop w:val="0"/>
          <w:marBottom w:val="0"/>
          <w:divBdr>
            <w:top w:val="none" w:sz="0" w:space="0" w:color="auto"/>
            <w:left w:val="none" w:sz="0" w:space="0" w:color="auto"/>
            <w:bottom w:val="none" w:sz="0" w:space="0" w:color="auto"/>
            <w:right w:val="none" w:sz="0" w:space="0" w:color="auto"/>
          </w:divBdr>
        </w:div>
        <w:div w:id="1253927123">
          <w:marLeft w:val="0"/>
          <w:marRight w:val="0"/>
          <w:marTop w:val="0"/>
          <w:marBottom w:val="0"/>
          <w:divBdr>
            <w:top w:val="none" w:sz="0" w:space="0" w:color="auto"/>
            <w:left w:val="none" w:sz="0" w:space="0" w:color="auto"/>
            <w:bottom w:val="none" w:sz="0" w:space="0" w:color="auto"/>
            <w:right w:val="none" w:sz="0" w:space="0" w:color="auto"/>
          </w:divBdr>
        </w:div>
        <w:div w:id="476724288">
          <w:marLeft w:val="0"/>
          <w:marRight w:val="0"/>
          <w:marTop w:val="0"/>
          <w:marBottom w:val="0"/>
          <w:divBdr>
            <w:top w:val="none" w:sz="0" w:space="0" w:color="auto"/>
            <w:left w:val="none" w:sz="0" w:space="0" w:color="auto"/>
            <w:bottom w:val="none" w:sz="0" w:space="0" w:color="auto"/>
            <w:right w:val="none" w:sz="0" w:space="0" w:color="auto"/>
          </w:divBdr>
        </w:div>
        <w:div w:id="1823505098">
          <w:marLeft w:val="0"/>
          <w:marRight w:val="0"/>
          <w:marTop w:val="0"/>
          <w:marBottom w:val="0"/>
          <w:divBdr>
            <w:top w:val="none" w:sz="0" w:space="0" w:color="auto"/>
            <w:left w:val="none" w:sz="0" w:space="0" w:color="auto"/>
            <w:bottom w:val="none" w:sz="0" w:space="0" w:color="auto"/>
            <w:right w:val="none" w:sz="0" w:space="0" w:color="auto"/>
          </w:divBdr>
        </w:div>
        <w:div w:id="1457674399">
          <w:marLeft w:val="0"/>
          <w:marRight w:val="0"/>
          <w:marTop w:val="0"/>
          <w:marBottom w:val="0"/>
          <w:divBdr>
            <w:top w:val="none" w:sz="0" w:space="0" w:color="auto"/>
            <w:left w:val="none" w:sz="0" w:space="0" w:color="auto"/>
            <w:bottom w:val="none" w:sz="0" w:space="0" w:color="auto"/>
            <w:right w:val="none" w:sz="0" w:space="0" w:color="auto"/>
          </w:divBdr>
        </w:div>
        <w:div w:id="1946887645">
          <w:marLeft w:val="0"/>
          <w:marRight w:val="0"/>
          <w:marTop w:val="0"/>
          <w:marBottom w:val="0"/>
          <w:divBdr>
            <w:top w:val="none" w:sz="0" w:space="0" w:color="auto"/>
            <w:left w:val="none" w:sz="0" w:space="0" w:color="auto"/>
            <w:bottom w:val="none" w:sz="0" w:space="0" w:color="auto"/>
            <w:right w:val="none" w:sz="0" w:space="0" w:color="auto"/>
          </w:divBdr>
        </w:div>
        <w:div w:id="308443911">
          <w:marLeft w:val="0"/>
          <w:marRight w:val="0"/>
          <w:marTop w:val="0"/>
          <w:marBottom w:val="0"/>
          <w:divBdr>
            <w:top w:val="none" w:sz="0" w:space="0" w:color="auto"/>
            <w:left w:val="none" w:sz="0" w:space="0" w:color="auto"/>
            <w:bottom w:val="none" w:sz="0" w:space="0" w:color="auto"/>
            <w:right w:val="none" w:sz="0" w:space="0" w:color="auto"/>
          </w:divBdr>
        </w:div>
        <w:div w:id="2057391695">
          <w:marLeft w:val="0"/>
          <w:marRight w:val="0"/>
          <w:marTop w:val="0"/>
          <w:marBottom w:val="0"/>
          <w:divBdr>
            <w:top w:val="none" w:sz="0" w:space="0" w:color="auto"/>
            <w:left w:val="none" w:sz="0" w:space="0" w:color="auto"/>
            <w:bottom w:val="none" w:sz="0" w:space="0" w:color="auto"/>
            <w:right w:val="none" w:sz="0" w:space="0" w:color="auto"/>
          </w:divBdr>
        </w:div>
        <w:div w:id="1456211536">
          <w:marLeft w:val="0"/>
          <w:marRight w:val="0"/>
          <w:marTop w:val="0"/>
          <w:marBottom w:val="0"/>
          <w:divBdr>
            <w:top w:val="none" w:sz="0" w:space="0" w:color="auto"/>
            <w:left w:val="none" w:sz="0" w:space="0" w:color="auto"/>
            <w:bottom w:val="none" w:sz="0" w:space="0" w:color="auto"/>
            <w:right w:val="none" w:sz="0" w:space="0" w:color="auto"/>
          </w:divBdr>
        </w:div>
        <w:div w:id="1084453403">
          <w:marLeft w:val="0"/>
          <w:marRight w:val="0"/>
          <w:marTop w:val="0"/>
          <w:marBottom w:val="0"/>
          <w:divBdr>
            <w:top w:val="none" w:sz="0" w:space="0" w:color="auto"/>
            <w:left w:val="none" w:sz="0" w:space="0" w:color="auto"/>
            <w:bottom w:val="none" w:sz="0" w:space="0" w:color="auto"/>
            <w:right w:val="none" w:sz="0" w:space="0" w:color="auto"/>
          </w:divBdr>
        </w:div>
        <w:div w:id="492599445">
          <w:marLeft w:val="0"/>
          <w:marRight w:val="0"/>
          <w:marTop w:val="0"/>
          <w:marBottom w:val="0"/>
          <w:divBdr>
            <w:top w:val="none" w:sz="0" w:space="0" w:color="auto"/>
            <w:left w:val="none" w:sz="0" w:space="0" w:color="auto"/>
            <w:bottom w:val="none" w:sz="0" w:space="0" w:color="auto"/>
            <w:right w:val="none" w:sz="0" w:space="0" w:color="auto"/>
          </w:divBdr>
        </w:div>
        <w:div w:id="396057653">
          <w:marLeft w:val="0"/>
          <w:marRight w:val="0"/>
          <w:marTop w:val="0"/>
          <w:marBottom w:val="0"/>
          <w:divBdr>
            <w:top w:val="none" w:sz="0" w:space="0" w:color="auto"/>
            <w:left w:val="none" w:sz="0" w:space="0" w:color="auto"/>
            <w:bottom w:val="none" w:sz="0" w:space="0" w:color="auto"/>
            <w:right w:val="none" w:sz="0" w:space="0" w:color="auto"/>
          </w:divBdr>
        </w:div>
        <w:div w:id="163908893">
          <w:marLeft w:val="0"/>
          <w:marRight w:val="0"/>
          <w:marTop w:val="0"/>
          <w:marBottom w:val="0"/>
          <w:divBdr>
            <w:top w:val="none" w:sz="0" w:space="0" w:color="auto"/>
            <w:left w:val="none" w:sz="0" w:space="0" w:color="auto"/>
            <w:bottom w:val="none" w:sz="0" w:space="0" w:color="auto"/>
            <w:right w:val="none" w:sz="0" w:space="0" w:color="auto"/>
          </w:divBdr>
        </w:div>
        <w:div w:id="771054459">
          <w:marLeft w:val="0"/>
          <w:marRight w:val="0"/>
          <w:marTop w:val="0"/>
          <w:marBottom w:val="0"/>
          <w:divBdr>
            <w:top w:val="none" w:sz="0" w:space="0" w:color="auto"/>
            <w:left w:val="none" w:sz="0" w:space="0" w:color="auto"/>
            <w:bottom w:val="none" w:sz="0" w:space="0" w:color="auto"/>
            <w:right w:val="none" w:sz="0" w:space="0" w:color="auto"/>
          </w:divBdr>
        </w:div>
        <w:div w:id="726951950">
          <w:marLeft w:val="0"/>
          <w:marRight w:val="0"/>
          <w:marTop w:val="0"/>
          <w:marBottom w:val="0"/>
          <w:divBdr>
            <w:top w:val="none" w:sz="0" w:space="0" w:color="auto"/>
            <w:left w:val="none" w:sz="0" w:space="0" w:color="auto"/>
            <w:bottom w:val="none" w:sz="0" w:space="0" w:color="auto"/>
            <w:right w:val="none" w:sz="0" w:space="0" w:color="auto"/>
          </w:divBdr>
        </w:div>
        <w:div w:id="220554930">
          <w:marLeft w:val="0"/>
          <w:marRight w:val="0"/>
          <w:marTop w:val="0"/>
          <w:marBottom w:val="0"/>
          <w:divBdr>
            <w:top w:val="none" w:sz="0" w:space="0" w:color="auto"/>
            <w:left w:val="none" w:sz="0" w:space="0" w:color="auto"/>
            <w:bottom w:val="none" w:sz="0" w:space="0" w:color="auto"/>
            <w:right w:val="none" w:sz="0" w:space="0" w:color="auto"/>
          </w:divBdr>
        </w:div>
        <w:div w:id="1875727539">
          <w:marLeft w:val="0"/>
          <w:marRight w:val="0"/>
          <w:marTop w:val="0"/>
          <w:marBottom w:val="0"/>
          <w:divBdr>
            <w:top w:val="none" w:sz="0" w:space="0" w:color="auto"/>
            <w:left w:val="none" w:sz="0" w:space="0" w:color="auto"/>
            <w:bottom w:val="none" w:sz="0" w:space="0" w:color="auto"/>
            <w:right w:val="none" w:sz="0" w:space="0" w:color="auto"/>
          </w:divBdr>
        </w:div>
        <w:div w:id="64836381">
          <w:marLeft w:val="0"/>
          <w:marRight w:val="0"/>
          <w:marTop w:val="0"/>
          <w:marBottom w:val="0"/>
          <w:divBdr>
            <w:top w:val="none" w:sz="0" w:space="0" w:color="auto"/>
            <w:left w:val="none" w:sz="0" w:space="0" w:color="auto"/>
            <w:bottom w:val="none" w:sz="0" w:space="0" w:color="auto"/>
            <w:right w:val="none" w:sz="0" w:space="0" w:color="auto"/>
          </w:divBdr>
        </w:div>
        <w:div w:id="305277497">
          <w:marLeft w:val="0"/>
          <w:marRight w:val="0"/>
          <w:marTop w:val="0"/>
          <w:marBottom w:val="0"/>
          <w:divBdr>
            <w:top w:val="none" w:sz="0" w:space="0" w:color="auto"/>
            <w:left w:val="none" w:sz="0" w:space="0" w:color="auto"/>
            <w:bottom w:val="none" w:sz="0" w:space="0" w:color="auto"/>
            <w:right w:val="none" w:sz="0" w:space="0" w:color="auto"/>
          </w:divBdr>
        </w:div>
        <w:div w:id="1892299469">
          <w:marLeft w:val="0"/>
          <w:marRight w:val="0"/>
          <w:marTop w:val="0"/>
          <w:marBottom w:val="0"/>
          <w:divBdr>
            <w:top w:val="none" w:sz="0" w:space="0" w:color="auto"/>
            <w:left w:val="none" w:sz="0" w:space="0" w:color="auto"/>
            <w:bottom w:val="none" w:sz="0" w:space="0" w:color="auto"/>
            <w:right w:val="none" w:sz="0" w:space="0" w:color="auto"/>
          </w:divBdr>
        </w:div>
        <w:div w:id="1987125664">
          <w:marLeft w:val="0"/>
          <w:marRight w:val="0"/>
          <w:marTop w:val="0"/>
          <w:marBottom w:val="0"/>
          <w:divBdr>
            <w:top w:val="none" w:sz="0" w:space="0" w:color="auto"/>
            <w:left w:val="none" w:sz="0" w:space="0" w:color="auto"/>
            <w:bottom w:val="none" w:sz="0" w:space="0" w:color="auto"/>
            <w:right w:val="none" w:sz="0" w:space="0" w:color="auto"/>
          </w:divBdr>
        </w:div>
        <w:div w:id="468595434">
          <w:marLeft w:val="0"/>
          <w:marRight w:val="0"/>
          <w:marTop w:val="0"/>
          <w:marBottom w:val="0"/>
          <w:divBdr>
            <w:top w:val="none" w:sz="0" w:space="0" w:color="auto"/>
            <w:left w:val="none" w:sz="0" w:space="0" w:color="auto"/>
            <w:bottom w:val="none" w:sz="0" w:space="0" w:color="auto"/>
            <w:right w:val="none" w:sz="0" w:space="0" w:color="auto"/>
          </w:divBdr>
        </w:div>
        <w:div w:id="1401756184">
          <w:marLeft w:val="0"/>
          <w:marRight w:val="0"/>
          <w:marTop w:val="0"/>
          <w:marBottom w:val="0"/>
          <w:divBdr>
            <w:top w:val="none" w:sz="0" w:space="0" w:color="auto"/>
            <w:left w:val="none" w:sz="0" w:space="0" w:color="auto"/>
            <w:bottom w:val="none" w:sz="0" w:space="0" w:color="auto"/>
            <w:right w:val="none" w:sz="0" w:space="0" w:color="auto"/>
          </w:divBdr>
        </w:div>
        <w:div w:id="302544132">
          <w:marLeft w:val="0"/>
          <w:marRight w:val="0"/>
          <w:marTop w:val="0"/>
          <w:marBottom w:val="0"/>
          <w:divBdr>
            <w:top w:val="none" w:sz="0" w:space="0" w:color="auto"/>
            <w:left w:val="none" w:sz="0" w:space="0" w:color="auto"/>
            <w:bottom w:val="none" w:sz="0" w:space="0" w:color="auto"/>
            <w:right w:val="none" w:sz="0" w:space="0" w:color="auto"/>
          </w:divBdr>
        </w:div>
        <w:div w:id="1386565337">
          <w:marLeft w:val="0"/>
          <w:marRight w:val="0"/>
          <w:marTop w:val="0"/>
          <w:marBottom w:val="0"/>
          <w:divBdr>
            <w:top w:val="none" w:sz="0" w:space="0" w:color="auto"/>
            <w:left w:val="none" w:sz="0" w:space="0" w:color="auto"/>
            <w:bottom w:val="none" w:sz="0" w:space="0" w:color="auto"/>
            <w:right w:val="none" w:sz="0" w:space="0" w:color="auto"/>
          </w:divBdr>
        </w:div>
        <w:div w:id="13726909">
          <w:marLeft w:val="0"/>
          <w:marRight w:val="0"/>
          <w:marTop w:val="0"/>
          <w:marBottom w:val="0"/>
          <w:divBdr>
            <w:top w:val="none" w:sz="0" w:space="0" w:color="auto"/>
            <w:left w:val="none" w:sz="0" w:space="0" w:color="auto"/>
            <w:bottom w:val="none" w:sz="0" w:space="0" w:color="auto"/>
            <w:right w:val="none" w:sz="0" w:space="0" w:color="auto"/>
          </w:divBdr>
        </w:div>
        <w:div w:id="347146464">
          <w:marLeft w:val="0"/>
          <w:marRight w:val="0"/>
          <w:marTop w:val="0"/>
          <w:marBottom w:val="0"/>
          <w:divBdr>
            <w:top w:val="none" w:sz="0" w:space="0" w:color="auto"/>
            <w:left w:val="none" w:sz="0" w:space="0" w:color="auto"/>
            <w:bottom w:val="none" w:sz="0" w:space="0" w:color="auto"/>
            <w:right w:val="none" w:sz="0" w:space="0" w:color="auto"/>
          </w:divBdr>
        </w:div>
        <w:div w:id="182013700">
          <w:marLeft w:val="0"/>
          <w:marRight w:val="0"/>
          <w:marTop w:val="0"/>
          <w:marBottom w:val="0"/>
          <w:divBdr>
            <w:top w:val="none" w:sz="0" w:space="0" w:color="auto"/>
            <w:left w:val="none" w:sz="0" w:space="0" w:color="auto"/>
            <w:bottom w:val="none" w:sz="0" w:space="0" w:color="auto"/>
            <w:right w:val="none" w:sz="0" w:space="0" w:color="auto"/>
          </w:divBdr>
        </w:div>
        <w:div w:id="1921481815">
          <w:marLeft w:val="0"/>
          <w:marRight w:val="0"/>
          <w:marTop w:val="0"/>
          <w:marBottom w:val="0"/>
          <w:divBdr>
            <w:top w:val="none" w:sz="0" w:space="0" w:color="auto"/>
            <w:left w:val="none" w:sz="0" w:space="0" w:color="auto"/>
            <w:bottom w:val="none" w:sz="0" w:space="0" w:color="auto"/>
            <w:right w:val="none" w:sz="0" w:space="0" w:color="auto"/>
          </w:divBdr>
        </w:div>
        <w:div w:id="828248961">
          <w:marLeft w:val="0"/>
          <w:marRight w:val="0"/>
          <w:marTop w:val="0"/>
          <w:marBottom w:val="0"/>
          <w:divBdr>
            <w:top w:val="none" w:sz="0" w:space="0" w:color="auto"/>
            <w:left w:val="none" w:sz="0" w:space="0" w:color="auto"/>
            <w:bottom w:val="none" w:sz="0" w:space="0" w:color="auto"/>
            <w:right w:val="none" w:sz="0" w:space="0" w:color="auto"/>
          </w:divBdr>
        </w:div>
        <w:div w:id="1473251262">
          <w:marLeft w:val="0"/>
          <w:marRight w:val="0"/>
          <w:marTop w:val="0"/>
          <w:marBottom w:val="0"/>
          <w:divBdr>
            <w:top w:val="none" w:sz="0" w:space="0" w:color="auto"/>
            <w:left w:val="none" w:sz="0" w:space="0" w:color="auto"/>
            <w:bottom w:val="none" w:sz="0" w:space="0" w:color="auto"/>
            <w:right w:val="none" w:sz="0" w:space="0" w:color="auto"/>
          </w:divBdr>
        </w:div>
        <w:div w:id="227541918">
          <w:marLeft w:val="0"/>
          <w:marRight w:val="0"/>
          <w:marTop w:val="0"/>
          <w:marBottom w:val="0"/>
          <w:divBdr>
            <w:top w:val="none" w:sz="0" w:space="0" w:color="auto"/>
            <w:left w:val="none" w:sz="0" w:space="0" w:color="auto"/>
            <w:bottom w:val="none" w:sz="0" w:space="0" w:color="auto"/>
            <w:right w:val="none" w:sz="0" w:space="0" w:color="auto"/>
          </w:divBdr>
        </w:div>
        <w:div w:id="1214387318">
          <w:marLeft w:val="0"/>
          <w:marRight w:val="0"/>
          <w:marTop w:val="0"/>
          <w:marBottom w:val="0"/>
          <w:divBdr>
            <w:top w:val="none" w:sz="0" w:space="0" w:color="auto"/>
            <w:left w:val="none" w:sz="0" w:space="0" w:color="auto"/>
            <w:bottom w:val="none" w:sz="0" w:space="0" w:color="auto"/>
            <w:right w:val="none" w:sz="0" w:space="0" w:color="auto"/>
          </w:divBdr>
        </w:div>
        <w:div w:id="1878396273">
          <w:marLeft w:val="0"/>
          <w:marRight w:val="0"/>
          <w:marTop w:val="0"/>
          <w:marBottom w:val="0"/>
          <w:divBdr>
            <w:top w:val="none" w:sz="0" w:space="0" w:color="auto"/>
            <w:left w:val="none" w:sz="0" w:space="0" w:color="auto"/>
            <w:bottom w:val="none" w:sz="0" w:space="0" w:color="auto"/>
            <w:right w:val="none" w:sz="0" w:space="0" w:color="auto"/>
          </w:divBdr>
        </w:div>
        <w:div w:id="595141752">
          <w:marLeft w:val="0"/>
          <w:marRight w:val="0"/>
          <w:marTop w:val="0"/>
          <w:marBottom w:val="0"/>
          <w:divBdr>
            <w:top w:val="none" w:sz="0" w:space="0" w:color="auto"/>
            <w:left w:val="none" w:sz="0" w:space="0" w:color="auto"/>
            <w:bottom w:val="none" w:sz="0" w:space="0" w:color="auto"/>
            <w:right w:val="none" w:sz="0" w:space="0" w:color="auto"/>
          </w:divBdr>
        </w:div>
        <w:div w:id="275715529">
          <w:marLeft w:val="0"/>
          <w:marRight w:val="0"/>
          <w:marTop w:val="0"/>
          <w:marBottom w:val="0"/>
          <w:divBdr>
            <w:top w:val="none" w:sz="0" w:space="0" w:color="auto"/>
            <w:left w:val="none" w:sz="0" w:space="0" w:color="auto"/>
            <w:bottom w:val="none" w:sz="0" w:space="0" w:color="auto"/>
            <w:right w:val="none" w:sz="0" w:space="0" w:color="auto"/>
          </w:divBdr>
        </w:div>
        <w:div w:id="1471903798">
          <w:marLeft w:val="0"/>
          <w:marRight w:val="0"/>
          <w:marTop w:val="0"/>
          <w:marBottom w:val="0"/>
          <w:divBdr>
            <w:top w:val="none" w:sz="0" w:space="0" w:color="auto"/>
            <w:left w:val="none" w:sz="0" w:space="0" w:color="auto"/>
            <w:bottom w:val="none" w:sz="0" w:space="0" w:color="auto"/>
            <w:right w:val="none" w:sz="0" w:space="0" w:color="auto"/>
          </w:divBdr>
        </w:div>
        <w:div w:id="1657539209">
          <w:marLeft w:val="0"/>
          <w:marRight w:val="0"/>
          <w:marTop w:val="0"/>
          <w:marBottom w:val="0"/>
          <w:divBdr>
            <w:top w:val="none" w:sz="0" w:space="0" w:color="auto"/>
            <w:left w:val="none" w:sz="0" w:space="0" w:color="auto"/>
            <w:bottom w:val="none" w:sz="0" w:space="0" w:color="auto"/>
            <w:right w:val="none" w:sz="0" w:space="0" w:color="auto"/>
          </w:divBdr>
        </w:div>
        <w:div w:id="1063721261">
          <w:marLeft w:val="0"/>
          <w:marRight w:val="0"/>
          <w:marTop w:val="0"/>
          <w:marBottom w:val="0"/>
          <w:divBdr>
            <w:top w:val="none" w:sz="0" w:space="0" w:color="auto"/>
            <w:left w:val="none" w:sz="0" w:space="0" w:color="auto"/>
            <w:bottom w:val="none" w:sz="0" w:space="0" w:color="auto"/>
            <w:right w:val="none" w:sz="0" w:space="0" w:color="auto"/>
          </w:divBdr>
        </w:div>
        <w:div w:id="1515535838">
          <w:marLeft w:val="0"/>
          <w:marRight w:val="0"/>
          <w:marTop w:val="0"/>
          <w:marBottom w:val="0"/>
          <w:divBdr>
            <w:top w:val="none" w:sz="0" w:space="0" w:color="auto"/>
            <w:left w:val="none" w:sz="0" w:space="0" w:color="auto"/>
            <w:bottom w:val="none" w:sz="0" w:space="0" w:color="auto"/>
            <w:right w:val="none" w:sz="0" w:space="0" w:color="auto"/>
          </w:divBdr>
        </w:div>
        <w:div w:id="364140967">
          <w:marLeft w:val="0"/>
          <w:marRight w:val="0"/>
          <w:marTop w:val="0"/>
          <w:marBottom w:val="0"/>
          <w:divBdr>
            <w:top w:val="none" w:sz="0" w:space="0" w:color="auto"/>
            <w:left w:val="none" w:sz="0" w:space="0" w:color="auto"/>
            <w:bottom w:val="none" w:sz="0" w:space="0" w:color="auto"/>
            <w:right w:val="none" w:sz="0" w:space="0" w:color="auto"/>
          </w:divBdr>
        </w:div>
        <w:div w:id="179122955">
          <w:marLeft w:val="0"/>
          <w:marRight w:val="0"/>
          <w:marTop w:val="0"/>
          <w:marBottom w:val="0"/>
          <w:divBdr>
            <w:top w:val="none" w:sz="0" w:space="0" w:color="auto"/>
            <w:left w:val="none" w:sz="0" w:space="0" w:color="auto"/>
            <w:bottom w:val="none" w:sz="0" w:space="0" w:color="auto"/>
            <w:right w:val="none" w:sz="0" w:space="0" w:color="auto"/>
          </w:divBdr>
        </w:div>
        <w:div w:id="1347976925">
          <w:marLeft w:val="0"/>
          <w:marRight w:val="0"/>
          <w:marTop w:val="0"/>
          <w:marBottom w:val="0"/>
          <w:divBdr>
            <w:top w:val="none" w:sz="0" w:space="0" w:color="auto"/>
            <w:left w:val="none" w:sz="0" w:space="0" w:color="auto"/>
            <w:bottom w:val="none" w:sz="0" w:space="0" w:color="auto"/>
            <w:right w:val="none" w:sz="0" w:space="0" w:color="auto"/>
          </w:divBdr>
        </w:div>
        <w:div w:id="543055949">
          <w:marLeft w:val="0"/>
          <w:marRight w:val="0"/>
          <w:marTop w:val="0"/>
          <w:marBottom w:val="0"/>
          <w:divBdr>
            <w:top w:val="none" w:sz="0" w:space="0" w:color="auto"/>
            <w:left w:val="none" w:sz="0" w:space="0" w:color="auto"/>
            <w:bottom w:val="none" w:sz="0" w:space="0" w:color="auto"/>
            <w:right w:val="none" w:sz="0" w:space="0" w:color="auto"/>
          </w:divBdr>
        </w:div>
        <w:div w:id="433476647">
          <w:marLeft w:val="0"/>
          <w:marRight w:val="0"/>
          <w:marTop w:val="0"/>
          <w:marBottom w:val="0"/>
          <w:divBdr>
            <w:top w:val="none" w:sz="0" w:space="0" w:color="auto"/>
            <w:left w:val="none" w:sz="0" w:space="0" w:color="auto"/>
            <w:bottom w:val="none" w:sz="0" w:space="0" w:color="auto"/>
            <w:right w:val="none" w:sz="0" w:space="0" w:color="auto"/>
          </w:divBdr>
        </w:div>
        <w:div w:id="1877111573">
          <w:marLeft w:val="0"/>
          <w:marRight w:val="0"/>
          <w:marTop w:val="0"/>
          <w:marBottom w:val="0"/>
          <w:divBdr>
            <w:top w:val="none" w:sz="0" w:space="0" w:color="auto"/>
            <w:left w:val="none" w:sz="0" w:space="0" w:color="auto"/>
            <w:bottom w:val="none" w:sz="0" w:space="0" w:color="auto"/>
            <w:right w:val="none" w:sz="0" w:space="0" w:color="auto"/>
          </w:divBdr>
        </w:div>
        <w:div w:id="228931391">
          <w:marLeft w:val="0"/>
          <w:marRight w:val="0"/>
          <w:marTop w:val="0"/>
          <w:marBottom w:val="0"/>
          <w:divBdr>
            <w:top w:val="none" w:sz="0" w:space="0" w:color="auto"/>
            <w:left w:val="none" w:sz="0" w:space="0" w:color="auto"/>
            <w:bottom w:val="none" w:sz="0" w:space="0" w:color="auto"/>
            <w:right w:val="none" w:sz="0" w:space="0" w:color="auto"/>
          </w:divBdr>
        </w:div>
        <w:div w:id="2046513672">
          <w:marLeft w:val="0"/>
          <w:marRight w:val="0"/>
          <w:marTop w:val="0"/>
          <w:marBottom w:val="0"/>
          <w:divBdr>
            <w:top w:val="none" w:sz="0" w:space="0" w:color="auto"/>
            <w:left w:val="none" w:sz="0" w:space="0" w:color="auto"/>
            <w:bottom w:val="none" w:sz="0" w:space="0" w:color="auto"/>
            <w:right w:val="none" w:sz="0" w:space="0" w:color="auto"/>
          </w:divBdr>
        </w:div>
        <w:div w:id="214514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0" ma:contentTypeDescription="Crie um novo documento." ma:contentTypeScope="" ma:versionID="ca250cda2e08dfcf0aa401b005309831">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d986a8ff52f0b57db00c9e2918cbfee"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1254A-02DD-491B-9B97-E44E64208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564E7-135E-467E-84B1-E51C1A5EB7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D2EA466-2EC8-4F3A-981A-B5F15DB52A21}">
  <ds:schemaRefs>
    <ds:schemaRef ds:uri="http://schemas.microsoft.com/sharepoint/v3/contenttype/forms"/>
  </ds:schemaRefs>
</ds:datastoreItem>
</file>

<file path=customXml/itemProps4.xml><?xml version="1.0" encoding="utf-8"?>
<ds:datastoreItem xmlns:ds="http://schemas.openxmlformats.org/officeDocument/2006/customXml" ds:itemID="{A3907B30-3B47-420B-80C0-C498EAD8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2952</Words>
  <Characters>15944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Marquezi Raphael</dc:creator>
  <cp:keywords/>
  <dc:description/>
  <cp:lastModifiedBy>Felipe Fontenelle D'Imperio</cp:lastModifiedBy>
  <cp:revision>4</cp:revision>
  <dcterms:created xsi:type="dcterms:W3CDTF">2020-04-03T13:27:00Z</dcterms:created>
  <dcterms:modified xsi:type="dcterms:W3CDTF">2020-04-03T13:34:00Z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0x010100DC9A1307BE5B7B4D9AB534BF6D9D465B</vt:lpwstr>
  </property>
</Properties>
</file>