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 w:lineRule="exact"/>
        <w:jc w:val="both"/>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proofErr w:type="spellStart"/>
      <w:r>
        <w:rPr>
          <w:rFonts w:ascii="Arial" w:hAnsi="Arial" w:cs="Arial"/>
          <w:sz w:val="22"/>
          <w:szCs w:val="22"/>
          <w:u w:val="single"/>
        </w:rPr>
        <w:t>Quatroefe</w:t>
      </w:r>
      <w:proofErr w:type="spellEnd"/>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 xml:space="preserve">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lastRenderedPageBreak/>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4 de março de 2020, as Partes celebraram o “</w:t>
      </w:r>
      <w:r>
        <w:rPr>
          <w:rFonts w:ascii="Arial" w:hAnsi="Arial" w:cs="Arial"/>
          <w:i/>
          <w:sz w:val="22"/>
          <w:szCs w:val="22"/>
        </w:rPr>
        <w:t xml:space="preserve">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hAnsi="Arial" w:cs="Arial"/>
          <w:i/>
          <w:sz w:val="22"/>
          <w:szCs w:val="22"/>
        </w:rPr>
        <w:t>Vidroporto</w:t>
      </w:r>
      <w:proofErr w:type="spellEnd"/>
      <w:r>
        <w:rPr>
          <w:rFonts w:ascii="Arial" w:hAnsi="Arial" w:cs="Arial"/>
          <w:i/>
          <w:sz w:val="22"/>
          <w:szCs w:val="22"/>
        </w:rPr>
        <w:t xml:space="preserve">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o qual foi (a) protocolado 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 xml:space="preserve">”), sob nº 0.206.821/20-7, em 6 de março de 2020 e reapresentado sob nº 0.242.750/20-5, </w:t>
      </w:r>
      <w:r>
        <w:rPr>
          <w:rFonts w:ascii="Arial" w:hAnsi="Arial" w:cs="Arial"/>
          <w:sz w:val="22"/>
          <w:szCs w:val="22"/>
        </w:rPr>
        <w:t xml:space="preserve"> em 17 de março de 2020; e (b) registrado nos Cartórios de Registro de Títulos e Documentos (1) da Cidade de São Paulo, Estado de São Paulo em sessão realizada em 6 de março de 2020, sob o nº 1.578.784; e (2</w:t>
      </w:r>
      <w:bookmarkStart w:id="0" w:name="_GoBack"/>
      <w:bookmarkEnd w:id="0"/>
      <w:r>
        <w:rPr>
          <w:rFonts w:ascii="Arial" w:hAnsi="Arial" w:cs="Arial"/>
          <w:sz w:val="22"/>
          <w:szCs w:val="22"/>
        </w:rPr>
        <w:t>) da Cidade de Porto Ferreira, Estado de São Paulo em sessão realizada em 12 de março de 2020, sob o nº 12.253;</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 xml:space="preserve"> verificou-se o registro do Instrumento de Garantia, nos termos previstos na Escritura de Emissão e no respectivo Instrumento de Garantia, no Cartório de Registro de Títulos e Documentos (1) da Cidade de São Paulo, Estado de São Paulo, em 6 de março de 2020, sob o n 1.578.782; (2) da Cidade de Porto Ferreira, Estado de São Paulo, em 9 de março de 2020, sob o nº 12.252; (3) da Cidade de Estância, Estado de Sergipe, em 12 de março de 2020, sob o nº 2213; e (4) da Cidade de Ribeirão Preto, Estado de São Paulo, em 10 de março de 2020, sob o nº 283978;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TERMOS DEFINIDOS</w:t>
      </w:r>
    </w:p>
    <w:p>
      <w:pPr>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em até 10 (dez) Dias Úteis contados do fim da suspensão das atividades de referido órgão, em função de estado de calamidade pública reconhecido pelo Estado de São Paulo, mediante a edição do Decreto Estadual nº 64.879, de 20 de março de 2020.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deverá ser protocolado, no mesmo prazo acima aludido, para registro nos competentes Cartórios de Registro de Títulos e Documentos (i) da Cidade de São Paulo, Estado de São Paulo; e (</w:t>
      </w:r>
      <w:proofErr w:type="spellStart"/>
      <w:r>
        <w:rPr>
          <w:rFonts w:ascii="Arial" w:hAnsi="Arial" w:cs="Arial"/>
          <w:sz w:val="22"/>
          <w:szCs w:val="22"/>
        </w:rPr>
        <w:t>ii</w:t>
      </w:r>
      <w:proofErr w:type="spellEnd"/>
      <w:r>
        <w:rPr>
          <w:rFonts w:ascii="Arial" w:hAnsi="Arial" w:cs="Arial"/>
          <w:sz w:val="22"/>
          <w:szCs w:val="22"/>
        </w:rPr>
        <w:t>) da Cidade de Porto Ferreira, Estado de São Paulo. A Emissora compromete-se a enviar ao Agente Fiduciário 1 (uma) via original deste Aditamento à Escritura, devidamente registrados em tais cartórios, em até 5 (cinco)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ALTERAÇÕES DA ESCRITURA DE EMISSÃO</w:t>
      </w:r>
    </w:p>
    <w:p>
      <w:pPr>
        <w:rPr>
          <w:rFonts w:ascii="Arial" w:hAnsi="Arial" w:cs="Arial"/>
          <w:sz w:val="22"/>
          <w:szCs w:val="22"/>
        </w:rPr>
      </w:pPr>
    </w:p>
    <w:p>
      <w:pPr>
        <w:pStyle w:val="PargrafodaLista"/>
        <w:numPr>
          <w:ilvl w:val="1"/>
          <w:numId w:val="2"/>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definição “Escritura” constante do preâmbulo,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 xml:space="preserve">Instrumento Particular de Escritura da 3ª (Terceira) Emissão de Debêntures Simples, Não Conversíveis em Ações, da Espécie com Garantia Real e com Garantia Fidejussória Adicional, em Série Única, para Distribuição Pública com Esforços Restritos de Distribuição, da </w:t>
      </w:r>
      <w:proofErr w:type="spellStart"/>
      <w:r>
        <w:rPr>
          <w:rFonts w:ascii="Arial" w:hAnsi="Arial" w:cs="Arial"/>
          <w:i/>
        </w:rPr>
        <w:t>Vidroporto</w:t>
      </w:r>
      <w:proofErr w:type="spellEnd"/>
      <w:r>
        <w:rPr>
          <w:rFonts w:ascii="Arial" w:hAnsi="Arial" w:cs="Arial"/>
          <w:i/>
        </w:rPr>
        <w:t xml:space="preserve">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xml:space="preserve">”) em sessão realizada em 12 de fevereiro de 2020, sob o número 77.187/20-9 e publicada no Diário Oficial do </w:t>
      </w:r>
      <w:r>
        <w:rPr>
          <w:rFonts w:ascii="Arial" w:hAnsi="Arial" w:cs="Arial"/>
          <w:i/>
          <w:sz w:val="22"/>
          <w:szCs w:val="22"/>
        </w:rPr>
        <w:lastRenderedPageBreak/>
        <w:t>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em 18 de fevereiro de 2020, nos termos do artigo 62, inciso I, e artigo 289 da Lei das Sociedades por Ações. A Emissora compromete-se a enviar ao Agente Fiduciário 1 (uma) via original da AGE, 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 xml:space="preserve">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foi registrada na JUCESP em sessão realizada em 5 de fevereiro de 2020, sob o número 73.408/20-7. A </w:t>
      </w:r>
      <w:proofErr w:type="spellStart"/>
      <w:r>
        <w:rPr>
          <w:rFonts w:ascii="Arial" w:hAnsi="Arial" w:cs="Arial"/>
          <w:i/>
          <w:sz w:val="22"/>
          <w:szCs w:val="22"/>
        </w:rPr>
        <w:t>Quatroefe</w:t>
      </w:r>
      <w:proofErr w:type="spellEnd"/>
      <w:r>
        <w:rPr>
          <w:rFonts w:ascii="Arial" w:hAnsi="Arial" w:cs="Arial"/>
          <w:i/>
          <w:sz w:val="22"/>
          <w:szCs w:val="22"/>
        </w:rPr>
        <w:t xml:space="preserve"> compromete-se a enviar ao Agente Fiduciário 1 (uma) via original da ata da Reunião de Sócios </w:t>
      </w:r>
      <w:proofErr w:type="spellStart"/>
      <w:r>
        <w:rPr>
          <w:rFonts w:ascii="Arial" w:hAnsi="Arial" w:cs="Arial"/>
          <w:i/>
          <w:sz w:val="22"/>
          <w:szCs w:val="22"/>
        </w:rPr>
        <w:t>Quatroefe</w:t>
      </w:r>
      <w:proofErr w:type="spellEnd"/>
      <w:r>
        <w:rPr>
          <w:rFonts w:ascii="Arial" w:hAnsi="Arial" w:cs="Arial"/>
          <w:i/>
          <w:sz w:val="22"/>
          <w:szCs w:val="22"/>
        </w:rPr>
        <w:t xml:space="preserv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12 de fevereiro de 2020, sob o número 20200041916. A IVN compromete-se a enviar ao Agente Fiduciário 1 (uma) via original da ata da 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RATIFICAÇÕES</w:t>
      </w:r>
    </w:p>
    <w:p>
      <w:pPr>
        <w:rPr>
          <w:rFonts w:ascii="Arial" w:hAnsi="Arial" w:cs="Arial"/>
          <w:sz w:val="22"/>
          <w:szCs w:val="22"/>
        </w:rPr>
      </w:pPr>
    </w:p>
    <w:p>
      <w:pPr>
        <w:pStyle w:val="PargrafodaLista"/>
        <w:numPr>
          <w:ilvl w:val="1"/>
          <w:numId w:val="3"/>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Aditamento a Escritura de Emissão</w:t>
      </w:r>
      <w:r>
        <w:rPr>
          <w:rFonts w:ascii="Arial" w:hAnsi="Arial" w:cs="Arial"/>
          <w:w w:val="0"/>
        </w:rPr>
        <w:t>.</w:t>
      </w:r>
    </w:p>
    <w:p>
      <w:pPr>
        <w:spacing w:line="300" w:lineRule="exact"/>
        <w:rPr>
          <w:rFonts w:ascii="Arial" w:hAnsi="Arial" w:cs="Arial"/>
          <w:w w:val="0"/>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DISPOSIÇÕES FINAIS</w:t>
      </w:r>
    </w:p>
    <w:p>
      <w:pPr>
        <w:rPr>
          <w:rFonts w:ascii="Arial" w:hAnsi="Arial" w:cs="Arial"/>
          <w:sz w:val="22"/>
          <w:szCs w:val="22"/>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w:t>
      </w:r>
      <w:r>
        <w:rPr>
          <w:rFonts w:ascii="Arial" w:eastAsia="Arial Unicode MS" w:hAnsi="Arial" w:cs="Arial"/>
          <w:w w:val="0"/>
        </w:rPr>
        <w:lastRenderedPageBreak/>
        <w:t xml:space="preserve">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SP, 24</w:t>
      </w:r>
      <w:r>
        <w:rPr>
          <w:rFonts w:ascii="Arial" w:hAnsi="Arial" w:cs="Arial"/>
          <w:szCs w:val="22"/>
        </w:rPr>
        <w:t xml:space="preserve"> de março de 2020</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spacing w:line="340" w:lineRule="exact"/>
        <w:jc w:val="both"/>
        <w:rPr>
          <w:rFonts w:ascii="Arial" w:eastAsia="Arial Unicode MS" w:hAnsi="Arial" w:cs="Arial"/>
          <w:snapToGrid w:val="0"/>
          <w:w w:val="0"/>
          <w:sz w:val="22"/>
          <w:szCs w:val="22"/>
        </w:rPr>
      </w:pPr>
      <w:r>
        <w:rPr>
          <w:rFonts w:ascii="Arial" w:eastAsia="Arial Unicode MS" w:hAnsi="Arial" w:cs="Arial"/>
          <w:szCs w:val="22"/>
        </w:rPr>
        <w:br w:type="page"/>
      </w: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 xml:space="preserve">(Página de Assinaturas 1 de 4 do Primeiro Aditamento ao Instrumento Particular de Escritura da 3ª (Terceira) Emissão de Debêntures Simples, Não Conversíveis em Ações, da Espécie Quirografária com Garantia Fidejussória Adicional, a </w:t>
      </w:r>
      <w:proofErr w:type="gramStart"/>
      <w:r>
        <w:rPr>
          <w:rFonts w:ascii="Arial" w:eastAsia="Arial Unicode MS" w:hAnsi="Arial" w:cs="Arial"/>
          <w:i/>
          <w:w w:val="0"/>
          <w:sz w:val="22"/>
          <w:szCs w:val="22"/>
        </w:rPr>
        <w:t>ser Convolada</w:t>
      </w:r>
      <w:proofErr w:type="gramEnd"/>
      <w:r>
        <w:rPr>
          <w:rFonts w:ascii="Arial" w:eastAsia="Arial Unicode MS" w:hAnsi="Arial" w:cs="Arial"/>
          <w:i/>
          <w:w w:val="0"/>
          <w:sz w:val="22"/>
          <w:szCs w:val="22"/>
        </w:rPr>
        <w:t xml:space="preserve">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 xml:space="preserve">(Página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 xml:space="preserve">(Página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 xml:space="preserve">(Página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w:t>
      </w:r>
      <w:proofErr w:type="spellStart"/>
      <w:r>
        <w:rPr>
          <w:rFonts w:ascii="Arial" w:eastAsia="Arial Unicode MS" w:hAnsi="Arial" w:cs="Arial"/>
          <w:i/>
          <w:w w:val="0"/>
          <w:sz w:val="22"/>
          <w:szCs w:val="22"/>
        </w:rPr>
        <w:t>Vidroporto</w:t>
      </w:r>
      <w:proofErr w:type="spellEnd"/>
      <w:r>
        <w:rPr>
          <w:rFonts w:ascii="Arial" w:eastAsia="Arial Unicode MS" w:hAnsi="Arial" w:cs="Arial"/>
          <w:i/>
          <w:w w:val="0"/>
          <w:sz w:val="22"/>
          <w:szCs w:val="22"/>
        </w:rPr>
        <w:t xml:space="preserve">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rPr>
          <w:rStyle w:val="Nmerodepgina"/>
          <w:rFonts w:ascii="Arial" w:hAnsi="Arial" w:cs="Arial"/>
          <w:sz w:val="22"/>
          <w:szCs w:val="22"/>
        </w:rPr>
      </w:pPr>
    </w:p>
    <w:sectPr>
      <w:headerReference w:type="default" r:id="rId8"/>
      <w:footerReference w:type="even" r:id="rId9"/>
      <w:footerReference w:type="default" r:id="rId10"/>
      <w:headerReference w:type="first" r:id="rId11"/>
      <w:footerReference w:type="first" r:id="rId12"/>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801106600"/>
      <w:docPartObj>
        <w:docPartGallery w:val="Page Numbers (Bottom of Page)"/>
        <w:docPartUnique/>
      </w:docPartObj>
    </w:sdtPr>
    <w:sdtContent>
      <w:p>
        <w:pPr>
          <w:pStyle w:val="Rodap"/>
          <w:jc w:val="right"/>
          <w:rPr>
            <w:sz w:val="16"/>
          </w:rPr>
        </w:pPr>
        <w:r>
          <w:rPr>
            <w:sz w:val="16"/>
          </w:rPr>
          <w:fldChar w:fldCharType="begin"/>
        </w:r>
        <w:r>
          <w:rPr>
            <w:sz w:val="16"/>
          </w:rPr>
          <w:instrText>PAGE   \* MERGEFORMAT</w:instrText>
        </w:r>
        <w:r>
          <w:rPr>
            <w:sz w:val="16"/>
          </w:rPr>
          <w:fldChar w:fldCharType="separate"/>
        </w:r>
        <w:r>
          <w:rPr>
            <w:noProof/>
            <w:sz w:val="16"/>
            <w:lang w:val="pt-BR"/>
          </w:rPr>
          <w:t>2</w:t>
        </w:r>
        <w:r>
          <w:rPr>
            <w:sz w:val="16"/>
          </w:rPr>
          <w:fldChar w:fldCharType="end"/>
        </w:r>
      </w:p>
    </w:sdtContent>
  </w:sdt>
  <w:p>
    <w:pPr>
      <w:pStyle w:val="Rodap"/>
      <w:spacing w:line="240" w:lineRule="auto"/>
      <w:jc w:val="center"/>
      <w:rPr>
        <w:color w:val="FFFFFF" w:themeColor="background1"/>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- 36419462v4 - 10842002.452566</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39839</wp:posOffset>
          </wp:positionH>
          <wp:positionV relativeFrom="paragraph">
            <wp:posOffset>235585</wp:posOffset>
          </wp:positionV>
          <wp:extent cx="980991" cy="567760"/>
          <wp:effectExtent l="0" t="0" r="0" b="3810"/>
          <wp:wrapTopAndBottom/>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14732AF-E08B-44CE-9F3E-629F32F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rPr>
      <w:rFonts w:ascii="Times New Roman" w:eastAsia="Times New Roman" w:hAnsi="Times New Roman" w:cs="Times New Roman"/>
      <w:sz w:val="24"/>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NormalWeb">
    <w:name w:val="Normal (Web)"/>
    <w:basedOn w:val="Normal"/>
    <w:pPr>
      <w:autoSpaceDE w:val="0"/>
      <w:autoSpaceDN w:val="0"/>
      <w:adjustRightInd w:val="0"/>
      <w:spacing w:before="100" w:beforeAutospacing="1" w:after="100" w:afterAutospacing="1"/>
    </w:p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customStyle="1" w:styleId="PargrafodaListaChar">
    <w:name w:val="Parágrafo da Lista Char"/>
    <w:link w:val="PargrafodaLista"/>
    <w:uiPriority w:val="34"/>
    <w:locked/>
    <w:rPr>
      <w:rFonts w:ascii="Calibri" w:hAnsi="Calibri" w:cs="Times New Roman"/>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pPr>
    <w:rPr>
      <w:rFonts w:ascii="Times" w:eastAsia="Times New Roman" w:hAnsi="Times" w:cs="Times New Roman"/>
      <w:sz w:val="24"/>
      <w:szCs w:val="24"/>
    </w:rPr>
  </w:style>
  <w:style w:type="character" w:customStyle="1" w:styleId="RodapChar">
    <w:name w:val="Rodapé Char"/>
    <w:basedOn w:val="Fontepargpadro"/>
    <w:link w:val="Rodap"/>
    <w:uiPriority w:val="99"/>
    <w:rPr>
      <w:rFonts w:ascii="Times New Roman" w:eastAsia="Times New Roman" w:hAnsi="Times New Roman" w:cs="Times New Roman"/>
      <w:sz w:val="1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 J U R _ S P ! 3 6 4 1 9 4 6 2 . 4 < / d o c u m e n t i d >  
     < s e n d e r i d > M P P < / s e n d e r i d >  
     < s e n d e r e m a i l > M P O M P I L I O @ P N . C O M . B R < / s e n d e r e m a i l >  
     < l a s t m o d i f i e d > 2 0 2 0 - 0 3 - 2 4 T 1 9 : 1 6 : 0 0 . 0 0 0 0 0 0 0 - 0 3 : 0 0 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4F0B-A2D6-4162-B774-12F97B22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2137</Words>
  <Characters>11761</Characters>
  <Application>Microsoft Office Word</Application>
  <DocSecurity>0</DocSecurity>
  <Lines>267</Lines>
  <Paragraphs>104</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5</cp:revision>
  <cp:lastPrinted>2020-03-24T22:15:00Z</cp:lastPrinted>
  <dcterms:created xsi:type="dcterms:W3CDTF">2020-03-24T22:06:00Z</dcterms:created>
  <dcterms:modified xsi:type="dcterms:W3CDTF">2020-03-24T22:16:00Z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- 36419462v4 - 10842002.452566</vt:lpwstr>
  </property>
</Properties>
</file>