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w:t>
      </w:r>
      <w:bookmarkStart w:id="0" w:name="_GoBack"/>
      <w:bookmarkEnd w:id="0"/>
      <w:r>
        <w:rPr>
          <w:rFonts w:ascii="Arial" w:hAnsi="Arial" w:cs="Arial"/>
          <w:sz w:val="22"/>
          <w:szCs w:val="22"/>
          <w:lang w:val="pt-BR"/>
        </w:rPr>
        <w:t>EITOS CREDITÓRIOS, ADMINISTRAÇÃO DE CONTAS E OUTRAS AVENÇAS</w:t>
      </w:r>
    </w:p>
    <w:p>
      <w:pPr>
        <w:pStyle w:val="Subttulo"/>
        <w:spacing w:line="320" w:lineRule="exact"/>
        <w:rPr>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pPr>
        <w:pStyle w:val="NormalWeb"/>
        <w:spacing w:before="0" w:after="0" w:line="320" w:lineRule="exact"/>
        <w:jc w:val="both"/>
        <w:rPr>
          <w:color w:val="000000"/>
          <w:sz w:val="22"/>
          <w:szCs w:val="22"/>
          <w:lang w:val="pt-BR"/>
        </w:rPr>
      </w:pPr>
    </w:p>
    <w:p>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pPr>
        <w:pStyle w:val="NormalWeb"/>
        <w:spacing w:before="0" w:after="0" w:line="320" w:lineRule="exact"/>
        <w:jc w:val="both"/>
        <w:rPr>
          <w:color w:val="000000"/>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pPr>
        <w:pStyle w:val="NormalWeb"/>
        <w:spacing w:before="0" w:after="0" w:line="320" w:lineRule="exact"/>
        <w:jc w:val="both"/>
        <w:rPr>
          <w:color w:val="000000"/>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 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pPr>
        <w:pStyle w:val="NormalWeb"/>
        <w:spacing w:before="0" w:after="0" w:line="320" w:lineRule="exact"/>
        <w:jc w:val="both"/>
        <w:rPr>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pPr>
        <w:pStyle w:val="Recuodecorpodetexto"/>
        <w:tabs>
          <w:tab w:val="left" w:pos="567"/>
        </w:tabs>
        <w:spacing w:after="0" w:line="320" w:lineRule="exact"/>
        <w:ind w:left="0"/>
        <w:jc w:val="both"/>
        <w:rPr>
          <w:rFonts w:ascii="Arial"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1" w:name="_DV_M25"/>
      <w:bookmarkEnd w:id="1"/>
      <w:r>
        <w:rPr>
          <w:rFonts w:ascii="Arial" w:hAnsi="Arial" w:cs="Arial"/>
          <w:sz w:val="22"/>
          <w:szCs w:val="22"/>
          <w:lang w:val="pt-BR"/>
        </w:rPr>
        <w:t>na qualidade de banco administrador:</w:t>
      </w:r>
    </w:p>
    <w:p>
      <w:pPr>
        <w:pStyle w:val="Recuodecorpodetexto"/>
        <w:tabs>
          <w:tab w:val="left" w:pos="1134"/>
        </w:tabs>
        <w:spacing w:after="0" w:line="320" w:lineRule="exact"/>
        <w:ind w:left="0"/>
        <w:jc w:val="both"/>
        <w:rPr>
          <w:rFonts w:ascii="Arial" w:hAnsi="Arial" w:cs="Arial"/>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Av. Maurílio Biagi, nº 800 – 15º andar, Edifício Spasse Corporate, Sta. C. J. Jacques, CEP 14020-750,</w:t>
      </w:r>
      <w:r>
        <w:rPr>
          <w:rFonts w:ascii="Arial" w:hAnsi="Arial" w:cs="Arial"/>
          <w:snapToGrid w:val="0"/>
          <w:sz w:val="22"/>
          <w:szCs w:val="22"/>
          <w:lang w:val="pt-BR"/>
        </w:rPr>
        <w:t xml:space="preserve"> inscrita no CNPJ/ME sob o nº 00.000.000/5065-24</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pPr>
        <w:pStyle w:val="Recuodecorpodetexto"/>
        <w:tabs>
          <w:tab w:val="left" w:pos="567"/>
        </w:tabs>
        <w:spacing w:after="0" w:line="320" w:lineRule="exact"/>
        <w:ind w:left="0"/>
        <w:jc w:val="both"/>
        <w:rPr>
          <w:rFonts w:ascii="Arial" w:eastAsia="Courier"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pPr>
        <w:pStyle w:val="Recuodecorpodetexto"/>
        <w:tabs>
          <w:tab w:val="left" w:pos="1134"/>
        </w:tabs>
        <w:spacing w:after="0" w:line="320" w:lineRule="exact"/>
        <w:ind w:left="0"/>
        <w:jc w:val="both"/>
        <w:rPr>
          <w:rFonts w:ascii="Arial" w:hAnsi="Arial" w:cs="Arial"/>
          <w:b/>
          <w:sz w:val="22"/>
          <w:szCs w:val="22"/>
          <w:lang w:val="pt-BR"/>
        </w:rPr>
      </w:pPr>
    </w:p>
    <w:p>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lastRenderedPageBreak/>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pPr>
        <w:pStyle w:val="Recuodecorpodetexto"/>
        <w:tabs>
          <w:tab w:val="left" w:pos="1134"/>
        </w:tabs>
        <w:spacing w:after="0" w:line="320" w:lineRule="exact"/>
        <w:ind w:left="0"/>
        <w:jc w:val="both"/>
        <w:rPr>
          <w:rFonts w:ascii="Arial" w:hAnsi="Arial" w:cs="Arial"/>
          <w:sz w:val="22"/>
          <w:szCs w:val="22"/>
          <w:lang w:val="pt-BR"/>
        </w:rPr>
      </w:pPr>
    </w:p>
    <w:p>
      <w:pPr>
        <w:pStyle w:val="BNDES"/>
        <w:spacing w:before="0" w:line="320" w:lineRule="exact"/>
        <w:rPr>
          <w:b/>
        </w:rPr>
      </w:pPr>
      <w:r>
        <w:rPr>
          <w:b/>
        </w:rPr>
        <w:t>CONSIDERANDO QUE:</w:t>
      </w:r>
      <w:bookmarkStart w:id="2" w:name="Texto44"/>
      <w:bookmarkEnd w:id="2"/>
    </w:p>
    <w:p>
      <w:pPr>
        <w:pStyle w:val="BNDES"/>
        <w:spacing w:before="0" w:line="320" w:lineRule="exact"/>
        <w:rPr>
          <w:b/>
        </w:rPr>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24 de setembro de 2018 (“</w:t>
      </w:r>
      <w:r>
        <w:rPr>
          <w:u w:val="single"/>
        </w:rPr>
        <w:t>AGE da 2ª Emissão</w:t>
      </w:r>
      <w:r>
        <w:t>”), 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2ª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celebrado entre a Vidroporto, o Agente Fiduciário e, na qualidade de fiador, Quatroefe Administração e Participações Ltda., conforme aditado (“</w:t>
      </w:r>
      <w:r>
        <w:rPr>
          <w:u w:val="single"/>
        </w:rPr>
        <w:t>Escritura da 2ª Emissão</w:t>
      </w:r>
      <w:r>
        <w:t>”);</w:t>
      </w:r>
    </w:p>
    <w:p>
      <w:pPr>
        <w:pStyle w:val="BNDES"/>
        <w:tabs>
          <w:tab w:val="clear" w:pos="65"/>
          <w:tab w:val="clear" w:pos="709"/>
        </w:tabs>
        <w:spacing w:before="0" w:line="320" w:lineRule="exact"/>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Vidroporto, o Agente Fiduciário e, na </w:t>
      </w:r>
      <w:r>
        <w:lastRenderedPageBreak/>
        <w:t>qualidade de fiador, Quatroefe Administração e Participações Ltda. (“</w:t>
      </w:r>
      <w:r>
        <w:rPr>
          <w:u w:val="single"/>
        </w:rPr>
        <w:t>Quatroefe</w:t>
      </w:r>
      <w:r>
        <w:t>” ou “</w:t>
      </w:r>
      <w:r>
        <w:rPr>
          <w:u w:val="single"/>
        </w:rPr>
        <w:t>Acionista Fiador</w:t>
      </w:r>
      <w:r>
        <w:t>”) (“</w:t>
      </w:r>
      <w:r>
        <w:rPr>
          <w:u w:val="single"/>
        </w:rPr>
        <w:t>Escritura da 3ª Emissão</w:t>
      </w:r>
      <w:r>
        <w:t>”);</w:t>
      </w:r>
    </w:p>
    <w:p>
      <w:pPr>
        <w:pStyle w:val="BNDES"/>
        <w:spacing w:before="0" w:line="320" w:lineRule="exact"/>
        <w:rPr>
          <w:b/>
        </w:rPr>
      </w:pPr>
    </w:p>
    <w:p>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3ª Emissão serão utilizados </w:t>
      </w:r>
      <w:r>
        <w:rPr>
          <w:rFonts w:eastAsia="Arial Unicode MS"/>
          <w:lang w:val="pt-PT"/>
        </w:rPr>
        <w:t>para realização de investimentos e reforço do capital de giro da Emissora</w:t>
      </w:r>
      <w:r>
        <w:t>;</w:t>
      </w:r>
    </w:p>
    <w:p>
      <w:pPr>
        <w:pStyle w:val="BNDES"/>
        <w:tabs>
          <w:tab w:val="clear" w:pos="65"/>
          <w:tab w:val="clear" w:pos="709"/>
        </w:tabs>
        <w:spacing w:before="0" w:line="320" w:lineRule="exact"/>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adicionalmente à presente Cessão Fiduciária (conforme abaixo definido), a Quatroefe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outorga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 xml:space="preserve">na Reunião de Sócios da IVN realizada em 31 de dezembro de 2019; </w:t>
      </w:r>
    </w:p>
    <w:p>
      <w:pPr>
        <w:suppressAutoHyphens w:val="0"/>
        <w:autoSpaceDE w:val="0"/>
        <w:autoSpaceDN w:val="0"/>
        <w:adjustRightInd w:val="0"/>
        <w:spacing w:line="320" w:lineRule="exact"/>
        <w:ind w:left="737"/>
        <w:jc w:val="both"/>
        <w:rPr>
          <w:rFonts w:ascii="Arial" w:hAnsi="Arial" w:cs="Arial"/>
          <w:spacing w:val="-3"/>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pPr>
        <w:pStyle w:val="PargrafodaLista"/>
        <w:spacing w:line="320" w:lineRule="exact"/>
        <w:rPr>
          <w:rFonts w:ascii="Arial" w:hAnsi="Arial" w:cs="Arial"/>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no âmbito da 2ª Emissão, a Vidroporto cedeu ao Agente Fiduciário a propriedade fiduciária, a titularidade resolúvel e a posse indireta de (a) </w:t>
      </w:r>
      <w:r>
        <w:rPr>
          <w:rFonts w:ascii="Arial" w:hAnsi="Arial" w:cs="Arial"/>
          <w:bCs/>
          <w:sz w:val="22"/>
          <w:szCs w:val="22"/>
        </w:rPr>
        <w:t>a totalidade dos direitos creditórios, presentes e futuros, oriundos do Contrato de Fornecimento de Garrafas de Vidro celebrado entre a Companhia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rPr>
        <w:t>Grupo Heineken</w:t>
      </w:r>
      <w:r>
        <w:rPr>
          <w:rFonts w:ascii="Arial" w:hAnsi="Arial" w:cs="Arial"/>
          <w:bCs/>
          <w:sz w:val="22"/>
          <w:szCs w:val="22"/>
        </w:rPr>
        <w:t>”), em 27 de abril de 2018 (“</w:t>
      </w:r>
      <w:r>
        <w:rPr>
          <w:rFonts w:ascii="Arial" w:hAnsi="Arial" w:cs="Arial"/>
          <w:bCs/>
          <w:sz w:val="22"/>
          <w:szCs w:val="22"/>
          <w:u w:val="single"/>
        </w:rPr>
        <w:t>Direitos Creditórios 2º Emissão</w:t>
      </w:r>
      <w:r>
        <w:rPr>
          <w:rFonts w:ascii="Arial" w:hAnsi="Arial" w:cs="Arial"/>
          <w:bCs/>
          <w:sz w:val="22"/>
          <w:szCs w:val="22"/>
        </w:rPr>
        <w:t>”); (b)</w:t>
      </w:r>
      <w:r>
        <w:rPr>
          <w:rFonts w:ascii="Verdana" w:hAnsi="Verdana" w:cs="Tahoma"/>
        </w:rPr>
        <w:t xml:space="preserve"> </w:t>
      </w:r>
      <w:r>
        <w:rPr>
          <w:rFonts w:ascii="Arial" w:hAnsi="Arial" w:cs="Arial"/>
          <w:bCs/>
          <w:sz w:val="22"/>
          <w:szCs w:val="22"/>
        </w:rPr>
        <w:t xml:space="preserve">todos os direitos de crédito, atuais ou futuros, detidos e a serem detidos contra o Banco Administrador, decorrentes da conta corrente nº 9.993.367-5, agência 3370-7, de titularidade da </w:t>
      </w:r>
      <w:r>
        <w:rPr>
          <w:rFonts w:ascii="Arial" w:hAnsi="Arial" w:cs="Arial"/>
          <w:bCs/>
          <w:sz w:val="22"/>
          <w:szCs w:val="22"/>
        </w:rPr>
        <w:lastRenderedPageBreak/>
        <w:t>Companhia, não movimentável por esta, mantida no Banco Administrador onde deverão necessariamente ser depositados e transitar a integralidade dos Direitos Creditórios da 2ª Emissão (“</w:t>
      </w:r>
      <w:r>
        <w:rPr>
          <w:rFonts w:ascii="Arial" w:hAnsi="Arial" w:cs="Arial"/>
          <w:bCs/>
          <w:sz w:val="22"/>
          <w:szCs w:val="22"/>
          <w:u w:val="single"/>
        </w:rPr>
        <w:t>Conta Vinculada daVidroporto</w:t>
      </w:r>
      <w:r>
        <w:rPr>
          <w:rFonts w:ascii="Arial" w:hAnsi="Arial" w:cs="Arial"/>
          <w:bCs/>
          <w:sz w:val="22"/>
          <w:szCs w:val="22"/>
        </w:rPr>
        <w:t>”); e (c) Conta Vinculada da 2ª Emissão, nos termos do Contrato de Cessão Fiduciária de Direitos Creditórios, Administração de Contas e Outras Avenlas, celebrado em 9 de outubro de 2018, entre Vidroporto, Agente Fiduciário e o Banco Administrador (“</w:t>
      </w:r>
      <w:r>
        <w:rPr>
          <w:rFonts w:ascii="Arial" w:hAnsi="Arial" w:cs="Arial"/>
          <w:bCs/>
          <w:sz w:val="22"/>
          <w:szCs w:val="22"/>
          <w:u w:val="single"/>
        </w:rPr>
        <w:t>Cessão Fiduciária da 2ª Emissão</w:t>
      </w:r>
      <w:r>
        <w:rPr>
          <w:rFonts w:ascii="Arial" w:hAnsi="Arial" w:cs="Arial"/>
          <w:bCs/>
          <w:sz w:val="22"/>
          <w:szCs w:val="22"/>
        </w:rPr>
        <w:t>”); e</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pPr>
        <w:pStyle w:val="BNDES"/>
        <w:spacing w:before="0" w:line="320" w:lineRule="exact"/>
      </w:pPr>
    </w:p>
    <w:p>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pPr>
        <w:spacing w:line="320" w:lineRule="exact"/>
        <w:jc w:val="both"/>
        <w:rPr>
          <w:rFonts w:ascii="Arial" w:eastAsia="Courier" w:hAnsi="Arial" w:cs="Arial"/>
          <w:sz w:val="22"/>
          <w:szCs w:val="22"/>
          <w:lang w:val="pt-BR"/>
        </w:rPr>
      </w:pPr>
    </w:p>
    <w:p>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pPr>
        <w:pStyle w:val="000-VERDANA10"/>
        <w:tabs>
          <w:tab w:val="left" w:pos="720"/>
        </w:tabs>
        <w:spacing w:line="320" w:lineRule="exact"/>
        <w:ind w:right="0"/>
        <w:rPr>
          <w:rFonts w:ascii="Arial" w:eastAsia="Courier" w:hAnsi="Arial" w:cs="Arial"/>
          <w:b/>
          <w:spacing w:val="0"/>
          <w:sz w:val="22"/>
          <w:szCs w:val="22"/>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pPr>
        <w:rPr>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(ii) termo “</w:t>
      </w:r>
      <w:r>
        <w:rPr>
          <w:rFonts w:ascii="Arial" w:hAnsi="Arial" w:cs="Arial"/>
          <w:b w:val="0"/>
          <w:i w:val="0"/>
          <w:sz w:val="22"/>
          <w:szCs w:val="22"/>
          <w:u w:val="single"/>
          <w:lang w:val="pt-BR"/>
        </w:rPr>
        <w:t>Debenturistas</w:t>
      </w:r>
      <w:r>
        <w:rPr>
          <w:rFonts w:ascii="Arial" w:hAnsi="Arial" w:cs="Arial"/>
          <w:b w:val="0"/>
          <w:i w:val="0"/>
          <w:sz w:val="22"/>
          <w:szCs w:val="22"/>
          <w:lang w:val="pt-BR"/>
        </w:rPr>
        <w:t xml:space="preserve">” se refere aos Debenturistas da 2ª Emissão e aos Debenturistas da 3ª </w:t>
      </w:r>
      <w:r>
        <w:rPr>
          <w:rFonts w:ascii="Arial" w:hAnsi="Arial" w:cs="Arial"/>
          <w:b w:val="0"/>
          <w:i w:val="0"/>
          <w:sz w:val="22"/>
          <w:szCs w:val="22"/>
          <w:lang w:val="pt-BR"/>
        </w:rPr>
        <w:lastRenderedPageBreak/>
        <w:t>Emissão quando considerados em conjunto; (iii)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(iv)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pPr>
        <w:rPr>
          <w:lang w:val="pt-BR"/>
        </w:rPr>
      </w:pPr>
    </w:p>
    <w:p>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(ii) as referências, os termos e condições da Escritura da 3ª Emissão aplicam-se exclusivamente aos Debenturistas da 3ª Emissão e às Debêntures da 3ª Emissão.</w:t>
      </w:r>
    </w:p>
    <w:p>
      <w:pPr>
        <w:pStyle w:val="Ttulo1"/>
        <w:keepNext w:val="0"/>
        <w:spacing w:line="320" w:lineRule="exact"/>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e quaisquer referências ao Agente Fiduciário neste Contrato significam e sempre deverão ser consideradas como referências ao Agente Fiduciário, na qualidade de representante e mandatário (i) dos Debenturistas da 3ª Emissão e no interesse destes; e/ou (ii) dos Debenturistas da 2ª Emissão; conforme for o caso.</w:t>
      </w:r>
    </w:p>
    <w:p>
      <w:pPr>
        <w:pStyle w:val="Ttulo1"/>
        <w:keepNext w:val="0"/>
        <w:tabs>
          <w:tab w:val="clear" w:pos="432"/>
        </w:tabs>
        <w:suppressAutoHyphens w:val="0"/>
        <w:spacing w:line="320" w:lineRule="exact"/>
        <w:ind w:left="567" w:firstLine="0"/>
        <w:jc w:val="both"/>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pPr>
        <w:spacing w:line="320" w:lineRule="exact"/>
        <w:jc w:val="both"/>
        <w:rPr>
          <w:rFonts w:ascii="Arial" w:hAnsi="Arial" w:cs="Arial"/>
          <w:sz w:val="22"/>
          <w:szCs w:val="22"/>
          <w:lang w:val="pt-BR"/>
        </w:rPr>
      </w:pPr>
      <w:bookmarkStart w:id="3" w:name="Texto70"/>
      <w:bookmarkEnd w:id="3"/>
    </w:p>
    <w:p>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pPr>
        <w:pStyle w:val="000-VERDANA10"/>
        <w:tabs>
          <w:tab w:val="left" w:pos="720"/>
        </w:tabs>
        <w:spacing w:line="320" w:lineRule="exact"/>
        <w:ind w:right="0"/>
        <w:rPr>
          <w:rFonts w:ascii="Arial" w:hAnsi="Arial" w:cs="Arial"/>
          <w:spacing w:val="0"/>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de processos, procedimentos e/ou outras medidas judiciais ou </w:t>
      </w:r>
      <w:r>
        <w:rPr>
          <w:rFonts w:ascii="Arial" w:hAnsi="Arial" w:cs="Arial"/>
          <w:b w:val="0"/>
          <w:i w:val="0"/>
          <w:sz w:val="22"/>
          <w:szCs w:val="22"/>
          <w:lang w:val="pt-BR"/>
        </w:rPr>
        <w:lastRenderedPageBreak/>
        <w:t>extrajudiciais e/ou, quando 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(ii)</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e, em 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pPr>
        <w:spacing w:line="320" w:lineRule="exact"/>
        <w:jc w:val="both"/>
        <w:rPr>
          <w:rFonts w:ascii="Arial" w:hAnsi="Arial" w:cs="Arial"/>
          <w:bCs/>
          <w:sz w:val="22"/>
          <w:szCs w:val="22"/>
          <w:lang w:val="pt-BR"/>
        </w:rPr>
      </w:pPr>
    </w:p>
    <w:p>
      <w:pPr>
        <w:pStyle w:val="PargrafodaLista"/>
        <w:numPr>
          <w:ilvl w:val="0"/>
          <w:numId w:val="9"/>
        </w:numPr>
        <w:spacing w:line="320" w:lineRule="exact"/>
        <w:jc w:val="both"/>
        <w:rPr>
          <w:rFonts w:ascii="Arial" w:hAnsi="Arial" w:cs="Arial"/>
          <w:sz w:val="22"/>
          <w:szCs w:val="22"/>
        </w:rPr>
      </w:pPr>
      <w:r>
        <w:rPr>
          <w:rFonts w:ascii="Arial" w:hAnsi="Arial" w:cs="Arial"/>
          <w:sz w:val="22"/>
          <w:szCs w:val="22"/>
        </w:rPr>
        <w:t xml:space="preserve">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xml:space="preserve">, mantida no Banco </w:t>
      </w:r>
      <w:r>
        <w:rPr>
          <w:rFonts w:ascii="Arial" w:hAnsi="Arial" w:cs="Arial"/>
          <w:sz w:val="22"/>
          <w:szCs w:val="22"/>
        </w:rPr>
        <w:lastRenderedPageBreak/>
        <w:t>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p>
    <w:p>
      <w:pPr>
        <w:pStyle w:val="PargrafodaLista"/>
        <w:spacing w:line="320" w:lineRule="exact"/>
        <w:ind w:left="735"/>
        <w:jc w:val="both"/>
        <w:rPr>
          <w:rFonts w:ascii="Arial" w:hAnsi="Arial" w:cs="Arial"/>
          <w:sz w:val="22"/>
          <w:szCs w:val="22"/>
        </w:rPr>
      </w:pPr>
    </w:p>
    <w:p>
      <w:pPr>
        <w:pStyle w:val="PargrafodaLista"/>
        <w:numPr>
          <w:ilvl w:val="0"/>
          <w:numId w:val="9"/>
        </w:numPr>
        <w:spacing w:line="320" w:lineRule="exact"/>
        <w:jc w:val="both"/>
        <w:rPr>
          <w:rFonts w:ascii="Arial" w:hAnsi="Arial" w:cs="Arial"/>
          <w:sz w:val="22"/>
          <w:szCs w:val="22"/>
        </w:rPr>
      </w:pPr>
      <w:r>
        <w:rPr>
          <w:rFonts w:ascii="Arial" w:hAnsi="Arial" w:cs="Arial"/>
          <w:sz w:val="22"/>
          <w:szCs w:val="22"/>
        </w:rPr>
        <w:t>a Conta Vinculada.</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pPr>
        <w:spacing w:line="320" w:lineRule="exact"/>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pPr>
        <w:spacing w:line="320" w:lineRule="exact"/>
        <w:jc w:val="both"/>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pPr>
        <w:pStyle w:val="ListaColorida-nfase11"/>
        <w:spacing w:line="320" w:lineRule="exact"/>
        <w:ind w:left="0"/>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pPr>
        <w:spacing w:line="320" w:lineRule="exact"/>
        <w:jc w:val="both"/>
        <w:rPr>
          <w:rFonts w:ascii="Arial" w:hAnsi="Arial" w:cs="Arial"/>
          <w:sz w:val="22"/>
          <w:szCs w:val="22"/>
          <w:lang w:val="pt-BR"/>
        </w:rPr>
      </w:pPr>
      <w:bookmarkStart w:id="4" w:name="Texto85"/>
      <w:bookmarkEnd w:id="4"/>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ficarão em poder e deverão ser mantidos na sede, da Cedente Fiduciante,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A Cedente Fiduciante assume total responsabilidade pela correta formalização e conservação dos Documentos Comprobatórios dos Direitos Cedidos Fiduciariamente, bem como pela existência, validade e plena eficácia dos referidos Direitos Cedidos Fiduciariamente.</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a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Fiduciariamente.] </w:t>
      </w:r>
      <w:r>
        <w:rPr>
          <w:rFonts w:ascii="Arial" w:hAnsi="Arial" w:cs="Arial"/>
          <w:b w:val="0"/>
          <w:i w:val="0"/>
          <w:sz w:val="22"/>
          <w:szCs w:val="22"/>
          <w:highlight w:val="yellow"/>
          <w:lang w:val="pt-BR"/>
        </w:rPr>
        <w:t>[Nota PNA: Favor confirmar a data de envio desta notificação, caso aplicável – Discutir trecho entre colchetes]</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insuficiente ou declarada nula e/ou inexistente, a Cedente Fiduciante e/ou a Emissora obrigam-se a 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5" w:name="_DV_C216"/>
      <w:r>
        <w:rPr>
          <w:rFonts w:ascii="Arial" w:hAnsi="Arial" w:cs="Arial"/>
          <w:sz w:val="22"/>
          <w:szCs w:val="22"/>
          <w:lang w:val="pt-BR"/>
        </w:rPr>
        <w:t xml:space="preserve">A substituição desta Cessão Fiduciária </w:t>
      </w:r>
      <w:bookmarkStart w:id="6" w:name="_DV_C217"/>
      <w:bookmarkStart w:id="7" w:name="_DV_X221"/>
      <w:bookmarkEnd w:id="5"/>
      <w:r>
        <w:rPr>
          <w:rFonts w:ascii="Arial" w:hAnsi="Arial" w:cs="Arial"/>
          <w:sz w:val="22"/>
          <w:szCs w:val="22"/>
          <w:lang w:val="pt-BR"/>
        </w:rPr>
        <w:t xml:space="preserve">deverá ser implementada por meio de cessão ou alienação fiduciária </w:t>
      </w:r>
      <w:bookmarkEnd w:id="6"/>
      <w:bookmarkEnd w:id="7"/>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w:t>
      </w:r>
      <w:r>
        <w:rPr>
          <w:rFonts w:ascii="Arial" w:hAnsi="Arial" w:cs="Arial"/>
          <w:sz w:val="22"/>
          <w:szCs w:val="22"/>
          <w:lang w:val="pt-BR"/>
        </w:rPr>
        <w:lastRenderedPageBreak/>
        <w:t xml:space="preserve">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uma ou de ambas as Emissões, conforme aplicável.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pPr>
        <w:rPr>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do presente Contrato, resolver-se-á quando do pagamento integral das Obrigações Garantidas. Após o pagamento integral das Obrigações Garantidas, a posse indireta dos Direitos Creditórios retornará à Cedente Fiduciante de pleno direito, sem necessidade de comunicação ou notificação. Nesse caso, os recursos mantidos na Conta Vinculada serão liberados para a Cedente Fiduciante, deduzidos eventuais encargos devidos.</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pPr>
        <w:spacing w:line="320" w:lineRule="exact"/>
        <w:jc w:val="both"/>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xml:space="preserve">, autorizações e anotações que vierem a ser exigidos pela legislação aplicável </w:t>
      </w:r>
      <w:r>
        <w:rPr>
          <w:rFonts w:ascii="Arial" w:hAnsi="Arial" w:cs="Arial"/>
          <w:b w:val="0"/>
          <w:i w:val="0"/>
          <w:sz w:val="22"/>
          <w:szCs w:val="22"/>
          <w:lang w:val="pt-BR"/>
        </w:rPr>
        <w:lastRenderedPageBreak/>
        <w:t>para o fim de formalizar a garantia instituída pelo presente Contrato e para permitir que os Debenturistas, representados pelo Agente Fiduciário, possam exercer integralmente todos os direitos que lhes são aqui assegurados, incluindo, sem limitação</w:t>
      </w:r>
      <w:bookmarkStart w:id="8" w:name="_DV_M47"/>
      <w:bookmarkEnd w:id="8"/>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com a obtenção do respectivo protocolo em até 5 (cinco) Dias Úteis contados da data da 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5 (cinco) Dias Úteis do respectivo registro.</w:t>
      </w:r>
    </w:p>
    <w:p>
      <w:pPr>
        <w:tabs>
          <w:tab w:val="left" w:pos="709"/>
        </w:tabs>
        <w:spacing w:line="320" w:lineRule="exact"/>
        <w:jc w:val="both"/>
        <w:outlineLvl w:val="0"/>
        <w:rPr>
          <w:rFonts w:ascii="Arial" w:hAnsi="Arial" w:cs="Arial"/>
          <w:sz w:val="22"/>
          <w:szCs w:val="22"/>
          <w:lang w:val="pt-BR"/>
        </w:rPr>
      </w:pPr>
      <w:bookmarkStart w:id="9" w:name="_DV_M48"/>
      <w:bookmarkEnd w:id="9"/>
    </w:p>
    <w:p>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10" w:name="_DV_M49"/>
      <w:bookmarkEnd w:id="10"/>
      <w:r>
        <w:rPr>
          <w:rFonts w:ascii="Arial" w:hAnsi="Arial" w:cs="Arial"/>
          <w:b w:val="0"/>
          <w:i w:val="0"/>
          <w:sz w:val="22"/>
          <w:szCs w:val="22"/>
          <w:lang w:val="pt-BR"/>
        </w:rPr>
        <w:t>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pPr>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lastRenderedPageBreak/>
        <w:t>CLÁUSULA QUARTA – CONTROLE DOS DIREITOS CEDIDOS FIDUCIARIAMENTE</w:t>
      </w:r>
    </w:p>
    <w:p>
      <w:pPr>
        <w:rPr>
          <w:rFonts w:ascii="Arial" w:hAnsi="Arial" w:cs="Arial"/>
          <w:sz w:val="22"/>
          <w:szCs w:val="22"/>
          <w:lang w:val="pt-BR"/>
        </w:rPr>
      </w:pPr>
      <w:bookmarkStart w:id="11" w:name="Texto97"/>
      <w:bookmarkStart w:id="12" w:name="Texto98"/>
      <w:bookmarkEnd w:id="11"/>
      <w:bookmarkEnd w:id="12"/>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pPr>
        <w:spacing w:line="320" w:lineRule="exact"/>
        <w:rPr>
          <w:rFonts w:ascii="Arial" w:hAnsi="Arial" w:cs="Arial"/>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pPr>
        <w:pStyle w:val="Ttulo1"/>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pPr>
        <w:pStyle w:val="Ttulo1"/>
        <w:tabs>
          <w:tab w:val="left" w:pos="851"/>
        </w:tabs>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w:t>
      </w:r>
      <w:r>
        <w:rPr>
          <w:rFonts w:ascii="Arial" w:hAnsi="Arial" w:cs="Arial"/>
          <w:b w:val="0"/>
          <w:i w:val="0"/>
          <w:sz w:val="22"/>
          <w:szCs w:val="22"/>
          <w:lang w:val="pt-BR"/>
        </w:rPr>
        <w:lastRenderedPageBreak/>
        <w:t xml:space="preserve">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3" w:name="_Ref484980161"/>
      <w:r>
        <w:rPr>
          <w:rFonts w:ascii="Arial" w:hAnsi="Arial" w:cs="Arial"/>
          <w:i w:val="0"/>
          <w:sz w:val="22"/>
          <w:szCs w:val="22"/>
          <w:lang w:val="pt-BR"/>
        </w:rPr>
        <w:t>CLÁUSULA QUINTA – CONTA VINCULADA</w:t>
      </w:r>
      <w:bookmarkEnd w:id="13"/>
      <w:r>
        <w:rPr>
          <w:rFonts w:ascii="Arial" w:hAnsi="Arial" w:cs="Arial"/>
          <w:i w:val="0"/>
          <w:sz w:val="22"/>
          <w:szCs w:val="22"/>
          <w:lang w:val="pt-BR"/>
        </w:rPr>
        <w:t xml:space="preserve"> E GESTÃO DOS DIREITOS CREDITÓRIOS E SEU MONITORAMENTO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4"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15" w:name="_DV_C48"/>
      <w:r>
        <w:rPr>
          <w:rFonts w:ascii="Arial" w:hAnsi="Arial" w:cs="Arial"/>
          <w:b w:val="0"/>
          <w:i w:val="0"/>
          <w:sz w:val="22"/>
          <w:szCs w:val="22"/>
          <w:lang w:val="pt-BR"/>
        </w:rPr>
        <w:t>mediante a</w:t>
      </w:r>
      <w:bookmarkEnd w:id="15"/>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4"/>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pPr>
        <w:spacing w:line="320" w:lineRule="exact"/>
        <w:rPr>
          <w:rFonts w:ascii="Arial" w:hAnsi="Arial" w:cs="Arial"/>
          <w:sz w:val="22"/>
          <w:szCs w:val="22"/>
          <w:lang w:val="pt-BR"/>
        </w:rPr>
      </w:pPr>
    </w:p>
    <w:p>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pPr>
        <w:rPr>
          <w:rFonts w:ascii="Arial" w:hAnsi="Arial" w:cs="Arial"/>
          <w:sz w:val="22"/>
          <w:szCs w:val="22"/>
          <w:highlight w:val="yellow"/>
          <w:lang w:val="pt-BR"/>
        </w:rPr>
      </w:pP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bCs/>
          <w:iCs/>
          <w:spacing w:val="-4"/>
          <w:sz w:val="22"/>
          <w:szCs w:val="22"/>
          <w:highlight w:val="yellow"/>
        </w:rPr>
        <w:t>[Nota PNA: Refletimos a estrutura solicitada conforme abaixo. AF/Banco Administrador, favor confirmar se funciona para fins de verificação. Companhia pleiteia o ajuste para 12 meses de extrato. A discutir.]</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w:t>
      </w:r>
      <w:r>
        <w:rPr>
          <w:rFonts w:ascii="Arial" w:hAnsi="Arial" w:cs="Arial"/>
          <w:b w:val="0"/>
          <w:bCs w:val="0"/>
          <w:i w:val="0"/>
          <w:iCs w:val="0"/>
          <w:spacing w:val="-4"/>
          <w:sz w:val="22"/>
          <w:szCs w:val="22"/>
        </w:rPr>
        <w:t>Observado o disposto na cláusula 5.5. abaixo,</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um montante que (i) </w:t>
      </w:r>
      <w:r>
        <w:rPr>
          <w:rFonts w:ascii="Arial" w:hAnsi="Arial" w:cs="Arial"/>
          <w:i w:val="0"/>
          <w:sz w:val="22"/>
          <w:szCs w:val="22"/>
          <w:lang w:val="pt-BR"/>
        </w:rPr>
        <w:t>quando somado</w:t>
      </w:r>
      <w:r>
        <w:rPr>
          <w:rFonts w:ascii="Arial" w:hAnsi="Arial" w:cs="Arial"/>
          <w:b w:val="0"/>
          <w:i w:val="0"/>
          <w:sz w:val="22"/>
          <w:szCs w:val="22"/>
          <w:lang w:val="pt-BR"/>
        </w:rPr>
        <w:t xml:space="preserve"> aos valores que tiverem transitado na Conta Vinculada da Vidroporto no mesmo período de apuração, corresponda a R$8.700.000,00 (oito milhões e setecentos mil reais); e (ii) </w:t>
      </w:r>
      <w:r>
        <w:rPr>
          <w:rFonts w:ascii="Arial" w:hAnsi="Arial" w:cs="Arial"/>
          <w:i w:val="0"/>
          <w:sz w:val="22"/>
          <w:szCs w:val="22"/>
          <w:lang w:val="pt-BR"/>
        </w:rPr>
        <w:t>quando não</w:t>
      </w:r>
      <w:r>
        <w:rPr>
          <w:rFonts w:ascii="Arial" w:hAnsi="Arial" w:cs="Arial"/>
          <w:b w:val="0"/>
          <w:i w:val="0"/>
          <w:sz w:val="22"/>
          <w:szCs w:val="22"/>
          <w:lang w:val="pt-BR"/>
        </w:rPr>
        <w:t xml:space="preserve"> somado aos valores que tiverem transitado na Conta Vinculada da Vidroporto, </w:t>
      </w:r>
      <w:r>
        <w:rPr>
          <w:rFonts w:ascii="Arial" w:hAnsi="Arial" w:cs="Arial"/>
          <w:b w:val="0"/>
          <w:i w:val="0"/>
          <w:sz w:val="22"/>
          <w:szCs w:val="22"/>
          <w:lang w:val="pt-BR"/>
        </w:rPr>
        <w:lastRenderedPageBreak/>
        <w:t>corresponda a R$3.000.000,00 (três milhões de reais)</w:t>
      </w:r>
      <w:r>
        <w:rPr>
          <w:rFonts w:ascii="Arial" w:hAnsi="Arial" w:cs="Arial"/>
          <w:b w:val="0"/>
          <w:bCs w:val="0"/>
          <w:i w:val="0"/>
          <w:iCs w:val="0"/>
          <w:spacing w:val="-4"/>
          <w:sz w:val="22"/>
          <w:szCs w:val="22"/>
        </w:rPr>
        <w:t xml:space="preserve">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sendo que: [</w:t>
      </w:r>
      <w:r>
        <w:rPr>
          <w:rFonts w:ascii="Arial" w:hAnsi="Arial" w:cs="Arial"/>
          <w:b w:val="0"/>
          <w:bCs w:val="0"/>
          <w:i w:val="0"/>
          <w:iCs w:val="0"/>
          <w:spacing w:val="-4"/>
          <w:sz w:val="22"/>
          <w:szCs w:val="22"/>
          <w:highlight w:val="yellow"/>
        </w:rPr>
        <w:t>Nota PNA: Agente Fiduciário/Banco Administrador, confirmar se funciona dessa forma</w:t>
      </w:r>
      <w:r>
        <w:rPr>
          <w:rFonts w:ascii="Arial" w:hAnsi="Arial" w:cs="Arial"/>
          <w:b w:val="0"/>
          <w:bCs w:val="0"/>
          <w:i w:val="0"/>
          <w:iCs w:val="0"/>
          <w:spacing w:val="-4"/>
          <w:sz w:val="22"/>
          <w:szCs w:val="22"/>
        </w:rPr>
        <w:t>.]</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bCs w:val="0"/>
          <w:i w:val="0"/>
          <w:iCs w:val="0"/>
          <w:spacing w:val="-4"/>
          <w:sz w:val="22"/>
          <w:szCs w:val="22"/>
        </w:rPr>
        <w:t xml:space="preserve"> </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t xml:space="preserve">(a) na hipótese de as Debêntures da 2ª Emissão vencerem, serem canceladas, resgatadas ou, de qualquer forma extintas enquanto as Debêntures da 3ª Emissão estiverem vigentes, o Montante Mínimo Mensal passará a ser R$3.000.000,00 (três milhões de reais); </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pPr>
        <w:pStyle w:val="Ttulo1"/>
        <w:keepNext w:val="0"/>
        <w:tabs>
          <w:tab w:val="clear" w:pos="432"/>
        </w:tabs>
        <w:suppressAutoHyphens w:val="0"/>
        <w:spacing w:line="320" w:lineRule="exact"/>
        <w:ind w:left="0" w:firstLine="0"/>
        <w:jc w:val="both"/>
        <w:rPr>
          <w:rFonts w:ascii="Arial" w:hAnsi="Arial" w:cs="Arial"/>
          <w:spacing w:val="-4"/>
          <w:sz w:val="22"/>
          <w:szCs w:val="22"/>
        </w:rPr>
      </w:pPr>
      <w:r>
        <w:rPr>
          <w:rFonts w:ascii="Arial" w:hAnsi="Arial" w:cs="Arial"/>
          <w:b w:val="0"/>
          <w:i w:val="0"/>
          <w:spacing w:val="-4"/>
          <w:sz w:val="22"/>
          <w:szCs w:val="22"/>
        </w:rPr>
        <w:t>(b) na hipótese de as Debêntures da 3ª Emissão vencerem, serem canceladas, resgatadas ou, de qualquer forma extintas enquanto as Debêntures da 2ª Emissão estiverem vigentes, o Montante Mínimo Mensal passará a ser R$5.700.000,00 (cinco milhões e setecentos mil reais);</w:t>
      </w:r>
    </w:p>
    <w:p>
      <w:pPr>
        <w:tabs>
          <w:tab w:val="left" w:pos="3507"/>
        </w:tabs>
        <w:jc w:val="both"/>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mensalmente, a verificação do Montante Mínimo Mensal, o qual será calculado pela média</w:t>
      </w:r>
      <w:r>
        <w:t xml:space="preserve"> </w:t>
      </w:r>
      <w:r>
        <w:rPr>
          <w:rFonts w:ascii="Arial" w:hAnsi="Arial" w:cs="Arial"/>
          <w:b w:val="0"/>
          <w:i w:val="0"/>
          <w:sz w:val="22"/>
          <w:szCs w:val="22"/>
          <w:lang w:val="pt-BR"/>
        </w:rPr>
        <w:t xml:space="preserve">de recursos depositados na Conta Vinculada nos 6 (seis) meses imediatamente anteriores à cada Data de Apuração do Montante Mínimo Mensal, sendo a primeira apuração realizada em </w:t>
      </w:r>
      <w:r>
        <w:rPr>
          <w:rFonts w:ascii="Arial" w:hAnsi="Arial" w:cs="Arial"/>
          <w:b w:val="0"/>
          <w:i w:val="0"/>
          <w:sz w:val="22"/>
          <w:szCs w:val="22"/>
          <w:highlight w:val="yellow"/>
          <w:lang w:val="pt-BR"/>
        </w:rPr>
        <w:t>5 de outubro de 2020</w:t>
      </w:r>
      <w:r>
        <w:rPr>
          <w:rFonts w:ascii="Arial" w:hAnsi="Arial" w:cs="Arial"/>
          <w:b w:val="0"/>
          <w:i w:val="0"/>
          <w:sz w:val="22"/>
          <w:szCs w:val="22"/>
          <w:lang w:val="pt-BR"/>
        </w:rPr>
        <w:t>. Cada data de apuração realizada nos termos acima, será considerada uma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w:t>
      </w:r>
      <w:r>
        <w:rPr>
          <w:rFonts w:ascii="Arial" w:hAnsi="Arial" w:cs="Arial"/>
          <w:b w:val="0"/>
          <w:i w:val="0"/>
          <w:sz w:val="22"/>
          <w:szCs w:val="22"/>
          <w:highlight w:val="yellow"/>
          <w:lang w:val="pt-BR"/>
        </w:rPr>
        <w:t>Nota PNA: sugerimos realizar a primeira apuração em 5 de outubro de 2020, de modo a considerar os seis meses anteriores. O período de apuração desta forma, iniciaria em 5 de abril, como solicitado pela Companhia</w:t>
      </w:r>
      <w:r>
        <w:rPr>
          <w:rFonts w:ascii="Arial" w:hAnsi="Arial" w:cs="Arial"/>
          <w:b w:val="0"/>
          <w:i w:val="0"/>
          <w:sz w:val="22"/>
          <w:szCs w:val="22"/>
          <w:lang w:val="pt-BR"/>
        </w:rPr>
        <w:t>.]</w:t>
      </w:r>
    </w:p>
    <w:p>
      <w:pPr>
        <w:rPr>
          <w:b/>
          <w:i/>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pPr>
        <w:rPr>
          <w:lang w:val="pt-BR"/>
        </w:rPr>
      </w:pP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pPr>
        <w:pStyle w:val="Ttulo1"/>
        <w:spacing w:line="320" w:lineRule="exact"/>
        <w:ind w:left="567"/>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 xml:space="preserve">IVN </w:t>
      </w:r>
      <w:r>
        <w:rPr>
          <w:rFonts w:ascii="Arial" w:hAnsi="Arial" w:cs="Arial"/>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pPr>
        <w:pStyle w:val="Ttulo1"/>
        <w:spacing w:line="320" w:lineRule="exact"/>
        <w:rPr>
          <w:rFonts w:ascii="Arial" w:hAnsi="Arial" w:cs="Arial"/>
          <w:b w:val="0"/>
          <w:i w:val="0"/>
          <w:color w:val="00000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 xml:space="preserve">não poderá efetuar a Complementação do Montante Mínimo Mensal (i) por mais do que 4 (quatro) Datas de Apuração do Montante Mínimo Mensal consecutivas; e/ou (iii) em mais do que 4 (quatro) as de Apuração do Montante Mínimo Mensal alternadas, ambas compreendidas em um período de 12 (doze) meses consecutivos.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pPr>
        <w:pStyle w:val="Ttulo1"/>
        <w:spacing w:line="320" w:lineRule="exact"/>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a IVN, com cópia para a Vidroporto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IVN, com cópia para a Vidroporto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Os depósitos que forem creditados após o horário acima estipulado serão liberados no Dia Útil subsequente. [</w:t>
      </w:r>
      <w:r>
        <w:rPr>
          <w:rFonts w:ascii="Arial" w:hAnsi="Arial" w:cs="Arial"/>
          <w:b w:val="0"/>
          <w:i w:val="0"/>
          <w:sz w:val="22"/>
          <w:szCs w:val="22"/>
          <w:highlight w:val="yellow"/>
          <w:lang w:val="pt-BR"/>
        </w:rPr>
        <w:t>Nota PNA: Vidroporto/BB, favor informar</w:t>
      </w:r>
      <w:r>
        <w:rPr>
          <w:rFonts w:ascii="Arial" w:hAnsi="Arial" w:cs="Arial"/>
          <w:b w:val="0"/>
          <w:i w:val="0"/>
          <w:sz w:val="22"/>
          <w:szCs w:val="22"/>
          <w:lang w:val="pt-BR"/>
        </w:rPr>
        <w:t xml:space="preserve">.] </w:t>
      </w:r>
    </w:p>
    <w:p>
      <w:pPr>
        <w:pStyle w:val="Corpodetexto"/>
        <w:tabs>
          <w:tab w:val="left" w:pos="709"/>
          <w:tab w:val="left" w:pos="826"/>
          <w:tab w:val="left" w:pos="993"/>
        </w:tabs>
        <w:spacing w:line="320" w:lineRule="exact"/>
        <w:rPr>
          <w:rFonts w:ascii="Arial" w:hAnsi="Arial" w:cs="Arial"/>
          <w:sz w:val="22"/>
          <w:szCs w:val="22"/>
          <w:lang w:val="pt-BR"/>
        </w:rPr>
      </w:pPr>
    </w:p>
    <w:p>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pPr>
        <w:pStyle w:val="Ttulo1"/>
        <w:tabs>
          <w:tab w:val="left" w:pos="709"/>
          <w:tab w:val="left" w:pos="993"/>
        </w:tabs>
        <w:spacing w:line="320" w:lineRule="exact"/>
        <w:ind w:left="0" w:firstLine="0"/>
        <w:rPr>
          <w:rFonts w:ascii="Arial" w:hAnsi="Arial" w:cs="Arial"/>
          <w:b w:val="0"/>
          <w:i w:val="0"/>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5.13.1.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pPr>
        <w:pStyle w:val="Corpodetexto"/>
        <w:tabs>
          <w:tab w:val="left" w:pos="826"/>
        </w:tabs>
        <w:spacing w:line="320" w:lineRule="exact"/>
        <w:rPr>
          <w:rFonts w:ascii="Arial" w:hAnsi="Arial" w:cs="Arial"/>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5.13.2.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5.11 acima, e não será, de nenhuma forma, responsabilizado por eventuais fatos danosos dela decorrentes</w:t>
      </w:r>
      <w:r>
        <w:rPr>
          <w:rFonts w:ascii="Arial" w:hAnsi="Arial" w:cs="Arial"/>
          <w:b w:val="0"/>
          <w:i w:val="0"/>
          <w:sz w:val="22"/>
          <w:szCs w:val="22"/>
          <w:lang w:val="pt-BR"/>
        </w:rPr>
        <w:t xml:space="preserve">. </w:t>
      </w:r>
    </w:p>
    <w:p>
      <w:pPr>
        <w:pStyle w:val="PargrafodaLista"/>
        <w:spacing w:line="320" w:lineRule="exact"/>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pPr>
        <w:spacing w:line="320" w:lineRule="exact"/>
        <w:rPr>
          <w:rFonts w:ascii="Arial" w:hAnsi="Arial" w:cs="Arial"/>
          <w:sz w:val="22"/>
          <w:szCs w:val="22"/>
          <w:lang w:val="pt-BR"/>
        </w:rPr>
      </w:pPr>
    </w:p>
    <w:p>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pPr>
        <w:spacing w:line="320" w:lineRule="exact"/>
        <w:rPr>
          <w:rFonts w:ascii="Arial" w:hAnsi="Arial" w:cs="Arial"/>
          <w:sz w:val="22"/>
          <w:szCs w:val="22"/>
          <w:lang w:val="pt-BR"/>
        </w:rPr>
      </w:pPr>
    </w:p>
    <w:p>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pPr>
        <w:pStyle w:val="Corpodetexto"/>
        <w:tabs>
          <w:tab w:val="left" w:pos="826"/>
        </w:tabs>
        <w:spacing w:line="320" w:lineRule="exact"/>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IVN o que eventualmente sobejar;</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havendo, após a execução desta garantia conforme previsto nos itens (i) e (ii) acima, saldo em aberto das Obrigações Garantidas, a IVN permanecerá responsável por tal saldo até sua efetiva e total liquidação;</w:t>
      </w:r>
    </w:p>
    <w:p>
      <w:pPr>
        <w:tabs>
          <w:tab w:val="num" w:pos="709"/>
        </w:tabs>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o exercício da prerrogativa prevista nos itens (i) e (ii) acima não impedirá o Agente Fiduciário de executar as demais garantias outorgadas no âmbito da 2ª Emissão e/ou da 3ª Emissão, conforme o caso, nos termos previstos nas respectiva Escritura de Emissão, de forma simultânea ou não; e</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caso, após a total liquidação do saldo devedor das Obrigações Garantidas, seja verificada a existência de saldo excedente, referido saldo deverá ser disponibilizado pelo Agente Fiduciário à IVN.</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pPr>
        <w:pStyle w:val="Ttulo1"/>
        <w:spacing w:line="320" w:lineRule="exact"/>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pPr>
        <w:pStyle w:val="PargrafodaLista"/>
        <w:spacing w:line="320" w:lineRule="exact"/>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pPr>
        <w:pStyle w:val="Ttulo1"/>
        <w:tabs>
          <w:tab w:val="left" w:pos="826"/>
        </w:tabs>
        <w:spacing w:line="320" w:lineRule="exact"/>
        <w:ind w:right="51"/>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IVN,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w:t>
      </w:r>
      <w:r>
        <w:rPr>
          <w:rFonts w:ascii="Arial" w:hAnsi="Arial" w:cs="Arial"/>
          <w:b w:val="0"/>
          <w:i w:val="0"/>
          <w:color w:val="000000"/>
          <w:sz w:val="22"/>
          <w:szCs w:val="22"/>
          <w:lang w:val="pt-BR" w:eastAsia="pt-BR"/>
        </w:rPr>
        <w:lastRenderedPageBreak/>
        <w:t xml:space="preserve">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w:t>
      </w:r>
      <w:r>
        <w:rPr>
          <w:rFonts w:ascii="Arial" w:hAnsi="Arial" w:cs="Arial"/>
          <w:b w:val="0"/>
          <w:i w:val="0"/>
          <w:sz w:val="22"/>
          <w:szCs w:val="22"/>
          <w:lang w:val="pt-BR"/>
        </w:rPr>
        <w:lastRenderedPageBreak/>
        <w:t>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independentemente de leilão, hasta pública, avaliação prévia, pregão público ou qualquer outra medida judicial ou extrajudicial, conforme o artigo 66-B, caput, da Lei 4.728/65.</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IVN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pPr>
        <w:pStyle w:val="PargrafodaLista"/>
        <w:spacing w:line="320" w:lineRule="exact"/>
        <w:ind w:left="0"/>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 observado os termos da cláusula 7 abaixo.</w:t>
      </w:r>
    </w:p>
    <w:p>
      <w:pPr>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qualquer providência preliminar por parte do Agente Fiduciário, tais como aviso, protesto, notificação, interpelação ou prestação de contas, de qualquer natureza.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respectivas Garantias, total ou parcialmente, tantas vezes quantas forem necessárias, sem ordem de prioridade, até integral adimplemento das Obrigações Garantidas;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respectivas Garantias não ensejará, em hipótese nenhuma, perda da opção de se excutir a outra; e</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a IVN: (a) declara conhecer o conteúdo das Escrituras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nas Escrituras de Emissão, conforme aplicável, ou neste Contrato.</w:t>
      </w:r>
    </w:p>
    <w:p>
      <w:pPr>
        <w:spacing w:line="320" w:lineRule="exact"/>
        <w:jc w:val="both"/>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A presente Cessão Fiduciária é outorgada de forma compartilhada aos Debenturistas da 2ª Emissão e aos Debenturistas da 3ª Emssão, os quais, em caso de excussão, farão jus à seguinte proporção do valor total da Cessão Fiduciária: [</w:t>
      </w:r>
      <w:r>
        <w:rPr>
          <w:rFonts w:ascii="Arial" w:hAnsi="Arial" w:cs="Arial"/>
          <w:b w:val="0"/>
          <w:i w:val="0"/>
          <w:sz w:val="22"/>
          <w:szCs w:val="22"/>
          <w:highlight w:val="yellow"/>
          <w:lang w:val="pt-BR"/>
        </w:rPr>
        <w:t>Nota PNA: Favor confirmar</w:t>
      </w:r>
      <w:r>
        <w:rPr>
          <w:rFonts w:ascii="Arial" w:hAnsi="Arial" w:cs="Arial"/>
          <w:b w:val="0"/>
          <w:i w:val="0"/>
          <w:sz w:val="22"/>
          <w:szCs w:val="22"/>
          <w:lang w:val="pt-BR"/>
        </w:rPr>
        <w:t>.]</w:t>
      </w:r>
    </w:p>
    <w:p>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trPr>
          <w:trHeight w:val="697"/>
          <w:jc w:val="center"/>
        </w:trPr>
        <w:tc>
          <w:tcPr>
            <w:tcW w:w="2767"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trPr>
          <w:trHeight w:val="284"/>
          <w:jc w:val="center"/>
        </w:trPr>
        <w:tc>
          <w:tcPr>
            <w:tcW w:w="2767" w:type="dxa"/>
            <w:vAlign w:val="center"/>
          </w:tcPr>
          <w:p>
            <w:pPr>
              <w:tabs>
                <w:tab w:val="left" w:pos="1240"/>
              </w:tabs>
              <w:spacing w:line="320" w:lineRule="exact"/>
              <w:jc w:val="both"/>
              <w:rPr>
                <w:rFonts w:ascii="Arial" w:hAnsi="Arial" w:cs="Arial"/>
                <w:bCs/>
                <w:iCs/>
                <w:sz w:val="22"/>
                <w:szCs w:val="22"/>
                <w:highlight w:val="yellow"/>
                <w:lang w:val="pt-BR"/>
              </w:rPr>
            </w:pPr>
            <w:r>
              <w:rPr>
                <w:rFonts w:ascii="Arial" w:hAnsi="Arial" w:cs="Arial"/>
                <w:bCs/>
                <w:iCs/>
                <w:sz w:val="22"/>
                <w:szCs w:val="22"/>
                <w:highlight w:val="yellow"/>
                <w:lang w:val="pt-BR"/>
              </w:rPr>
              <w:t>Debenturistas 2ª Emissão</w:t>
            </w:r>
          </w:p>
        </w:tc>
        <w:tc>
          <w:tcPr>
            <w:tcW w:w="5600" w:type="dxa"/>
            <w:vAlign w:val="center"/>
          </w:tcPr>
          <w:p>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[65,52]</w:t>
            </w:r>
          </w:p>
        </w:tc>
      </w:tr>
      <w:tr>
        <w:trPr>
          <w:trHeight w:val="1254"/>
          <w:jc w:val="center"/>
        </w:trPr>
        <w:tc>
          <w:tcPr>
            <w:tcW w:w="2767" w:type="dxa"/>
            <w:vAlign w:val="center"/>
          </w:tcPr>
          <w:p>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Debenturistas 3ª Emissão</w:t>
            </w:r>
          </w:p>
        </w:tc>
        <w:tc>
          <w:tcPr>
            <w:tcW w:w="5600" w:type="dxa"/>
            <w:vAlign w:val="center"/>
          </w:tcPr>
          <w:p>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[34,48]</w:t>
            </w:r>
          </w:p>
        </w:tc>
      </w:tr>
    </w:tbl>
    <w:p>
      <w:pPr>
        <w:spacing w:line="320" w:lineRule="exact"/>
        <w:jc w:val="both"/>
        <w:rPr>
          <w:rFonts w:ascii="Arial" w:hAnsi="Arial" w:cs="Arial"/>
          <w:bCs/>
          <w:iCs/>
          <w:sz w:val="22"/>
          <w:szCs w:val="22"/>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 xml:space="preserve">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w:t>
      </w:r>
      <w:r>
        <w:rPr>
          <w:rFonts w:ascii="Arial" w:hAnsi="Arial" w:cs="Arial"/>
          <w:bCs/>
          <w:iCs/>
          <w:sz w:val="22"/>
          <w:szCs w:val="22"/>
          <w:lang w:val="pt-BR"/>
        </w:rPr>
        <w:lastRenderedPageBreak/>
        <w:t>proporção descrita na Cláusula 6.12.1 acima. [</w:t>
      </w:r>
      <w:r>
        <w:rPr>
          <w:rFonts w:ascii="Arial" w:hAnsi="Arial" w:cs="Arial"/>
          <w:bCs/>
          <w:iCs/>
          <w:sz w:val="22"/>
          <w:szCs w:val="22"/>
          <w:highlight w:val="yellow"/>
          <w:lang w:val="pt-BR"/>
        </w:rPr>
        <w:t>Nota PNA: Uma vez que (i) a partilha na proporção acima será realizada após a excussão da Garantia como um todo; (ii) há um único Agente Fiduciário, não vemos possibilidade de distorções na partilha. AF, poderia confirmar se vale a pena incluir um procedimento específico aqui em caso de distorções?</w:t>
      </w:r>
      <w:r>
        <w:rPr>
          <w:rFonts w:ascii="Arial" w:hAnsi="Arial" w:cs="Arial"/>
          <w:bCs/>
          <w:iCs/>
          <w:sz w:val="22"/>
          <w:szCs w:val="22"/>
          <w:lang w:val="pt-BR"/>
        </w:rPr>
        <w:t>]</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Debêntures, sem guardar ordem de preferência entre os Debenturistas. Entretanto, os Debenturistas envidarão seus melhores esforços para buscar uma solução em conjunto.</w:t>
      </w:r>
    </w:p>
    <w:p>
      <w:pPr>
        <w:spacing w:line="320" w:lineRule="exact"/>
        <w:jc w:val="both"/>
        <w:rPr>
          <w:rFonts w:ascii="Arial" w:hAnsi="Arial" w:cs="Arial"/>
          <w:bCs/>
          <w:iCs/>
          <w:sz w:val="22"/>
          <w:szCs w:val="22"/>
          <w:lang w:val="pt-BR"/>
        </w:rPr>
      </w:pPr>
      <w:r>
        <w:rPr>
          <w:rFonts w:ascii="Arial" w:hAnsi="Arial" w:cs="Arial"/>
          <w:bCs/>
          <w:iCs/>
          <w:sz w:val="22"/>
          <w:szCs w:val="22"/>
          <w:lang w:val="pt-BR"/>
        </w:rPr>
        <w:tab/>
      </w:r>
    </w:p>
    <w:p>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Todas as medidas judiciais relacionadas ao cumprimento e/ou ressarcimento das obrigações garantidas eventualmente propostas contra a Cedente Fiduciante, em razão das Debêntures e das Escrituras de Emissão, deverão ser ajuizadas com a cobrança do 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judiciárias de ações propostas. As eventuais despesas, depósitos e custas judiciais decorrentes da sucumbência em ações judiciais serão igualmente suportadas pelos Debenturistas.</w:t>
      </w:r>
    </w:p>
    <w:p>
      <w:pPr>
        <w:spacing w:line="320" w:lineRule="exact"/>
        <w:jc w:val="both"/>
        <w:rPr>
          <w:rFonts w:ascii="Arial" w:hAnsi="Arial" w:cs="Arial"/>
          <w:bCs/>
          <w:iCs/>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pPr>
        <w:spacing w:line="320" w:lineRule="exact"/>
        <w:rPr>
          <w:rFonts w:ascii="Arial" w:hAnsi="Arial" w:cs="Arial"/>
          <w:sz w:val="22"/>
          <w:szCs w:val="22"/>
          <w:lang w:val="pt-BR"/>
        </w:rPr>
      </w:pPr>
    </w:p>
    <w:p>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pPr>
        <w:pStyle w:val="Ttulo1"/>
        <w:spacing w:line="320" w:lineRule="exact"/>
        <w:rPr>
          <w:rFonts w:ascii="Arial" w:hAnsi="Arial" w:cs="Arial"/>
          <w:b w:val="0"/>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pPr>
        <w:pStyle w:val="Ttulo1"/>
        <w:spacing w:line="320" w:lineRule="exact"/>
        <w:jc w:val="both"/>
        <w:rPr>
          <w:rFonts w:ascii="Arial" w:hAnsi="Arial" w:cs="Arial"/>
          <w:b w:val="0"/>
          <w:i w:val="0"/>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pPr>
        <w:pStyle w:val="PargrafodaLista"/>
        <w:spacing w:line="320" w:lineRule="exact"/>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16" w:name="_DV_M291"/>
      <w:bookmarkStart w:id="17" w:name="_DV_M294"/>
      <w:bookmarkStart w:id="18" w:name="_DV_M301"/>
      <w:bookmarkStart w:id="19" w:name="_DV_M315"/>
      <w:bookmarkStart w:id="20" w:name="_DV_M316"/>
      <w:bookmarkEnd w:id="16"/>
      <w:bookmarkEnd w:id="17"/>
      <w:bookmarkEnd w:id="18"/>
      <w:bookmarkEnd w:id="19"/>
      <w:bookmarkEnd w:id="20"/>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informar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IVN os extratos de movimentação da Conta Vinculada, em até 1 (um) Dia Útil a contar da solicitação pelas referidas Partes;</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IVN movimente ou encerre a Conta Vinculada ou altere qualquer dos seus dados; </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promover as retenções na Conta Vinculada e transferências dos recursos ali mantidos, de acordo com o previsto na Cláusula 5 deste Contrato; e </w:t>
      </w:r>
    </w:p>
    <w:p>
      <w:pPr>
        <w:tabs>
          <w:tab w:val="num" w:pos="709"/>
        </w:tabs>
        <w:autoSpaceDE w:val="0"/>
        <w:autoSpaceDN w:val="0"/>
        <w:adjustRightInd w:val="0"/>
        <w:spacing w:line="320" w:lineRule="exact"/>
        <w:ind w:left="709" w:hanging="425"/>
        <w:rPr>
          <w:rFonts w:ascii="Arial" w:hAnsi="Arial" w:cs="Arial"/>
          <w:sz w:val="22"/>
          <w:szCs w:val="22"/>
          <w:lang w:val="pt-BR"/>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celebrar ou fazer com que sejam celebrados os instrumentos que venham a ser solicitados pelo Agente Fiduciário para possibilitar o aperfeiçoamento, bem como a </w:t>
      </w:r>
      <w:r>
        <w:rPr>
          <w:rFonts w:ascii="Arial" w:hAnsi="Arial" w:cs="Arial"/>
          <w:sz w:val="22"/>
          <w:szCs w:val="22"/>
          <w:lang w:val="pt-BR"/>
        </w:rPr>
        <w:lastRenderedPageBreak/>
        <w:t>proteção da Cessão Fiduciária prevista neste Contrato ou para permitir sua execução, assegurar a legalidade, validade, exequibilidade e força probatória do presente Contrato.</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IVN, exceto quando expressamente previstas neste Contrato.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IVN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pPr>
        <w:pStyle w:val="Ttulo1"/>
        <w:tabs>
          <w:tab w:val="left" w:pos="826"/>
        </w:tabs>
        <w:spacing w:line="320" w:lineRule="exact"/>
        <w:ind w:right="51"/>
        <w:rPr>
          <w:rFonts w:ascii="Arial" w:hAnsi="Arial" w:cs="Arial"/>
          <w:b w:val="0"/>
          <w:i w:val="0"/>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se os valores depositados na Conta Vinculada forem bloqueados por ordem administrativa ou judicial, emitida por autoridade à qual o Banco Administrador esteja sujeito; ou</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caso, por força de decisão judicial ou de órgão regulatório, tome ou deixe de tomar qualquer medida que de outro modo seria vedada ou exigível, respectivamente.</w:t>
      </w:r>
    </w:p>
    <w:p>
      <w:pPr>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pPr>
        <w:pStyle w:val="Ttulo1"/>
        <w:spacing w:line="320" w:lineRule="exact"/>
        <w:ind w:right="51"/>
        <w:rPr>
          <w:rFonts w:ascii="Arial" w:hAnsi="Arial" w:cs="Arial"/>
          <w:b w:val="0"/>
          <w:i w:val="0"/>
          <w:sz w:val="22"/>
          <w:szCs w:val="22"/>
          <w:lang w:val="pt-BR"/>
        </w:rPr>
      </w:pPr>
    </w:p>
    <w:p>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21" w:name="Texto100"/>
      <w:bookmarkEnd w:id="21"/>
      <w:r>
        <w:rPr>
          <w:rFonts w:ascii="Arial" w:hAnsi="Arial" w:cs="Arial"/>
          <w:i w:val="0"/>
          <w:sz w:val="22"/>
          <w:szCs w:val="22"/>
          <w:lang w:val="pt-BR"/>
        </w:rPr>
        <w:t>OBRIGAÇÕES DAS PARTES</w:t>
      </w:r>
    </w:p>
    <w:p>
      <w:pPr>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Fiduciante e a Emissora, conforme o caso, obrigam-se a, até o fiel cumprimento de todas as obrigações indicadas nas Escrituras de Emissão: </w:t>
      </w:r>
    </w:p>
    <w:p>
      <w:pPr>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Fiduciante ou da Emissora, conforme aplicável, fornecendo ao Agente Fiduciário as informações acerca do ato, ação, procedimento ou processo em questão solicitadas pelo Agente Fiduciário;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salvo com expressa autorização dos Debenturistas, representados pelo Agente Fiduciário, conforme deliberação, não alterar a instrução enviada para o Grupo Heineken, nos termos da Cláusula 2.8. acima;</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todas as autorizações e licenças necessárias: (a) à assinatura deste Contrato, das Escrituras de Emissão e dos demais documentos relacionados às Debêntures; e (b) ao cumprimento de todas as obrigações previstas neste Contrato, nas Escrituras de Emissão e nos demais documentos relacionados às Debêntures, de forma a mantê-las sempre existentes, lícitas, válidas, eficazes, exequíveis, em perfeita ordem e em pleno vigor;</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reembolsar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w:t>
      </w:r>
      <w:r>
        <w:rPr>
          <w:rFonts w:ascii="Arial" w:hAnsi="Arial" w:cs="Arial"/>
          <w:sz w:val="22"/>
          <w:szCs w:val="22"/>
          <w:lang w:val="pt-BR"/>
        </w:rPr>
        <w:lastRenderedPageBreak/>
        <w:t>prejuízo de descumprimento de obrigação não pecuniária pela IVN ou pela Emissora;</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assegurar e defender os direitos reais de garantia constituídos nos termos deste Contrato e eventuais aditamentos contra quaisquer ações e reivindicações de quaisquer terceiros;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Fiduciante e em relação aos quais a Cedente Fiduciante tenha constituído provisões adequadas (caso tal medida seja exigida de acordo com as regras e princípios contábeis aplicáveis à matéria), bem como comprovar ao Agente Fiduciário a realização de tal pagamento;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efetuar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não alterar, terminar, rescindir ou dar causa à rescisão deste Contrato, das Escrituras de Emissão ou dos demais documentos relacionados às Debêntures;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Cláusula que estiverem com a Cedente Fiduciante, ou com quem a assessore ou represente deverão ser fornecidos de imediato, mas em nenhuma hipótese em prazo superior a 2 (dois) Dias Úteis,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 sem prejuízo da obrigação constante da Cláusula 10.2. abaixo;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tomar todas as medidas judiciais e extrajudiciais necessárias para a cobrança dos Direitos Creditórios, caso necessário;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em dia o cumprimento de todas as suas respectivas obrigações previstas nas Escrituras de Emissão e não praticar, sem a prévia e expressa anuência do Agente Fiduciário, na qualidade de representante dos Debenturistas, qualquer ato que resulte na renúncia ou modificação de direitos da Emissora ou da Cedente Fiduciante;</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mencionar nas demonstrações financeiras, em estrita observância às normas contábeis em vigência a eles aplicáveis, a cessão fiduciária prevista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pPr>
        <w:suppressAutoHyphens w:val="0"/>
        <w:spacing w:line="320" w:lineRule="exact"/>
        <w:jc w:val="both"/>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pPr>
        <w:pStyle w:val="PargrafodaLista"/>
        <w:spacing w:line="320" w:lineRule="exact"/>
        <w:ind w:left="0"/>
        <w:rPr>
          <w:rFonts w:ascii="Arial" w:hAnsi="Arial" w:cs="Arial"/>
          <w:sz w:val="22"/>
          <w:szCs w:val="22"/>
        </w:rPr>
      </w:pPr>
    </w:p>
    <w:p>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as despesas incorridas decorrentes deste Contrato, incluindo, mas não se limitando, a manutenção da Conta Vinculada, bem como aquelas relativas ao registro deste Contrato, ficarão por conta da Cedente Fiduciante, incluindo a remuneração a que o Banco Administrador, na condição de banco administrador, fará jus pela prestação dos serviços objeto deste Contrato.</w:t>
      </w:r>
    </w:p>
    <w:p>
      <w:pPr>
        <w:pStyle w:val="PargrafodaLista"/>
        <w:spacing w:line="320" w:lineRule="exact"/>
        <w:ind w:left="0"/>
        <w:rPr>
          <w:rFonts w:ascii="Arial" w:hAnsi="Arial" w:cs="Arial"/>
          <w:sz w:val="22"/>
          <w:szCs w:val="22"/>
          <w:highlight w:val="yellow"/>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A Cedente Fiduciante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pPr>
        <w:spacing w:line="320" w:lineRule="exact"/>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somente tomar qualquer medida ou praticar qualquer ato com relação à Conta Vinculada ou aos recursos nela depositados em conformidade com o disposto neste Contrato e de acordo com as instruções dos Debenturistas, conforme aplicável;</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pPr>
        <w:suppressAutoHyphens w:val="0"/>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pPr>
        <w:suppressAutoHyphens w:val="0"/>
        <w:spacing w:line="320" w:lineRule="exact"/>
        <w:jc w:val="both"/>
        <w:rPr>
          <w:rFonts w:ascii="Arial" w:hAnsi="Arial" w:cs="Arial"/>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pPr>
        <w:pStyle w:val="Recuodecorpodetexto"/>
        <w:tabs>
          <w:tab w:val="left" w:pos="284"/>
        </w:tabs>
        <w:spacing w:after="0" w:line="320" w:lineRule="exact"/>
        <w:ind w:left="0"/>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2" w:name="_DV_M60"/>
      <w:bookmarkEnd w:id="22"/>
      <w:r>
        <w:rPr>
          <w:rFonts w:ascii="Arial" w:hAnsi="Arial" w:cs="Arial"/>
          <w:sz w:val="22"/>
          <w:szCs w:val="22"/>
          <w:lang w:val="pt-BR"/>
        </w:rPr>
        <w:lastRenderedPageBreak/>
        <w:t>são sociedades devidamente organizadas e validamente existentes de acordo com as leis do Brasil, possuindo plena capacidade jurídica para celebrar este Contrato e cumprir as obrigações ora assumidas;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tem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celebração deste Contrato, das Escrituras de Emissão e o cumprimento das obrigações aqui previstas não infringem qualquer obrigação anteriormente assumida pela IVN ou pela Emissora e nem o seu contrato social ou estatuto social, conforme o caso;</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das Escrituras de Emissão têm poderes bastantes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3" w:name="_DV_M61"/>
      <w:bookmarkEnd w:id="23"/>
      <w:r>
        <w:rPr>
          <w:rFonts w:ascii="Arial" w:hAnsi="Arial" w:cs="Arial"/>
          <w:sz w:val="22"/>
          <w:szCs w:val="22"/>
          <w:lang w:val="pt-BR"/>
        </w:rPr>
        <w:t>na data de constituição desta garantia, a Cedente Fiduciante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w:t>
      </w:r>
      <w:r>
        <w:rPr>
          <w:rFonts w:ascii="Arial" w:eastAsia="Arial Unicode MS" w:hAnsi="Arial" w:cs="Arial"/>
          <w:sz w:val="22"/>
          <w:szCs w:val="22"/>
          <w:lang w:val="pt-BR"/>
        </w:rPr>
        <w:lastRenderedPageBreak/>
        <w:t xml:space="preserve">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este</w:t>
      </w:r>
      <w:r>
        <w:rPr>
          <w:rFonts w:ascii="Arial" w:eastAsia="Arial Unicode MS" w:hAnsi="Arial" w:cs="Arial"/>
          <w:sz w:val="22"/>
          <w:szCs w:val="22"/>
          <w:lang w:val="pt-BR"/>
        </w:rPr>
        <w:t xml:space="preserve"> Contrato, as Escrituras de Emissão e as Debêntures constituem obrigações legais, válidas, lícitas, vinculantes e eficazes da Cedente Fiduciante e da Emissora, exequíveis de acordo com seus respectivos termos e condições;</w:t>
      </w:r>
      <w:bookmarkStart w:id="24" w:name="_DV_M133"/>
      <w:bookmarkEnd w:id="24"/>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25" w:name="_DV_M62"/>
      <w:bookmarkEnd w:id="25"/>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Cedente Fiduciante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w:t>
      </w:r>
      <w:r>
        <w:rPr>
          <w:rFonts w:ascii="Arial" w:eastAsia="Arial Unicode MS" w:hAnsi="Arial" w:cs="Arial"/>
          <w:sz w:val="22"/>
          <w:szCs w:val="22"/>
          <w:lang w:val="pt-BR"/>
        </w:rPr>
        <w:lastRenderedPageBreak/>
        <w:t>ou da Emissora, exceto por aqueles já existentes nesta data; ou (c) rescisão de qualquer desses contratos ou instrumentos;</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alvará, ordem de, ou qualificação perante qualquer autoridade governamental ou órgão regulatório, é exigido para o cumprimento, pela Cedente Fiduciante ou pela Emissora, de suas obrigações nos termos deste Contrato;</w:t>
      </w:r>
      <w:bookmarkStart w:id="26" w:name="_DV_M134"/>
      <w:bookmarkEnd w:id="26"/>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27" w:name="_DV_M136"/>
      <w:bookmarkEnd w:id="27"/>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8" w:name="_DV_M63"/>
      <w:bookmarkEnd w:id="28"/>
      <w:r>
        <w:rPr>
          <w:rFonts w:ascii="Arial" w:hAnsi="Arial" w:cs="Arial"/>
          <w:sz w:val="22"/>
          <w:szCs w:val="22"/>
          <w:lang w:val="pt-BR"/>
        </w:rPr>
        <w:t>a celebração e o cumprimento deste Contrato e eventuais aditamentos pela Cedente Fiduciante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9" w:name="_DV_M64"/>
      <w:bookmarkEnd w:id="29"/>
      <w:r>
        <w:rPr>
          <w:rFonts w:ascii="Arial" w:hAnsi="Arial" w:cs="Arial"/>
          <w:sz w:val="22"/>
          <w:szCs w:val="22"/>
          <w:lang w:val="pt-BR"/>
        </w:rPr>
        <w:t>não tem qualquer informação ou conhecimento de qualquer fato que, na presente data, implique em uma provável redução significativa do fluxo dos Direitos Creditórios;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 xml:space="preserve">as demonstrações financeiras da Cedente Fiduciante, datadas de 31 de dezembro de 2016, 2017 e 2018 representam corretamente a posição patrimonial e financeira da Cedente Fiduciante nas datas respectivas e foram </w:t>
      </w:r>
      <w:r>
        <w:rPr>
          <w:rFonts w:ascii="Arial" w:hAnsi="Arial" w:cs="Arial"/>
          <w:sz w:val="22"/>
          <w:szCs w:val="22"/>
          <w:lang w:val="pt-BR"/>
        </w:rPr>
        <w:lastRenderedPageBreak/>
        <w:t>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Fiduciante, fora do curso normal de seus negócios, que seja relevante para a Cedente Fiduciante;</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cumprirão todas as obrigações principais e acessórias assumidas nos termos deste Contrato e das Escrituras de Emissão, incluindo, mas não se limitando, à obrigação de destinar os recursos obtidos com as Emissões aos fins previstos nas Escrituras de Emissão;</w:t>
      </w:r>
    </w:p>
    <w:p>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w:t>
      </w:r>
      <w:r>
        <w:rPr>
          <w:rFonts w:ascii="Arial" w:eastAsia="Arial Unicode MS" w:hAnsi="Arial" w:cs="Arial"/>
          <w:sz w:val="22"/>
          <w:szCs w:val="22"/>
          <w:lang w:val="pt-BR"/>
        </w:rPr>
        <w:lastRenderedPageBreak/>
        <w:t>provimento jurisdicional vigente autorizando sua atuação sem as referidas licenças;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nas Escrituras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das Debêntures, das Escrituras de Emissão e/ou dos demais documentos relacionados às Debêntures;</w:t>
      </w:r>
    </w:p>
    <w:p>
      <w:pPr>
        <w:pStyle w:val="PargrafodaLista"/>
        <w:tabs>
          <w:tab w:val="left" w:pos="1134"/>
        </w:tabs>
        <w:spacing w:line="320" w:lineRule="exact"/>
        <w:ind w:left="851" w:hanging="502"/>
        <w:rPr>
          <w:rFonts w:ascii="Arial" w:eastAsia="Arial Unicode MS"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30" w:name="_DV_M130"/>
      <w:bookmarkEnd w:id="30"/>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pPr>
        <w:pStyle w:val="PargrafodaLista"/>
        <w:tabs>
          <w:tab w:val="num" w:pos="0"/>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w:t>
      </w:r>
      <w:r>
        <w:rPr>
          <w:rFonts w:ascii="Arial" w:eastAsia="Arial Unicode MS" w:hAnsi="Arial" w:cs="Arial"/>
          <w:sz w:val="22"/>
          <w:szCs w:val="22"/>
          <w:lang w:val="pt-BR"/>
        </w:rPr>
        <w:lastRenderedPageBreak/>
        <w:t>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conhecem e concordam com todos os termos e condições das Escrituras de Emissão, e reiteram, de forma integral e sem ressalvas, todas as declarações e garantias prestadas nas Escrituras de Emissão.</w:t>
      </w:r>
    </w:p>
    <w:p>
      <w:pPr>
        <w:pStyle w:val="Recuodecorpodetexto"/>
        <w:tabs>
          <w:tab w:val="left" w:pos="1276"/>
        </w:tabs>
        <w:spacing w:after="0" w:line="320" w:lineRule="exact"/>
        <w:ind w:left="0"/>
        <w:rPr>
          <w:rFonts w:ascii="Arial" w:hAnsi="Arial" w:cs="Arial"/>
          <w:sz w:val="22"/>
          <w:szCs w:val="22"/>
          <w:lang w:val="pt-BR"/>
        </w:rPr>
      </w:pPr>
    </w:p>
    <w:p>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pPr>
        <w:suppressAutoHyphens w:val="0"/>
        <w:spacing w:line="320" w:lineRule="exact"/>
        <w:jc w:val="both"/>
        <w:rPr>
          <w:rFonts w:ascii="Arial" w:hAnsi="Arial" w:cs="Arial"/>
          <w:bCs/>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pPr>
        <w:spacing w:line="320" w:lineRule="exact"/>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é instituição financeira devidamente organizada, constituída e existente de acordo com as leis da República Federativa do Brasil;</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lastRenderedPageBreak/>
        <w:t>o representante legal que assina este Contrato tem poderes estatutários e/ou delegados para assumir, em seu nome, as obrigações ora estabelecidas e, sendo mandatário, teve os poderes legitimamente outorgados, estando o respectivo mandato em pleno vigor;</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pPr>
        <w:pStyle w:val="Corpodetexto"/>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pPr>
        <w:suppressAutoHyphens w:val="0"/>
        <w:spacing w:line="320" w:lineRule="exact"/>
        <w:jc w:val="both"/>
        <w:rPr>
          <w:rFonts w:ascii="Arial" w:hAnsi="Arial" w:cs="Arial"/>
          <w:bCs/>
          <w:sz w:val="22"/>
          <w:szCs w:val="22"/>
          <w:lang w:val="pt-BR"/>
        </w:rPr>
      </w:pPr>
    </w:p>
    <w:p>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pPr>
        <w:pStyle w:val="NormalNormalDOT"/>
        <w:keepNext/>
        <w:tabs>
          <w:tab w:val="left" w:pos="709"/>
        </w:tabs>
        <w:spacing w:line="320" w:lineRule="exact"/>
        <w:jc w:val="both"/>
        <w:rPr>
          <w:rFonts w:ascii="Arial" w:hAnsi="Arial" w:cs="Arial"/>
          <w:sz w:val="22"/>
          <w:szCs w:val="22"/>
        </w:rPr>
      </w:pPr>
    </w:p>
    <w:p>
      <w:pPr>
        <w:pStyle w:val="Ttulo1"/>
        <w:numPr>
          <w:ilvl w:val="1"/>
          <w:numId w:val="27"/>
        </w:numPr>
        <w:suppressAutoHyphens w:val="0"/>
        <w:spacing w:line="320" w:lineRule="exact"/>
        <w:jc w:val="both"/>
        <w:rPr>
          <w:rFonts w:ascii="Arial" w:hAnsi="Arial" w:cs="Arial"/>
          <w:b w:val="0"/>
          <w:i w:val="0"/>
          <w:sz w:val="22"/>
          <w:szCs w:val="22"/>
          <w:lang w:val="pt-BR"/>
        </w:rPr>
      </w:pPr>
      <w:bookmarkStart w:id="31" w:name="_DV_M109"/>
      <w:bookmarkEnd w:id="31"/>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pPr>
        <w:rPr>
          <w:rFonts w:ascii="Arial" w:hAnsi="Arial" w:cs="Arial"/>
          <w:sz w:val="22"/>
          <w:szCs w:val="22"/>
          <w:lang w:val="pt-BR"/>
        </w:rPr>
      </w:pPr>
    </w:p>
    <w:p>
      <w:pPr>
        <w:spacing w:line="320" w:lineRule="exact"/>
        <w:jc w:val="both"/>
        <w:rPr>
          <w:rFonts w:ascii="Arial" w:hAnsi="Arial" w:cs="Arial"/>
          <w:sz w:val="22"/>
          <w:szCs w:val="22"/>
          <w:lang w:val="pt-BR"/>
        </w:rPr>
      </w:pPr>
      <w:bookmarkStart w:id="32" w:name="_DV_M110"/>
      <w:bookmarkEnd w:id="32"/>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 [</w:t>
      </w:r>
      <w:r>
        <w:rPr>
          <w:rFonts w:ascii="Arial" w:hAnsi="Arial" w:cs="Arial"/>
          <w:sz w:val="22"/>
          <w:szCs w:val="22"/>
          <w:highlight w:val="yellow"/>
          <w:lang w:val="pt-BR"/>
        </w:rPr>
        <w:t>Nota PNA: BB, confirmar</w:t>
      </w:r>
      <w:r>
        <w:rPr>
          <w:rFonts w:ascii="Arial" w:hAnsi="Arial" w:cs="Arial"/>
          <w:sz w:val="22"/>
          <w:szCs w:val="22"/>
          <w:lang w:val="pt-BR"/>
        </w:rPr>
        <w:t>.]</w:t>
      </w:r>
    </w:p>
    <w:p>
      <w:pPr>
        <w:spacing w:line="320" w:lineRule="exact"/>
        <w:jc w:val="both"/>
        <w:rPr>
          <w:rFonts w:ascii="Arial" w:hAnsi="Arial" w:cs="Arial"/>
          <w:sz w:val="22"/>
          <w:szCs w:val="22"/>
          <w:lang w:val="pt-BR"/>
        </w:rPr>
      </w:pPr>
      <w:bookmarkStart w:id="33" w:name="_DV_M111"/>
      <w:bookmarkEnd w:id="33"/>
    </w:p>
    <w:p>
      <w:pPr>
        <w:spacing w:line="320" w:lineRule="exact"/>
        <w:jc w:val="both"/>
        <w:rPr>
          <w:rFonts w:ascii="Arial" w:hAnsi="Arial" w:cs="Arial"/>
          <w:b/>
          <w:sz w:val="22"/>
          <w:szCs w:val="22"/>
          <w:lang w:val="pt-BR"/>
        </w:rPr>
      </w:pPr>
      <w:r>
        <w:rPr>
          <w:rFonts w:ascii="Arial" w:hAnsi="Arial" w:cs="Arial"/>
          <w:b/>
          <w:sz w:val="22"/>
          <w:szCs w:val="22"/>
          <w:lang w:val="pt-BR"/>
        </w:rPr>
        <w:t>Banco do Brasil S.A.</w:t>
      </w:r>
    </w:p>
    <w:p>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8"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pPr>
        <w:pStyle w:val="p0"/>
        <w:suppressAutoHyphens/>
        <w:spacing w:line="320" w:lineRule="exact"/>
        <w:rPr>
          <w:rFonts w:ascii="Arial" w:hAnsi="Arial" w:cs="Arial"/>
          <w:szCs w:val="22"/>
        </w:rPr>
      </w:pPr>
      <w:r>
        <w:rPr>
          <w:rFonts w:ascii="Arial" w:hAnsi="Arial" w:cs="Arial"/>
          <w:bCs/>
          <w:szCs w:val="22"/>
        </w:rPr>
        <w:lastRenderedPageBreak/>
        <w:t>E-mail:</w:t>
      </w:r>
      <w:r>
        <w:rPr>
          <w:rFonts w:ascii="Arial" w:hAnsi="Arial" w:cs="Arial"/>
          <w:szCs w:val="22"/>
        </w:rPr>
        <w:t xml:space="preserve"> </w:t>
      </w:r>
      <w:r>
        <w:rPr>
          <w:rFonts w:ascii="Arial" w:hAnsi="Arial" w:cs="Arial"/>
          <w:bCs/>
          <w:szCs w:val="22"/>
          <w:highlight w:val="yellow"/>
        </w:rPr>
        <w:t>[</w:t>
      </w:r>
      <w:hyperlink r:id="rId9"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34" w:name="_DV_M117"/>
      <w:bookmarkEnd w:id="34"/>
    </w:p>
    <w:p>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pPr>
        <w:spacing w:line="320" w:lineRule="exact"/>
        <w:jc w:val="both"/>
        <w:rPr>
          <w:rFonts w:ascii="Arial" w:hAnsi="Arial" w:cs="Arial"/>
          <w:sz w:val="22"/>
          <w:szCs w:val="22"/>
          <w:lang w:val="pt-BR"/>
        </w:rPr>
      </w:pPr>
    </w:p>
    <w:p>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pPr>
        <w:pStyle w:val="p0"/>
        <w:suppressAutoHyphens/>
        <w:spacing w:line="320" w:lineRule="exact"/>
        <w:rPr>
          <w:rFonts w:ascii="Arial" w:hAnsi="Arial" w:cs="Arial"/>
          <w:szCs w:val="22"/>
        </w:rPr>
      </w:pPr>
      <w:bookmarkStart w:id="35" w:name="_DV_M129"/>
      <w:bookmarkEnd w:id="35"/>
      <w:r>
        <w:rPr>
          <w:rFonts w:ascii="Arial" w:hAnsi="Arial" w:cs="Arial"/>
          <w:szCs w:val="22"/>
        </w:rPr>
        <w:t xml:space="preserve">Rua Joaquim Floriano, nº 466, Bloco B, Sala 1.401 </w:t>
      </w:r>
    </w:p>
    <w:p>
      <w:pPr>
        <w:pStyle w:val="p0"/>
        <w:suppressAutoHyphens/>
        <w:spacing w:line="320" w:lineRule="exact"/>
        <w:rPr>
          <w:rFonts w:ascii="Arial" w:hAnsi="Arial" w:cs="Arial"/>
          <w:szCs w:val="22"/>
        </w:rPr>
      </w:pPr>
      <w:r>
        <w:rPr>
          <w:rFonts w:ascii="Arial" w:hAnsi="Arial" w:cs="Arial"/>
          <w:szCs w:val="22"/>
        </w:rPr>
        <w:t>CEP 04534-002</w:t>
      </w:r>
    </w:p>
    <w:p>
      <w:pPr>
        <w:pStyle w:val="p0"/>
        <w:suppressAutoHyphens/>
        <w:spacing w:line="320" w:lineRule="exact"/>
        <w:rPr>
          <w:rFonts w:ascii="Arial" w:hAnsi="Arial" w:cs="Arial"/>
          <w:szCs w:val="22"/>
        </w:rPr>
      </w:pPr>
      <w:r>
        <w:rPr>
          <w:rFonts w:ascii="Arial" w:hAnsi="Arial" w:cs="Arial"/>
          <w:szCs w:val="22"/>
        </w:rPr>
        <w:t>São Paulo, SP</w:t>
      </w:r>
    </w:p>
    <w:p>
      <w:pPr>
        <w:pStyle w:val="p0"/>
        <w:suppressAutoHyphens/>
        <w:spacing w:line="32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20" w:lineRule="exact"/>
        <w:rPr>
          <w:rFonts w:ascii="Arial" w:hAnsi="Arial" w:cs="Arial"/>
          <w:szCs w:val="22"/>
        </w:rPr>
      </w:pPr>
      <w:r>
        <w:rPr>
          <w:rFonts w:ascii="Arial" w:hAnsi="Arial" w:cs="Arial"/>
          <w:szCs w:val="22"/>
        </w:rPr>
        <w:t xml:space="preserve">E-mail: </w:t>
      </w:r>
      <w:r>
        <w:rPr>
          <w:rFonts w:ascii="Arial" w:eastAsia="Arial Unicode MS" w:hAnsi="Arial" w:cs="Arial"/>
          <w:szCs w:val="22"/>
        </w:rPr>
        <w:t xml:space="preserve">spestruturacao@simplificpavarini.com.br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pPr>
        <w:spacing w:line="320" w:lineRule="exact"/>
        <w:jc w:val="both"/>
        <w:rPr>
          <w:rFonts w:ascii="Arial" w:hAnsi="Arial" w:cs="Arial"/>
          <w:color w:val="000000"/>
          <w:sz w:val="22"/>
          <w:szCs w:val="22"/>
          <w:lang w:val="pt-BR"/>
        </w:rPr>
      </w:pPr>
    </w:p>
    <w:p>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w:t>
      </w:r>
      <w:r>
        <w:rPr>
          <w:rFonts w:ascii="Arial" w:hAnsi="Arial" w:cs="Arial"/>
          <w:sz w:val="22"/>
          <w:szCs w:val="22"/>
          <w:lang w:val="pt-BR"/>
        </w:rPr>
        <w:t>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lang w:val="pt-BR"/>
        </w:rPr>
        <w:t>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lang w:val="pt-BR"/>
        </w:rPr>
        <w:t>edson.rossi@vidroporto.com.br</w:t>
      </w:r>
    </w:p>
    <w:p>
      <w:pPr>
        <w:spacing w:line="320" w:lineRule="exact"/>
        <w:jc w:val="both"/>
        <w:rPr>
          <w:rFonts w:ascii="Arial" w:hAnsi="Arial" w:cs="Arial"/>
          <w:sz w:val="22"/>
          <w:szCs w:val="22"/>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VIDROPORTO S.A.</w:t>
      </w:r>
    </w:p>
    <w:p>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pPr>
        <w:spacing w:line="320" w:lineRule="exact"/>
        <w:jc w:val="both"/>
        <w:rPr>
          <w:rFonts w:ascii="Arial" w:hAnsi="Arial" w:cs="Arial"/>
          <w:sz w:val="22"/>
          <w:szCs w:val="22"/>
          <w:lang w:val="pt-BR"/>
        </w:rPr>
      </w:pPr>
      <w:r>
        <w:rPr>
          <w:rFonts w:ascii="Arial" w:hAnsi="Arial" w:cs="Arial"/>
          <w:sz w:val="22"/>
          <w:szCs w:val="22"/>
          <w:lang w:val="pt-BR"/>
        </w:rPr>
        <w:t>Porto Ferreira, SP</w:t>
      </w:r>
    </w:p>
    <w:p>
      <w:pPr>
        <w:spacing w:line="320" w:lineRule="exact"/>
        <w:jc w:val="both"/>
        <w:rPr>
          <w:rFonts w:ascii="Arial" w:hAnsi="Arial" w:cs="Arial"/>
          <w:sz w:val="22"/>
          <w:szCs w:val="22"/>
          <w:lang w:val="pt-BR"/>
        </w:rPr>
      </w:pPr>
      <w:r>
        <w:rPr>
          <w:rFonts w:ascii="Arial" w:hAnsi="Arial" w:cs="Arial"/>
          <w:sz w:val="22"/>
          <w:szCs w:val="22"/>
          <w:lang w:val="pt-BR"/>
        </w:rPr>
        <w:t>At.: Sr. Edson Luís Rossi</w:t>
      </w:r>
    </w:p>
    <w:p>
      <w:pPr>
        <w:spacing w:line="320" w:lineRule="exact"/>
        <w:jc w:val="both"/>
        <w:rPr>
          <w:rFonts w:ascii="Arial" w:hAnsi="Arial" w:cs="Arial"/>
          <w:sz w:val="22"/>
          <w:szCs w:val="22"/>
          <w:lang w:val="pt-BR"/>
        </w:rPr>
      </w:pPr>
      <w:r>
        <w:rPr>
          <w:rFonts w:ascii="Arial" w:hAnsi="Arial" w:cs="Arial"/>
          <w:sz w:val="22"/>
          <w:szCs w:val="22"/>
          <w:lang w:val="pt-BR"/>
        </w:rPr>
        <w:t>Telefone: (19) 3589-3199</w:t>
      </w:r>
    </w:p>
    <w:p>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pPr>
        <w:pStyle w:val="NormalNormalDOT"/>
        <w:tabs>
          <w:tab w:val="left" w:pos="709"/>
        </w:tabs>
        <w:spacing w:line="320" w:lineRule="exact"/>
        <w:rPr>
          <w:rFonts w:ascii="Arial" w:hAnsi="Arial" w:cs="Arial"/>
          <w:b/>
          <w:caps/>
          <w:sz w:val="22"/>
          <w:szCs w:val="22"/>
        </w:rPr>
      </w:pPr>
    </w:p>
    <w:p>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pPr>
        <w:pStyle w:val="NormalNormalDOT"/>
        <w:tabs>
          <w:tab w:val="left" w:pos="709"/>
        </w:tabs>
        <w:spacing w:line="320" w:lineRule="exact"/>
        <w:jc w:val="both"/>
        <w:rPr>
          <w:rFonts w:ascii="Arial" w:hAnsi="Arial" w:cs="Arial"/>
          <w:b/>
          <w:sz w:val="22"/>
          <w:szCs w:val="22"/>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lastRenderedPageBreak/>
        <w:t>Exceto se de outra forma aqui disposto, os termos aqui utilizados em letras maiúsculas e não definidos de outra forma terão o significado a eles atribuídos nas Escrituras de Emissão, conforme o caso.</w:t>
      </w:r>
    </w:p>
    <w:p>
      <w:pPr>
        <w:pStyle w:val="Corpodetexto"/>
        <w:widowControl w:val="0"/>
        <w:tabs>
          <w:tab w:val="left" w:pos="-1440"/>
          <w:tab w:val="left" w:pos="709"/>
        </w:tabs>
        <w:spacing w:line="320" w:lineRule="exact"/>
        <w:rPr>
          <w:rFonts w:ascii="Arial" w:hAnsi="Arial" w:cs="Arial"/>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6" w:name="_DV_M161"/>
      <w:bookmarkEnd w:id="36"/>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7" w:name="_DV_M162"/>
      <w:bookmarkEnd w:id="37"/>
      <w:r>
        <w:rPr>
          <w:rFonts w:ascii="Arial" w:hAnsi="Arial" w:cs="Arial"/>
          <w:b w:val="0"/>
          <w:bCs w:val="0"/>
          <w:i w:val="0"/>
          <w:iCs w:val="0"/>
          <w:sz w:val="22"/>
          <w:szCs w:val="22"/>
          <w:lang w:val="pt-BR"/>
        </w:rPr>
        <w:t xml:space="preserve">A Garantia instituída pelo presente Contrato será adicional a, e sem prejuízo de quaisquer outras garantias ou direito real de garantia outorgado pela Cedente Fiduciante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w:t>
      </w:r>
      <w:r>
        <w:rPr>
          <w:rFonts w:ascii="Arial" w:hAnsi="Arial" w:cs="Arial"/>
          <w:b w:val="0"/>
          <w:bCs w:val="0"/>
          <w:i w:val="0"/>
          <w:iCs w:val="0"/>
          <w:sz w:val="22"/>
          <w:szCs w:val="22"/>
          <w:lang w:val="pt-BR"/>
        </w:rPr>
        <w:lastRenderedPageBreak/>
        <w:t>qualquer ordem, sem que com isso prejudique qualquer direito ou possibilidade de exercer tal direito, até a quitação integral das Obrigações Garantidas.</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8" w:name="_DV_M163"/>
      <w:bookmarkEnd w:id="38"/>
      <w:r>
        <w:rPr>
          <w:rFonts w:ascii="Arial" w:hAnsi="Arial" w:cs="Arial"/>
          <w:b w:val="0"/>
          <w:bCs w:val="0"/>
          <w:i w:val="0"/>
          <w:iCs w:val="0"/>
          <w:sz w:val="22"/>
          <w:szCs w:val="22"/>
          <w:lang w:val="pt-BR"/>
        </w:rPr>
        <w:lastRenderedPageBreak/>
        <w:t>O presente Contrato não constitui novação, tampouco modifica quaisquer obrigações da Cedente Fiduciante para com os Debenturistas, nos termos de quaisquer contratos entre eles celebrados, inclusive, sem limitação, as Escrituras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9" w:name="_DV_M164"/>
      <w:bookmarkEnd w:id="39"/>
      <w:r>
        <w:rPr>
          <w:rFonts w:ascii="Arial" w:hAnsi="Arial" w:cs="Arial"/>
          <w:b w:val="0"/>
          <w:bCs w:val="0"/>
          <w:i w:val="0"/>
          <w:iCs w:val="0"/>
          <w:sz w:val="22"/>
          <w:szCs w:val="22"/>
          <w:lang w:val="pt-BR"/>
        </w:rPr>
        <w:t>O exercício pelo Agente Fiduciário, na qualidade de representante dos Debenturistas, de quaisquer de seus direitos ou recursos previstos no presente Contrato não exonerará a Cedente Fiduciante de quaisquer de seus respectivos deveres ou obrigações nos termos das Escrituras de Emissão, tampouco nos demais documentos e instrumentos a eles relativos.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Fiduciante, desde que em consonância com os demais documentos relacionados às Escrituras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No caso de conflito entre as disposições constantes do presente Contrato e as constantes das Escrituras de Emissão, as disposições das Escrituras de Emissão deverão prevalecer. Fica desde já estabelecido que a existência de cláusulas e condições específicas neste Contrato, que porventura não estejam descritas nas Escrituras de Emissão deverão ser interpretadas como sendo complementares (e vice-versa).</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40" w:name="Texto203"/>
      <w:bookmarkStart w:id="41" w:name="Texto206"/>
      <w:bookmarkEnd w:id="40"/>
      <w:bookmarkEnd w:id="41"/>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2" w:name="Texto210"/>
      <w:bookmarkEnd w:id="42"/>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43" w:name="_DV_M157"/>
      <w:bookmarkEnd w:id="43"/>
      <w:r>
        <w:rPr>
          <w:rFonts w:ascii="Arial" w:hAnsi="Arial" w:cs="Arial"/>
          <w:b w:val="0"/>
          <w:bCs w:val="0"/>
          <w:i w:val="0"/>
          <w:iCs w:val="0"/>
          <w:sz w:val="22"/>
          <w:szCs w:val="22"/>
          <w:lang w:val="pt-BR"/>
        </w:rPr>
        <w:lastRenderedPageBreak/>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pPr>
        <w:rPr>
          <w:rFonts w:ascii="Arial" w:hAnsi="Arial" w:cs="Arial"/>
          <w:sz w:val="22"/>
          <w:szCs w:val="22"/>
          <w:lang w:val="pt-BR"/>
        </w:rPr>
      </w:pPr>
    </w:p>
    <w:p>
      <w:pPr>
        <w:rPr>
          <w:rFonts w:ascii="Arial" w:hAnsi="Arial" w:cs="Arial"/>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4" w:name="_DV_M158"/>
      <w:bookmarkEnd w:id="44"/>
      <w:r>
        <w:rPr>
          <w:rFonts w:ascii="Arial" w:hAnsi="Arial" w:cs="Arial"/>
          <w:b w:val="0"/>
          <w:bCs w:val="0"/>
          <w:i w:val="0"/>
          <w:iCs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eastAsia="pt-BR"/>
        </w:rPr>
      </w:pPr>
      <w:bookmarkStart w:id="45" w:name="Texto215"/>
      <w:bookmarkStart w:id="46" w:name="Texto260"/>
      <w:bookmarkStart w:id="47" w:name="Texto261"/>
      <w:bookmarkEnd w:id="45"/>
      <w:bookmarkEnd w:id="46"/>
      <w:bookmarkEnd w:id="47"/>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pPr>
        <w:spacing w:line="320" w:lineRule="exact"/>
        <w:jc w:val="both"/>
        <w:rPr>
          <w:rFonts w:ascii="Arial" w:hAnsi="Arial" w:cs="Arial"/>
          <w:sz w:val="22"/>
          <w:szCs w:val="22"/>
          <w:lang w:val="pt-BR" w:eastAsia="pt-BR"/>
        </w:rPr>
      </w:pPr>
    </w:p>
    <w:p>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Estância, SE, [</w:t>
      </w:r>
      <w:r>
        <w:rPr>
          <w:rFonts w:ascii="Arial" w:hAnsi="Arial" w:cs="Arial"/>
          <w:color w:val="000000"/>
          <w:sz w:val="22"/>
          <w:szCs w:val="22"/>
          <w:lang w:val="pt-BR"/>
        </w:rPr>
        <w:sym w:font="Symbol" w:char="F0B7"/>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de fevereiro de 2020.</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jc w:val="both"/>
        <w:rPr>
          <w:rFonts w:ascii="Arial" w:hAnsi="Arial" w:cs="Arial"/>
          <w:sz w:val="22"/>
          <w:szCs w:val="22"/>
          <w:lang w:val="pt-BR"/>
        </w:rPr>
        <w:sectPr>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2155" w:right="1185" w:bottom="1985" w:left="2098" w:header="680" w:footer="680" w:gutter="0"/>
          <w:pgNumType w:start="1"/>
          <w:cols w:space="720"/>
          <w:titlePg/>
          <w:docGrid w:linePitch="326"/>
        </w:sect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INDÚSTRIA VIDREIRA DO NORDESTE LTDA.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spacing w:line="320" w:lineRule="exact"/>
        <w:jc w:val="both"/>
        <w:rPr>
          <w:rFonts w:ascii="Arial" w:hAnsi="Arial" w:cs="Arial"/>
          <w:i/>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pPr>
        <w:tabs>
          <w:tab w:val="left" w:pos="2366"/>
        </w:tabs>
        <w:spacing w:line="320" w:lineRule="exact"/>
        <w:jc w:val="both"/>
        <w:rPr>
          <w:rFonts w:ascii="Arial" w:hAnsi="Arial" w:cs="Arial"/>
          <w:i/>
          <w:iCs/>
          <w:color w:val="000000"/>
          <w:w w:val="0"/>
          <w:sz w:val="22"/>
          <w:szCs w:val="22"/>
          <w:lang w:val="pt-BR"/>
        </w:rPr>
      </w:pP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SIMPLIFIC PAVARINI DISTRIBUIDORA DE TÍTULOS E VALORES MOBILIÁRIOS LTDA.</w:t>
      </w:r>
    </w:p>
    <w:p>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BANCO DO BRASIL S.A.</w:t>
      </w: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b/>
          <w:sz w:val="22"/>
          <w:szCs w:val="22"/>
          <w:lang w:val="pt-BR"/>
        </w:rPr>
      </w:pPr>
    </w:p>
    <w:p>
      <w:pPr>
        <w:suppressAutoHyphens w:val="0"/>
        <w:rPr>
          <w:rFonts w:ascii="Arial" w:hAnsi="Arial" w:cs="Arial"/>
          <w:b/>
          <w:bCs/>
          <w:sz w:val="24"/>
          <w:szCs w:val="24"/>
          <w:lang w:val="pt-BR"/>
        </w:rPr>
      </w:pPr>
      <w:r>
        <w:rPr>
          <w:rFonts w:ascii="Arial" w:hAnsi="Arial" w:cs="Arial"/>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VIDROPORTO S.A.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pStyle w:val="Subttulo"/>
        <w:rPr>
          <w:lang w:val="pt-BR"/>
        </w:rPr>
      </w:pPr>
      <w:r>
        <w:rPr>
          <w:lang w:val="pt-BR"/>
        </w:rPr>
        <w:br w:type="page"/>
      </w:r>
    </w:p>
    <w:p>
      <w:pPr>
        <w:spacing w:line="320" w:lineRule="exact"/>
        <w:jc w:val="both"/>
        <w:rPr>
          <w:rFonts w:ascii="Arial" w:hAnsi="Arial" w:cs="Arial"/>
          <w:b/>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TESTEMUNHAS:</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r>
    </w:tbl>
    <w:p>
      <w:pPr>
        <w:spacing w:line="320" w:lineRule="exact"/>
        <w:jc w:val="both"/>
        <w:rPr>
          <w:rFonts w:ascii="Arial" w:hAnsi="Arial" w:cs="Arial"/>
          <w:sz w:val="22"/>
          <w:szCs w:val="22"/>
          <w:lang w:val="pt-BR"/>
        </w:rPr>
      </w:pPr>
    </w:p>
    <w:p>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pPr>
        <w:tabs>
          <w:tab w:val="left" w:pos="709"/>
        </w:tabs>
        <w:spacing w:line="320" w:lineRule="exact"/>
        <w:jc w:val="center"/>
        <w:outlineLvl w:val="0"/>
        <w:rPr>
          <w:rFonts w:ascii="Arial" w:hAnsi="Arial" w:cs="Arial"/>
          <w:b/>
          <w:color w:val="000000"/>
          <w:sz w:val="22"/>
          <w:szCs w:val="22"/>
          <w:lang w:val="pt-BR"/>
        </w:rPr>
      </w:pPr>
      <w:bookmarkStart w:id="48" w:name="_DV_M181"/>
      <w:bookmarkEnd w:id="48"/>
      <w:r>
        <w:rPr>
          <w:rFonts w:ascii="Arial" w:hAnsi="Arial" w:cs="Arial"/>
          <w:b/>
          <w:color w:val="000000"/>
          <w:sz w:val="22"/>
          <w:szCs w:val="22"/>
          <w:lang w:val="pt-BR"/>
        </w:rPr>
        <w:lastRenderedPageBreak/>
        <w:t>ANEXO I</w:t>
      </w:r>
    </w:p>
    <w:p>
      <w:pPr>
        <w:tabs>
          <w:tab w:val="left" w:pos="709"/>
        </w:tabs>
        <w:spacing w:line="320" w:lineRule="exact"/>
        <w:jc w:val="center"/>
        <w:outlineLvl w:val="0"/>
        <w:rPr>
          <w:rFonts w:ascii="Arial" w:eastAsia="Arial" w:hAnsi="Arial" w:cs="Arial"/>
          <w:b/>
          <w:sz w:val="22"/>
          <w:szCs w:val="22"/>
          <w:u w:val="single"/>
          <w:lang w:val="pt-BR"/>
        </w:rPr>
      </w:pPr>
      <w:bookmarkStart w:id="49" w:name="_DV_M182"/>
      <w:bookmarkEnd w:id="49"/>
      <w:r>
        <w:rPr>
          <w:rFonts w:ascii="Arial" w:eastAsia="Arial" w:hAnsi="Arial" w:cs="Arial"/>
          <w:b/>
          <w:sz w:val="22"/>
          <w:szCs w:val="22"/>
          <w:u w:val="single"/>
          <w:lang w:val="pt-BR"/>
        </w:rPr>
        <w:t>DESCRIÇÃO DAS OBRIGAÇÕES GARANTIDAS</w:t>
      </w:r>
    </w:p>
    <w:p>
      <w:pPr>
        <w:pStyle w:val="2"/>
        <w:spacing w:line="320" w:lineRule="exact"/>
        <w:rPr>
          <w:rFonts w:ascii="Arial" w:hAnsi="Arial" w:cs="Arial"/>
          <w:b w:val="0"/>
          <w:sz w:val="22"/>
          <w:szCs w:val="22"/>
          <w:highlight w:val="yellow"/>
          <w:u w:val="none"/>
        </w:rPr>
      </w:pPr>
    </w:p>
    <w:p>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pPr>
        <w:spacing w:line="320" w:lineRule="exact"/>
        <w:jc w:val="both"/>
        <w:rPr>
          <w:rFonts w:ascii="Arial" w:eastAsia="SimSun" w:hAnsi="Arial" w:cs="Arial"/>
          <w:color w:val="000000"/>
          <w:spacing w:val="-3"/>
          <w:sz w:val="22"/>
          <w:szCs w:val="22"/>
          <w:highlight w:val="yellow"/>
          <w:lang w:val="pt-BR"/>
        </w:rPr>
      </w:pPr>
    </w:p>
    <w:p>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 e do artigo 18, da Lei n° 9.514, de 20 de novembro de 1997, as Obrigações Garantidas possuem as seguintes características:</w:t>
      </w:r>
    </w:p>
    <w:p>
      <w:pPr>
        <w:pStyle w:val="PargrafodaLista"/>
        <w:widowControl w:val="0"/>
        <w:autoSpaceDE w:val="0"/>
        <w:autoSpaceDN w:val="0"/>
        <w:adjustRightInd w:val="0"/>
        <w:spacing w:line="320" w:lineRule="exact"/>
        <w:ind w:left="0"/>
        <w:jc w:val="both"/>
        <w:rPr>
          <w:rFonts w:ascii="Arial" w:hAnsi="Arial" w:cs="Arial"/>
          <w:sz w:val="22"/>
          <w:szCs w:val="22"/>
        </w:rPr>
      </w:pPr>
    </w:p>
    <w:p>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pPr>
        <w:widowControl w:val="0"/>
        <w:autoSpaceDE w:val="0"/>
        <w:autoSpaceDN w:val="0"/>
        <w:adjustRightInd w:val="0"/>
        <w:spacing w:line="320" w:lineRule="exact"/>
        <w:jc w:val="both"/>
        <w:rPr>
          <w:rFonts w:ascii="Arial" w:hAnsi="Arial" w:cs="Arial"/>
          <w:sz w:val="22"/>
          <w:szCs w:val="22"/>
        </w:rPr>
      </w:pPr>
    </w:p>
    <w:p>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pPr>
        <w:pStyle w:val="PargrafodaLista"/>
        <w:keepLines/>
        <w:spacing w:line="320" w:lineRule="exact"/>
        <w:ind w:hanging="709"/>
        <w:jc w:val="both"/>
        <w:rPr>
          <w:rFonts w:ascii="Arial" w:hAnsi="Arial" w:cs="Arial"/>
          <w:sz w:val="22"/>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pPr>
        <w:pStyle w:val="PargrafodaLista"/>
        <w:keepLines/>
        <w:spacing w:line="320" w:lineRule="exact"/>
        <w:ind w:hanging="709"/>
        <w:rPr>
          <w:rFonts w:ascii="Arial" w:hAnsi="Arial" w:cs="Arial"/>
          <w:sz w:val="22"/>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 xml:space="preserve">As Debêntures da 2ª Emissão foram, inicialmente, da espécie quirografária com garantia fidejussória adicional, nos termos do artigo 58 da Lei das Sociedades por Ações, e foram automaticamente convoladas em da espécie com garantia real e com garantia fidejussória adicional, no momento em que foram constituídas as garantias conforme previsto </w:t>
      </w:r>
      <w:r>
        <w:rPr>
          <w:rFonts w:ascii="Arial" w:eastAsia="SimSun" w:hAnsi="Arial" w:cs="Arial"/>
          <w:color w:val="000000"/>
          <w:spacing w:val="-3"/>
          <w:sz w:val="22"/>
        </w:rPr>
        <w:t>na Escritura da 2ª Emissão</w:t>
      </w:r>
      <w:r>
        <w:rPr>
          <w:rFonts w:ascii="Arial" w:hAnsi="Arial" w:cs="Arial"/>
          <w:sz w:val="22"/>
        </w:rPr>
        <w:t>.</w:t>
      </w:r>
    </w:p>
    <w:p>
      <w:pPr>
        <w:pStyle w:val="ColorfulList-Accent11"/>
        <w:spacing w:line="320" w:lineRule="exact"/>
        <w:ind w:left="709" w:hanging="709"/>
        <w:rPr>
          <w:rFonts w:ascii="Arial" w:hAnsi="Arial" w:cs="Arial"/>
          <w:bCs/>
          <w:color w:val="000000"/>
          <w:sz w:val="22"/>
          <w:szCs w:val="20"/>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cautelas ou certificados.</w:t>
      </w:r>
    </w:p>
    <w:p>
      <w:pPr>
        <w:keepLines/>
        <w:spacing w:line="320" w:lineRule="exact"/>
        <w:ind w:left="709" w:hanging="709"/>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16"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pro rata temporis</w:t>
      </w:r>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pPr>
        <w:keepLines/>
        <w:spacing w:line="320" w:lineRule="exact"/>
        <w:ind w:left="709" w:hanging="709"/>
        <w:rPr>
          <w:rFonts w:ascii="Arial" w:eastAsia="Arial Unicode MS" w:hAnsi="Arial" w:cs="Arial"/>
          <w:sz w:val="22"/>
        </w:rPr>
      </w:pPr>
    </w:p>
    <w:p>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pPr>
        <w:spacing w:line="320" w:lineRule="exact"/>
        <w:ind w:left="709" w:hanging="709"/>
        <w:jc w:val="both"/>
        <w:rPr>
          <w:rFonts w:ascii="Arial" w:eastAsia="Arial Unicode MS" w:hAnsi="Arial" w:cs="Arial"/>
          <w:sz w:val="22"/>
          <w:lang w:val="pt-BR"/>
        </w:rPr>
      </w:pPr>
    </w:p>
    <w:p>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pPr>
        <w:pStyle w:val="Corpodetexto"/>
        <w:spacing w:line="320" w:lineRule="exact"/>
        <w:ind w:left="709" w:hanging="709"/>
        <w:rPr>
          <w:rFonts w:ascii="Arial" w:hAnsi="Arial" w:cs="Arial"/>
          <w:sz w:val="22"/>
          <w:szCs w:val="20"/>
          <w:lang w:val="pt-BR"/>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Escriturador ou na sede da Emissora, se for o caso</w:t>
      </w:r>
      <w:r>
        <w:rPr>
          <w:rFonts w:ascii="Arial" w:hAnsi="Arial" w:cs="Arial"/>
          <w:color w:val="000000"/>
          <w:sz w:val="22"/>
        </w:rPr>
        <w:t>.</w:t>
      </w:r>
    </w:p>
    <w:p>
      <w:pPr>
        <w:spacing w:line="320" w:lineRule="exact"/>
        <w:ind w:left="709" w:hanging="709"/>
        <w:jc w:val="both"/>
        <w:rPr>
          <w:rFonts w:ascii="Arial" w:eastAsia="Arial Unicode MS"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pro rata temporis</w:t>
      </w:r>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pro rata temporis</w:t>
      </w:r>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pPr>
        <w:pStyle w:val="PargrafodaLista"/>
        <w:widowControl w:val="0"/>
        <w:autoSpaceDE w:val="0"/>
        <w:autoSpaceDN w:val="0"/>
        <w:adjustRightInd w:val="0"/>
        <w:spacing w:line="320" w:lineRule="exact"/>
        <w:ind w:left="0"/>
        <w:jc w:val="both"/>
        <w:rPr>
          <w:rFonts w:ascii="Arial" w:hAnsi="Arial" w:cs="Arial"/>
          <w:sz w:val="22"/>
          <w:szCs w:val="22"/>
        </w:rPr>
      </w:pPr>
    </w:p>
    <w:p>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pPr>
        <w:widowControl w:val="0"/>
        <w:autoSpaceDE w:val="0"/>
        <w:autoSpaceDN w:val="0"/>
        <w:adjustRightInd w:val="0"/>
        <w:spacing w:line="320" w:lineRule="exact"/>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pPr>
        <w:spacing w:line="320" w:lineRule="exact"/>
        <w:jc w:val="both"/>
        <w:rPr>
          <w:rFonts w:ascii="Arial" w:hAnsi="Arial" w:cs="Arial"/>
          <w:sz w:val="22"/>
          <w:szCs w:val="22"/>
          <w:lang w:val="pt-BR"/>
        </w:rPr>
      </w:pPr>
    </w:p>
    <w:p>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1 de fevereiro de 2020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pPr>
        <w:tabs>
          <w:tab w:val="left" w:pos="851"/>
        </w:tabs>
        <w:spacing w:line="320" w:lineRule="exact"/>
        <w:ind w:left="66" w:hanging="720"/>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pPr>
        <w:tabs>
          <w:tab w:val="left" w:pos="851"/>
        </w:tabs>
        <w:spacing w:line="320" w:lineRule="exact"/>
        <w:ind w:left="66"/>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1 de agosto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pPr>
        <w:pStyle w:val="PargrafodaLista"/>
        <w:keepLines/>
        <w:tabs>
          <w:tab w:val="num" w:pos="1418"/>
          <w:tab w:val="left" w:pos="2366"/>
        </w:tabs>
        <w:spacing w:line="320" w:lineRule="exact"/>
        <w:ind w:left="720"/>
        <w:jc w:val="both"/>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pPr>
        <w:pStyle w:val="PargrafodaLista"/>
        <w:keepLines/>
        <w:tabs>
          <w:tab w:val="num" w:pos="1418"/>
          <w:tab w:val="left" w:pos="2366"/>
        </w:tabs>
        <w:spacing w:line="320" w:lineRule="exact"/>
        <w:ind w:left="720"/>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da 3ª Emissão.</w:t>
      </w:r>
    </w:p>
    <w:p>
      <w:pPr>
        <w:pStyle w:val="ColorfulList-Accent11"/>
        <w:spacing w:line="320" w:lineRule="exact"/>
        <w:ind w:left="720"/>
        <w:rPr>
          <w:rFonts w:ascii="Arial" w:hAnsi="Arial" w:cs="Arial"/>
          <w:bCs/>
          <w:color w:val="000000"/>
          <w:sz w:val="22"/>
          <w:szCs w:val="22"/>
        </w:rPr>
      </w:pPr>
    </w:p>
    <w:p>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pPr>
        <w:tabs>
          <w:tab w:val="num" w:pos="1418"/>
          <w:tab w:val="left" w:pos="2366"/>
        </w:tabs>
        <w:spacing w:line="320" w:lineRule="exact"/>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hyperlink r:id="rId17" w:history="1">
        <w:r>
          <w:rPr>
            <w:rStyle w:val="Hyperlink"/>
            <w:rFonts w:ascii="Arial" w:hAnsi="Arial" w:cs="Arial"/>
            <w:sz w:val="22"/>
            <w:szCs w:val="22"/>
            <w:lang w:val="pt-PT"/>
          </w:rPr>
          <w:t>http://www.B3.com.br</w:t>
        </w:r>
      </w:hyperlink>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pPr>
        <w:tabs>
          <w:tab w:val="left" w:pos="851"/>
        </w:tabs>
        <w:spacing w:line="320" w:lineRule="exact"/>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pPr>
        <w:keepLines/>
        <w:tabs>
          <w:tab w:val="num" w:pos="1418"/>
          <w:tab w:val="left" w:pos="2366"/>
        </w:tabs>
        <w:spacing w:line="320" w:lineRule="exact"/>
        <w:rPr>
          <w:rFonts w:ascii="Arial" w:eastAsia="Arial Unicode MS"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50"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(quarenta e oito) parcelas, a partir do 19º (décimo nono) mês (inclusive) a contar da Data de Emissão, sendo a primeira em 1º de setembro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50"/>
      <w:r>
        <w:rPr>
          <w:rFonts w:ascii="Arial" w:hAnsi="Arial" w:cs="Arial"/>
          <w:sz w:val="22"/>
          <w:szCs w:val="22"/>
        </w:rPr>
        <w:t>.</w:t>
      </w:r>
      <w:r>
        <w:rPr>
          <w:rFonts w:ascii="Arial" w:hAnsi="Arial" w:cs="Arial"/>
          <w:bCs/>
          <w:sz w:val="22"/>
          <w:szCs w:val="22"/>
        </w:rPr>
        <w:t xml:space="preserve"> </w:t>
      </w:r>
    </w:p>
    <w:p>
      <w:pPr>
        <w:tabs>
          <w:tab w:val="left" w:pos="0"/>
        </w:tabs>
        <w:spacing w:line="320" w:lineRule="exact"/>
        <w:jc w:val="both"/>
        <w:rPr>
          <w:rFonts w:ascii="Arial" w:eastAsia="Arial Unicode MS"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serão pagos mensalmente, a partir da Data de Emissão, sendo os pagamentos devidos no dia 1º (primeiro)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pPr>
        <w:pStyle w:val="Corpodetexto"/>
        <w:spacing w:line="320" w:lineRule="exact"/>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51" w:name="_Ref324932809"/>
      <w:r>
        <w:rPr>
          <w:rFonts w:ascii="Arial" w:hAnsi="Arial" w:cs="Arial"/>
          <w:b/>
          <w:sz w:val="22"/>
          <w:szCs w:val="22"/>
        </w:rPr>
        <w:t>Local de Pagamento:</w:t>
      </w:r>
      <w:r>
        <w:rPr>
          <w:rFonts w:ascii="Arial" w:hAnsi="Arial" w:cs="Arial"/>
          <w:sz w:val="22"/>
          <w:szCs w:val="22"/>
        </w:rPr>
        <w:t xml:space="preserve"> </w:t>
      </w:r>
      <w:bookmarkEnd w:id="51"/>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pPr>
        <w:tabs>
          <w:tab w:val="left" w:pos="0"/>
        </w:tabs>
        <w:spacing w:line="320" w:lineRule="exact"/>
        <w:jc w:val="both"/>
        <w:rPr>
          <w:rFonts w:ascii="Arial" w:eastAsia="Arial Unicode MS"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52"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52"/>
    </w:p>
    <w:p>
      <w:pPr>
        <w:tabs>
          <w:tab w:val="left" w:pos="851"/>
        </w:tabs>
        <w:spacing w:line="320" w:lineRule="exact"/>
        <w:ind w:left="66"/>
        <w:jc w:val="both"/>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pPr>
        <w:tabs>
          <w:tab w:val="left" w:pos="851"/>
        </w:tabs>
        <w:spacing w:line="320" w:lineRule="exact"/>
        <w:ind w:left="66"/>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pPr>
        <w:pStyle w:val="2"/>
        <w:spacing w:line="320" w:lineRule="exact"/>
        <w:rPr>
          <w:rFonts w:ascii="Arial" w:hAnsi="Arial" w:cs="Arial"/>
          <w:sz w:val="22"/>
          <w:szCs w:val="22"/>
          <w:u w:val="none"/>
        </w:rPr>
      </w:pPr>
    </w:p>
    <w:p>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pPr>
        <w:pStyle w:val="2"/>
        <w:spacing w:line="340" w:lineRule="exact"/>
        <w:rPr>
          <w:rFonts w:ascii="Arial" w:hAnsi="Arial" w:cs="Arial"/>
          <w:sz w:val="22"/>
          <w:szCs w:val="22"/>
          <w:u w:val="none"/>
        </w:rPr>
      </w:pPr>
    </w:p>
    <w:p>
      <w:pPr>
        <w:pStyle w:val="2"/>
        <w:spacing w:line="340" w:lineRule="exact"/>
        <w:rPr>
          <w:rFonts w:ascii="Arial" w:hAnsi="Arial" w:cs="Arial"/>
          <w:sz w:val="22"/>
          <w:szCs w:val="22"/>
          <w:u w:val="none"/>
        </w:rPr>
      </w:pPr>
    </w:p>
    <w:p>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 xml:space="preserve">Estância, SE,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À</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ind w:left="709"/>
        <w:jc w:val="both"/>
        <w:rPr>
          <w:rFonts w:ascii="Arial" w:hAnsi="Arial" w:cs="Arial"/>
          <w:b/>
          <w:color w:val="000000"/>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2ª (Segunda) Emissão de Debêntures Simples, Não Conversíveis em Ações, da Espécie Quirografária com Garantia Fidejussória Adicional a ser convolada </w:t>
      </w:r>
      <w:r>
        <w:rPr>
          <w:rFonts w:ascii="Arial" w:hAnsi="Arial" w:cs="Arial"/>
          <w:bCs/>
          <w:i/>
          <w:sz w:val="22"/>
          <w:szCs w:val="22"/>
          <w:lang w:val="pt-BR"/>
        </w:rPr>
        <w:lastRenderedPageBreak/>
        <w:t>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(ii) termo “Debenturistas” se refere aos Debenturistas da 2ª Emissão e aos Debenturistas da 3ª Emissão quando considerados em conjunto; (iii) a Escritura da 2ª Emissão e a Escritura da 3ª Emissão, quando consideradas em conjunto, serão denominadas “Escrituras de Emissão”; e (iv) a 2ª Emissão e a 3ª Emissão, quando consideradas em conjunto, serão denominadas “Emissões”.</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pPr>
        <w:autoSpaceDE w:val="0"/>
        <w:autoSpaceDN w:val="0"/>
        <w:adjustRightInd w:val="0"/>
        <w:spacing w:line="340" w:lineRule="exact"/>
        <w:jc w:val="both"/>
        <w:rPr>
          <w:rFonts w:ascii="Arial" w:hAnsi="Arial" w:cs="Arial"/>
          <w:bCs/>
          <w:sz w:val="22"/>
          <w:szCs w:val="22"/>
        </w:rPr>
      </w:pPr>
    </w:p>
    <w:p>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pPr>
        <w:spacing w:line="340" w:lineRule="exact"/>
        <w:jc w:val="both"/>
        <w:rPr>
          <w:rFonts w:ascii="Arial" w:hAnsi="Arial" w:cs="Arial"/>
          <w:color w:val="000000"/>
          <w:sz w:val="22"/>
          <w:szCs w:val="22"/>
          <w:lang w:val="pt-BR"/>
        </w:rPr>
      </w:pPr>
    </w:p>
    <w:p>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pPr>
        <w:spacing w:line="340" w:lineRule="exact"/>
        <w:jc w:val="both"/>
        <w:rPr>
          <w:rFonts w:ascii="Arial" w:hAnsi="Arial" w:cs="Arial"/>
          <w:sz w:val="22"/>
          <w:szCs w:val="22"/>
        </w:rPr>
      </w:pPr>
    </w:p>
    <w:p>
      <w:pPr>
        <w:spacing w:line="340" w:lineRule="exact"/>
        <w:jc w:val="both"/>
        <w:rPr>
          <w:rFonts w:ascii="Arial" w:hAnsi="Arial" w:cs="Arial"/>
          <w:sz w:val="22"/>
          <w:szCs w:val="22"/>
        </w:rPr>
      </w:pPr>
      <w:r>
        <w:rPr>
          <w:rFonts w:ascii="Arial" w:hAnsi="Arial" w:cs="Arial"/>
          <w:sz w:val="22"/>
          <w:szCs w:val="22"/>
        </w:rPr>
        <w:lastRenderedPageBreak/>
        <w:t>Aproveitamos o ensejo para reforçar que, a partir da data do recebimento desta notificação, eventuais valores devidos em virtude dos Direitos Cedidos somente serão considerados quitados após o depósito na já mencionada Conta Vinculada.</w:t>
      </w:r>
    </w:p>
    <w:p>
      <w:pPr>
        <w:spacing w:line="340" w:lineRule="exact"/>
        <w:jc w:val="both"/>
        <w:rPr>
          <w:rFonts w:ascii="Arial" w:hAnsi="Arial" w:cs="Arial"/>
          <w:sz w:val="22"/>
          <w:szCs w:val="22"/>
        </w:rPr>
      </w:pPr>
    </w:p>
    <w:p>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pPr>
        <w:autoSpaceDE w:val="0"/>
        <w:autoSpaceDN w:val="0"/>
        <w:adjustRightInd w:val="0"/>
        <w:spacing w:line="340" w:lineRule="exact"/>
        <w:jc w:val="both"/>
        <w:rPr>
          <w:rFonts w:ascii="Arial" w:hAnsi="Arial" w:cs="Arial"/>
          <w:color w:val="000000"/>
          <w:sz w:val="22"/>
          <w:szCs w:val="22"/>
        </w:rPr>
      </w:pPr>
    </w:p>
    <w:p>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pPr>
        <w:autoSpaceDE w:val="0"/>
        <w:autoSpaceDN w:val="0"/>
        <w:adjustRightInd w:val="0"/>
        <w:spacing w:line="340" w:lineRule="exact"/>
        <w:jc w:val="both"/>
        <w:rPr>
          <w:rFonts w:ascii="Arial" w:hAnsi="Arial" w:cs="Arial"/>
          <w:color w:val="000000"/>
          <w:sz w:val="22"/>
          <w:szCs w:val="22"/>
          <w:lang w:val="pt-BR"/>
        </w:rPr>
      </w:pPr>
    </w:p>
    <w:p>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pPr>
        <w:spacing w:line="340" w:lineRule="exact"/>
        <w:jc w:val="center"/>
        <w:rPr>
          <w:rFonts w:ascii="Arial" w:hAnsi="Arial" w:cs="Arial"/>
          <w:color w:val="000000"/>
          <w:sz w:val="22"/>
          <w:szCs w:val="22"/>
          <w:lang w:val="pt-BR"/>
        </w:rPr>
      </w:pPr>
    </w:p>
    <w:p>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pPr>
        <w:pStyle w:val="ax"/>
        <w:spacing w:before="0" w:after="0" w:line="340" w:lineRule="exact"/>
        <w:ind w:left="0" w:firstLine="0"/>
        <w:jc w:val="center"/>
        <w:rPr>
          <w:rFonts w:cs="Arial"/>
          <w:b/>
          <w:sz w:val="22"/>
          <w:szCs w:val="22"/>
        </w:rPr>
      </w:pPr>
    </w:p>
    <w:p>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pPr>
        <w:pStyle w:val="ax"/>
        <w:spacing w:before="0" w:after="0" w:line="340" w:lineRule="exact"/>
        <w:ind w:left="0" w:firstLine="0"/>
        <w:jc w:val="center"/>
        <w:rPr>
          <w:rFonts w:cs="Arial"/>
          <w:b/>
          <w:sz w:val="22"/>
          <w:szCs w:val="22"/>
          <w:u w:val="single"/>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pPr>
        <w:spacing w:line="320" w:lineRule="exact"/>
        <w:rPr>
          <w:rFonts w:ascii="Arial" w:hAnsi="Arial" w:cs="Arial"/>
          <w:color w:val="000000"/>
          <w:sz w:val="22"/>
          <w:szCs w:val="22"/>
          <w:lang w:val="pt-BR"/>
        </w:rPr>
      </w:pPr>
    </w:p>
    <w:p>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pPr>
        <w:pStyle w:val="ax"/>
        <w:spacing w:before="0" w:after="0" w:line="320" w:lineRule="exact"/>
        <w:ind w:left="0" w:firstLine="0"/>
        <w:jc w:val="left"/>
        <w:rPr>
          <w:rFonts w:cs="Arial"/>
          <w:bCs/>
          <w:sz w:val="22"/>
          <w:szCs w:val="22"/>
        </w:rPr>
      </w:pPr>
      <w:r>
        <w:rPr>
          <w:rFonts w:cs="Arial"/>
          <w:bCs/>
          <w:sz w:val="22"/>
          <w:szCs w:val="22"/>
        </w:rPr>
        <w:t>HNK BR Indústria de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 Baden Baden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pPr>
        <w:pStyle w:val="ax"/>
        <w:spacing w:before="0" w:after="0" w:line="320" w:lineRule="exact"/>
        <w:ind w:left="0" w:firstLine="0"/>
        <w:jc w:val="left"/>
        <w:rPr>
          <w:rFonts w:cs="Arial"/>
          <w:bCs/>
          <w:sz w:val="22"/>
          <w:szCs w:val="22"/>
        </w:rPr>
      </w:pPr>
      <w:r>
        <w:rPr>
          <w:rFonts w:cs="Arial"/>
          <w:bCs/>
          <w:sz w:val="22"/>
          <w:szCs w:val="22"/>
          <w:highlight w:val="yellow"/>
        </w:rPr>
        <w:t>Cervejaria Sudbrack Ltda.]</w:t>
      </w:r>
    </w:p>
    <w:p>
      <w:pPr>
        <w:spacing w:line="320" w:lineRule="exact"/>
        <w:rPr>
          <w:rFonts w:ascii="Arial" w:hAnsi="Arial" w:cs="Arial"/>
          <w:color w:val="000000"/>
          <w:sz w:val="22"/>
          <w:szCs w:val="22"/>
          <w:lang w:val="pt-BR"/>
        </w:rPr>
      </w:pPr>
    </w:p>
    <w:p>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pStyle w:val="Subttulo"/>
        <w:spacing w:line="320" w:lineRule="exact"/>
        <w:rPr>
          <w:sz w:val="22"/>
          <w:szCs w:val="22"/>
          <w:lang w:val="pt-BR"/>
        </w:rPr>
      </w:pPr>
      <w:r>
        <w:rPr>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53" w:name="Texto326"/>
      <w:r>
        <w:rPr>
          <w:rFonts w:ascii="Arial" w:hAnsi="Arial" w:cs="Arial"/>
          <w:b/>
          <w:color w:val="FFFFFF"/>
          <w:sz w:val="22"/>
          <w:szCs w:val="22"/>
          <w:lang w:val="pt-BR"/>
        </w:rPr>
        <w:t>     </w:t>
      </w:r>
      <w:bookmarkEnd w:id="53"/>
    </w:p>
    <w:p>
      <w:pPr>
        <w:spacing w:line="320" w:lineRule="exact"/>
        <w:jc w:val="both"/>
        <w:rPr>
          <w:rFonts w:ascii="Arial" w:hAnsi="Arial" w:cs="Arial"/>
          <w:sz w:val="22"/>
          <w:szCs w:val="22"/>
          <w:lang w:val="pt-BR"/>
        </w:rPr>
      </w:pPr>
    </w:p>
    <w:p>
      <w:pPr>
        <w:autoSpaceDE w:val="0"/>
        <w:autoSpaceDN w:val="0"/>
        <w:adjustRightInd w:val="0"/>
        <w:spacing w:line="320" w:lineRule="exact"/>
        <w:jc w:val="both"/>
        <w:rPr>
          <w:rFonts w:ascii="Arial" w:hAnsi="Arial" w:cs="Arial"/>
          <w:sz w:val="22"/>
          <w:szCs w:val="22"/>
          <w:lang w:val="pt-BR" w:eastAsia="en-US"/>
        </w:rPr>
      </w:pPr>
      <w:bookmarkStart w:id="54"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2ª emissão e da 3ª emissão da Vidroporto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w:t>
      </w:r>
      <w:r>
        <w:rPr>
          <w:rFonts w:ascii="Arial" w:hAnsi="Arial" w:cs="Arial"/>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Direitos Cedidos </w:t>
      </w:r>
      <w:r>
        <w:rPr>
          <w:rFonts w:ascii="Arial" w:hAnsi="Arial" w:cs="Arial"/>
          <w:color w:val="000000"/>
          <w:sz w:val="22"/>
          <w:szCs w:val="22"/>
          <w:lang w:val="pt-BR" w:eastAsia="pt-BR"/>
        </w:rPr>
        <w:lastRenderedPageBreak/>
        <w:t xml:space="preserve">Fiduciariamente,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pPr>
        <w:autoSpaceDE w:val="0"/>
        <w:autoSpaceDN w:val="0"/>
        <w:adjustRightInd w:val="0"/>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bookmarkStart w:id="55" w:name="Texto801"/>
      <w:bookmarkEnd w:id="54"/>
      <w:bookmarkEnd w:id="55"/>
      <w:r>
        <w:rPr>
          <w:rFonts w:ascii="Arial" w:hAnsi="Arial" w:cs="Arial"/>
          <w:b/>
          <w:sz w:val="22"/>
          <w:szCs w:val="22"/>
          <w:lang w:val="pt-BR"/>
        </w:rPr>
        <w:t>INDÚSTRIA VIDREIRA DO NORDESTE LTDA.</w:t>
      </w:r>
    </w:p>
    <w:p>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pPr>
        <w:spacing w:line="320" w:lineRule="exact"/>
        <w:rPr>
          <w:rFonts w:ascii="Arial" w:hAnsi="Arial" w:cs="Arial"/>
          <w:sz w:val="22"/>
          <w:szCs w:val="22"/>
          <w:lang w:val="pt-BR"/>
        </w:rPr>
      </w:pPr>
    </w:p>
    <w:p>
      <w:pPr>
        <w:pStyle w:val="Subttulo"/>
        <w:spacing w:line="320" w:lineRule="exact"/>
        <w:rPr>
          <w:sz w:val="22"/>
          <w:szCs w:val="22"/>
          <w:lang w:val="pt-BR"/>
        </w:rPr>
      </w:pPr>
      <w:r>
        <w:rPr>
          <w:sz w:val="22"/>
          <w:szCs w:val="22"/>
          <w:lang w:val="pt-BR"/>
        </w:rPr>
        <w:br w:type="page"/>
      </w:r>
    </w:p>
    <w:p>
      <w:pPr>
        <w:suppressAutoHyphens w:val="0"/>
        <w:rPr>
          <w:rFonts w:ascii="Arial" w:hAnsi="Arial" w:cs="Arial"/>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Anexo VI</w:t>
      </w:r>
    </w:p>
    <w:p>
      <w:pPr>
        <w:spacing w:line="320" w:lineRule="exact"/>
        <w:jc w:val="center"/>
        <w:rPr>
          <w:rFonts w:ascii="Arial" w:hAnsi="Arial" w:cs="Arial"/>
          <w:b/>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pPr>
        <w:spacing w:line="320" w:lineRule="exact"/>
        <w:jc w:val="center"/>
        <w:rPr>
          <w:rFonts w:ascii="Arial" w:hAnsi="Arial" w:cs="Arial"/>
          <w:b/>
          <w:sz w:val="22"/>
          <w:szCs w:val="22"/>
          <w:lang w:val="pt-BR"/>
        </w:rPr>
      </w:pP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IVN.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spacing w:line="320" w:lineRule="exact"/>
        <w:jc w:val="center"/>
        <w:rPr>
          <w:rFonts w:ascii="Arial" w:hAnsi="Arial" w:cs="Arial"/>
          <w:b/>
          <w:sz w:val="22"/>
          <w:szCs w:val="22"/>
        </w:rPr>
      </w:pPr>
    </w:p>
    <w:sectPr>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pPr>
      <w:pStyle w:val="Rodap"/>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- 35548698v13 - 10842002.452566</w:t>
    </w:r>
    <w:r>
      <w:rPr>
        <w:rStyle w:val="Nmerodepgina"/>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- 35548698v14 - 10842002.452566</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- 35548698v9 - 10842002.452566</w:t>
    </w:r>
    <w:r>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rPr>
    </w:pPr>
    <w:r>
      <w:rPr>
        <w:rFonts w:ascii="Arial" w:hAnsi="Arial" w:cs="Arial"/>
        <w:b/>
      </w:rPr>
      <w:t>M I N U T A</w:t>
    </w:r>
  </w:p>
  <w:p>
    <w:pPr>
      <w:pStyle w:val="Cabealho"/>
      <w:jc w:val="right"/>
      <w:rPr>
        <w:rFonts w:ascii="Arial" w:hAnsi="Arial" w:cs="Arial"/>
      </w:rPr>
    </w:pPr>
    <w:r>
      <w:rPr>
        <w:rFonts w:ascii="Arial" w:hAnsi="Arial" w:cs="Arial"/>
      </w:rPr>
      <w:t>11.2.2020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ge3064.ccg@bb.com.br" TargetMode="External" Id="rId8" /><Relationship Type="http://schemas.openxmlformats.org/officeDocument/2006/relationships/footer" Target="footer2.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footer" Target="footer5.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yperlink" Target="http://www.B3.com.br"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www.B3.com.br"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6.xml" Id="rId23"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yperlink" Target="mailto:age3370@bb.com.br" TargetMode="External" Id="rId9" /><Relationship Type="http://schemas.openxmlformats.org/officeDocument/2006/relationships/header" Target="header3.xml" Id="rId14" /><Relationship Type="http://schemas.openxmlformats.org/officeDocument/2006/relationships/header" Target="header6.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 J U R _ S P ! 3 5 5 4 8 6 9 8 . 1 4 < / d o c u m e n t i d >  
     < s e n d e r i d > M P P < / s e n d e r i d >  
     < s e n d e r e m a i l > M P O M P I L I O @ P N . C O M . B R < / s e n d e r e m a i l >  
     < l a s t m o d i f i e d > 2 0 2 0 - 0 2 - 1 1 T 2 3 : 5 5 : 0 0 . 0 0 0 0 0 0 0 - 0 3 : 0 0 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30B4-1085-4075-A452-2632BE40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18401</Words>
  <Characters>106913</Characters>
  <Application>Microsoft Office Word</Application>
  <DocSecurity>0</DocSecurity>
  <Lines>4112</Lines>
  <Paragraphs>2160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2020-02-12T02:55:00Z</dcterms:created>
  <dcterms:modified xsi:type="dcterms:W3CDTF">2020-02-12T02:55:00Z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- 35548698v14 - 10842002.452566</vt:lpwstr>
  </property>
</Properties>
</file>