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3872" behindDoc="0" locked="0" layoutInCell="1" allowOverlap="1">
            <wp:simplePos x="0" y="0"/>
            <wp:positionH relativeFrom="column">
              <wp:posOffset>39628</wp:posOffset>
            </wp:positionH>
            <wp:positionV relativeFrom="paragraph">
              <wp:posOffset>-566</wp:posOffset>
            </wp:positionV>
            <wp:extent cx="980991" cy="567760"/>
            <wp:effectExtent l="0" t="0" r="0" b="3810"/>
            <wp:wrapTopAndBottom/>
            <wp:docPr id="4" name="Imagem 4"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80991" cy="567760"/>
                    </a:xfrm>
                    <a:prstGeom prst="rect">
                      <a:avLst/>
                    </a:prstGeom>
                    <a:noFill/>
                    <a:ln>
                      <a:noFill/>
                    </a:ln>
                  </pic:spPr>
                </pic:pic>
              </a:graphicData>
            </a:graphic>
          </wp:anchor>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bookmarkStart w:id="0" w:name="_GoBack"/>
      <w:bookmarkEnd w:id="0"/>
    </w:p>
    <w:p>
      <w:pPr>
        <w:spacing w:line="300" w:lineRule="exact"/>
        <w:jc w:val="both"/>
        <w:rPr>
          <w:rFonts w:ascii="Arial" w:hAnsi="Arial" w:cs="Arial"/>
          <w:bCs/>
          <w:i/>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2019</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1" w:name="_Ref264218835"/>
      <w:r>
        <w:rPr>
          <w:rFonts w:ascii="Arial" w:hAnsi="Arial" w:cs="Arial"/>
          <w:sz w:val="22"/>
          <w:szCs w:val="22"/>
        </w:rPr>
        <w:t>Esta Escritura de Emissão é celebrada com base nas deliberações da Assembleia Geral Extraordinária da Emissora realizada em 20 de dezembro de 2019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1"/>
    <w:p>
      <w:pPr>
        <w:spacing w:line="300" w:lineRule="exact"/>
        <w:jc w:val="both"/>
        <w:rPr>
          <w:rFonts w:ascii="Arial" w:hAnsi="Arial" w:cs="Arial"/>
          <w:b/>
          <w:sz w:val="22"/>
          <w:szCs w:val="22"/>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Quatroefe Administração e Participações Ltda.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Quatroefe</w:t>
      </w:r>
      <w:r>
        <w:rPr>
          <w:rFonts w:ascii="Arial" w:hAnsi="Arial" w:cs="Arial"/>
          <w:sz w:val="22"/>
          <w:szCs w:val="22"/>
        </w:rPr>
        <w:t>”).</w:t>
      </w:r>
    </w:p>
    <w:p>
      <w:pPr>
        <w:pStyle w:val="PargrafodaLista"/>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IVN</w:t>
      </w:r>
      <w:r>
        <w:rPr>
          <w:rFonts w:ascii="Arial" w:hAnsi="Arial" w:cs="Arial"/>
          <w:sz w:val="22"/>
          <w:szCs w:val="22"/>
        </w:rPr>
        <w:t>”).</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r>
        <w:rPr>
          <w:rFonts w:ascii="Arial" w:hAnsi="Arial" w:cs="Arial"/>
          <w:sz w:val="22"/>
          <w:szCs w:val="22"/>
          <w:u w:val="single"/>
        </w:rPr>
        <w:t>JUCESP</w:t>
      </w:r>
      <w:r>
        <w:rPr>
          <w:rFonts w:ascii="Arial" w:hAnsi="Arial" w:cs="Arial"/>
          <w:sz w:val="22"/>
          <w:szCs w:val="22"/>
        </w:rPr>
        <w:t xml:space="preserve">”) em até 5 (cinco) Dias Úteis contados da assinatura desta Escritura de Emissão e publicada na página da Emissora na rede mundial de computadores (www.vidroporto.com.br) e na Central de Balanços do Sistema </w:t>
      </w:r>
      <w:r>
        <w:rPr>
          <w:rFonts w:ascii="Arial" w:hAnsi="Arial" w:cs="Arial"/>
          <w:sz w:val="22"/>
          <w:szCs w:val="22"/>
        </w:rPr>
        <w:lastRenderedPageBreak/>
        <w:t>Público de Escrituração Digital (SPED), bem como deverá ser publicada no Diário Oficial do Estado de São Paulo (“</w:t>
      </w:r>
      <w:r>
        <w:rPr>
          <w:rFonts w:ascii="Arial" w:hAnsi="Arial" w:cs="Arial"/>
          <w:sz w:val="22"/>
          <w:szCs w:val="22"/>
          <w:u w:val="single"/>
        </w:rPr>
        <w:t>DOESP</w:t>
      </w:r>
      <w:r>
        <w:rPr>
          <w:rFonts w:ascii="Arial" w:hAnsi="Arial" w:cs="Arial"/>
          <w:sz w:val="22"/>
          <w:szCs w:val="22"/>
        </w:rPr>
        <w:t>”) e no jornal “Folha de São Paulo” (em conjunto com DOESP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JUCESP, em até 5 (cinco) dias contados da data de obtenção do referido registro. </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pPr>
        <w:pStyle w:val="PargrafodaLista"/>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5 (cinco) Dias Úteis contatos da respectiva assinatura. A Emissora compromete-se a enviar ao Agente Fiduciário 1 (uma) via original desta Escritura de Emissão e dos seus eventuais 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Os recursos oriundos da captação por meio da Emissão de Debêntures serão utilizados para realização de determinados investimentos e reforço do capital de giro da Emissora</w:t>
      </w:r>
      <w:r>
        <w:rPr>
          <w:rFonts w:ascii="Arial" w:eastAsia="Arial Unicode MS" w:hAnsi="Arial" w:cs="Arial"/>
          <w:i/>
          <w:sz w:val="22"/>
          <w:szCs w:val="22"/>
        </w:rPr>
        <w:t>.</w:t>
      </w:r>
    </w:p>
    <w:bookmarkEnd w:id="8"/>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PargrafodaLista"/>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PargrafodaLista"/>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t>Data de Emissão</w:t>
      </w:r>
      <w:bookmarkEnd w:id="15"/>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Para todos os fins e efeitos legais, a data de emissão das Debêntures será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Observado o disposto nesta Escritura de Emissão, o prazo de vencimento das Debêntures será de 66 (sessenta e seis) meses contados da Data de Emissão, vencendo-se, portanto,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junho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bookmarkEnd w:id="9"/>
    <w:bookmarkEnd w:id="10"/>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no momento em que for constituída a Garantia Real prevista na cláusula 4.9.1 abaixo, nos termos do Instrumento de Garantia (conforme definido abaixo).</w:t>
      </w:r>
    </w:p>
    <w:p>
      <w:pPr>
        <w:spacing w:line="300" w:lineRule="exact"/>
        <w:jc w:val="both"/>
        <w:rPr>
          <w:rFonts w:ascii="Arial" w:hAnsi="Arial" w:cs="Arial"/>
          <w:sz w:val="22"/>
          <w:szCs w:val="22"/>
        </w:rPr>
      </w:pP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PargrafodaLista"/>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pPr>
        <w:tabs>
          <w:tab w:val="left" w:pos="0"/>
        </w:tabs>
        <w:spacing w:line="300" w:lineRule="exact"/>
        <w:jc w:val="both"/>
        <w:rPr>
          <w:rFonts w:ascii="Arial" w:hAnsi="Arial" w:cs="Arial"/>
          <w:b/>
          <w:sz w:val="22"/>
          <w:szCs w:val="22"/>
        </w:rPr>
      </w:pPr>
    </w:p>
    <w:bookmarkEnd w:id="17"/>
    <w:p>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 xml:space="preserve">VNe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1pt;margin-top:9.35pt;width:157pt;height:41.6pt;z-index:251656704" fillcolor="window">
            <v:fill color2="fill lighten(137)" angle="-135" method="linear sigma" focus="50%" type="gradient"/>
            <v:imagedata r:id="rId10" o:title=""/>
          </v:shape>
          <o:OLEObject Type="Embed" ProgID="Equation.3" ShapeID="_x0000_s1031" DrawAspect="Content" ObjectID="_1638295577" r:id="rId11"/>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0" type="#_x0000_t75" style="position:absolute;left:0;text-align:left;margin-left:168.55pt;margin-top:-20.85pt;width:125.35pt;height:45.25pt;z-index:251657728" fillcolor="window">
            <v:imagedata r:id="rId12" o:title=""/>
          </v:shape>
          <o:OLEObject Type="Embed" ProgID="Equation.3" ShapeID="_x0000_s1030" DrawAspect="Content" ObjectID="_1638295578" r:id="rId13"/>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2" type="#_x0000_t75" style="position:absolute;left:0;text-align:left;margin-left:108.65pt;margin-top:-13.25pt;width:198.1pt;height:55.35pt;z-index:251658752" fillcolor="window">
            <v:imagedata r:id="rId14" o:title=""/>
          </v:shape>
          <o:OLEObject Type="Embed" ProgID="Equation.3" ShapeID="_x0000_s1032" DrawAspect="Content" ObjectID="_1638295579" r:id="rId15"/>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e a data de cálculo,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Recuodecorpodetexto"/>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o Agente Fiduciário deverá, no prazo máximo de 2 (dois) Dias Úteis contados do Evento de Ausência da Taxa DI, convocar a Assembleia Geral de Debenturistas (conforme definido 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Recuodecorpodetexto"/>
        <w:tabs>
          <w:tab w:val="left" w:pos="0"/>
        </w:tabs>
        <w:spacing w:after="0" w:line="300" w:lineRule="exact"/>
        <w:ind w:left="0"/>
        <w:jc w:val="both"/>
        <w:rPr>
          <w:rFonts w:ascii="Arial" w:hAnsi="Arial" w:cs="Arial"/>
          <w:sz w:val="22"/>
          <w:szCs w:val="22"/>
        </w:rPr>
      </w:pPr>
      <w:bookmarkStart w:id="18"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 xml:space="preserve">(quarenta e oito) parcelas, a partir do 19º (décimo nono) mês (inclusive) a contar da Data de Emissão, sendo a primeira em </w:t>
      </w:r>
      <w:r>
        <w:rPr>
          <w:rFonts w:ascii="Arial" w:hAnsi="Arial" w:cs="Arial"/>
          <w:bCs/>
          <w:sz w:val="22"/>
          <w:szCs w:val="22"/>
          <w:highlight w:val="yellow"/>
        </w:rPr>
        <w:t>[</w:t>
      </w:r>
      <w:r>
        <w:rPr>
          <w:rFonts w:ascii="Arial" w:hAnsi="Arial" w:cs="Arial"/>
          <w:bCs/>
          <w:sz w:val="22"/>
          <w:szCs w:val="22"/>
          <w:highlight w:val="yellow"/>
        </w:rPr>
        <w:sym w:font="Symbol" w:char="F0B7"/>
      </w:r>
      <w:r>
        <w:rPr>
          <w:rFonts w:ascii="Arial" w:hAnsi="Arial" w:cs="Arial"/>
          <w:bCs/>
          <w:sz w:val="22"/>
          <w:szCs w:val="22"/>
          <w:highlight w:val="yellow"/>
        </w:rPr>
        <w:t>]</w:t>
      </w:r>
      <w:r>
        <w:rPr>
          <w:rFonts w:ascii="Arial" w:hAnsi="Arial" w:cs="Arial"/>
          <w:bCs/>
          <w:sz w:val="22"/>
          <w:szCs w:val="22"/>
        </w:rPr>
        <w:t xml:space="preserve"> de julho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trPr>
          <w:trHeight w:val="292"/>
        </w:trPr>
        <w:tc>
          <w:tcPr>
            <w:tcW w:w="1555" w:type="dxa"/>
            <w:vAlign w:val="center"/>
          </w:tcPr>
          <w:p>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pPr>
              <w:spacing w:line="300" w:lineRule="exact"/>
              <w:jc w:val="center"/>
              <w:rPr>
                <w:rFonts w:ascii="Arial" w:hAnsi="Arial" w:cs="Arial"/>
                <w:b/>
                <w:sz w:val="22"/>
                <w:szCs w:val="22"/>
              </w:rPr>
            </w:pPr>
            <w:r>
              <w:rPr>
                <w:rFonts w:ascii="Arial" w:hAnsi="Arial" w:cs="Arial"/>
                <w:b/>
                <w:sz w:val="22"/>
                <w:szCs w:val="22"/>
              </w:rPr>
              <w:t>Valor da Parcela Amortizada</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bl>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PargrafodaLista"/>
        <w:numPr>
          <w:ilvl w:val="2"/>
          <w:numId w:val="3"/>
        </w:numPr>
        <w:spacing w:line="300" w:lineRule="exact"/>
        <w:ind w:left="0" w:firstLine="0"/>
        <w:jc w:val="both"/>
        <w:rPr>
          <w:rFonts w:ascii="Arial" w:hAnsi="Arial" w:cs="Arial"/>
          <w:b/>
        </w:rPr>
      </w:pPr>
      <w:r>
        <w:rPr>
          <w:rFonts w:ascii="Arial" w:hAnsi="Arial" w:cs="Arial"/>
          <w:bCs/>
        </w:rPr>
        <w:t xml:space="preserve">Os Juros Remuneratórios das Debêntures serão pagos mensalmente, a partir da Data de Emissão, sendo os pagamentos devidos no dia </w:t>
      </w:r>
      <w:r>
        <w:rPr>
          <w:rFonts w:ascii="Arial" w:hAnsi="Arial" w:cs="Arial"/>
          <w:bCs/>
          <w:highlight w:val="yellow"/>
        </w:rPr>
        <w:t>[</w:t>
      </w:r>
      <w:r>
        <w:rPr>
          <w:rFonts w:ascii="Arial" w:hAnsi="Arial" w:cs="Arial"/>
          <w:bCs/>
          <w:highlight w:val="yellow"/>
        </w:rPr>
        <w:sym w:font="Symbol" w:char="F0B7"/>
      </w:r>
      <w:r>
        <w:rPr>
          <w:rFonts w:ascii="Arial" w:hAnsi="Arial" w:cs="Arial"/>
          <w:bCs/>
          <w:highlight w:val="yellow"/>
        </w:rPr>
        <w:t>]</w:t>
      </w:r>
      <w:r>
        <w:rPr>
          <w:rFonts w:ascii="Arial" w:hAnsi="Arial" w:cs="Arial"/>
          <w:bCs/>
        </w:rPr>
        <w:t>º (</w:t>
      </w:r>
      <w:r>
        <w:rPr>
          <w:rFonts w:ascii="Arial" w:hAnsi="Arial" w:cs="Arial"/>
          <w:bCs/>
          <w:highlight w:val="yellow"/>
        </w:rPr>
        <w:t>[</w:t>
      </w:r>
      <w:r>
        <w:rPr>
          <w:rFonts w:ascii="Arial" w:hAnsi="Arial" w:cs="Arial"/>
          <w:bCs/>
          <w:highlight w:val="yellow"/>
        </w:rPr>
        <w:sym w:font="Symbol" w:char="F0B7"/>
      </w:r>
      <w:r>
        <w:rPr>
          <w:rFonts w:ascii="Arial" w:hAnsi="Arial" w:cs="Arial"/>
          <w:bCs/>
          <w:highlight w:val="yellow"/>
        </w:rPr>
        <w:t>]</w:t>
      </w:r>
      <w:r>
        <w:rPr>
          <w:rFonts w:ascii="Arial" w:hAnsi="Arial" w:cs="Arial"/>
          <w:bCs/>
        </w:rPr>
        <w:t xml:space="preserve">) de cada mês até a Data de Vencimento ou na data de eventual resgate antecipado facultativo, aquisição facultativa ou vencimento antecipado, sendo o primeiro pagamento em </w:t>
      </w:r>
      <w:r>
        <w:rPr>
          <w:rFonts w:ascii="Arial" w:hAnsi="Arial" w:cs="Arial"/>
          <w:bCs/>
          <w:highlight w:val="yellow"/>
        </w:rPr>
        <w:t>[</w:t>
      </w:r>
      <w:r>
        <w:rPr>
          <w:rFonts w:ascii="Arial" w:hAnsi="Arial" w:cs="Arial"/>
          <w:bCs/>
          <w:highlight w:val="yellow"/>
        </w:rPr>
        <w:sym w:font="Symbol" w:char="F0B7"/>
      </w:r>
      <w:r>
        <w:rPr>
          <w:rFonts w:ascii="Arial" w:hAnsi="Arial" w:cs="Arial"/>
          <w:bCs/>
          <w:highlight w:val="yellow"/>
        </w:rPr>
        <w:t>]</w:t>
      </w:r>
      <w:r>
        <w:rPr>
          <w:rFonts w:ascii="Arial" w:hAnsi="Arial" w:cs="Arial"/>
          <w:bCs/>
        </w:rPr>
        <w:t xml:space="preserve"> de janeiro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PargrafodaLista"/>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Condições de Pagamento</w:t>
      </w:r>
      <w:bookmarkStart w:id="24" w:name="_DV_M139"/>
      <w:bookmarkEnd w:id="24"/>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dos seguintes bens e direitos de titularidade da IVN:</w:t>
      </w:r>
    </w:p>
    <w:p>
      <w:pPr>
        <w:spacing w:line="300" w:lineRule="exact"/>
        <w:ind w:left="851" w:hanging="142"/>
        <w:jc w:val="both"/>
        <w:rPr>
          <w:rFonts w:ascii="Arial" w:hAnsi="Arial" w:cs="Arial"/>
          <w:b/>
          <w:bCs/>
          <w:sz w:val="22"/>
          <w:szCs w:val="22"/>
        </w:rPr>
      </w:pPr>
    </w:p>
    <w:p>
      <w:pPr>
        <w:pStyle w:val="PargrafodaLista"/>
        <w:numPr>
          <w:ilvl w:val="0"/>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a totalidade dos direitos creditórios, presentes e futuros, oriundos do “Contrato de Fornecimento de Garrafas de Vidro”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u w:val="single"/>
          <w:lang w:val="pt-PT" w:eastAsia="ar-SA"/>
        </w:rPr>
        <w:t>Grupo Heineken</w:t>
      </w:r>
      <w:r>
        <w:rPr>
          <w:rFonts w:ascii="Arial" w:hAnsi="Arial" w:cs="Arial"/>
          <w:bCs/>
          <w:lang w:val="pt-PT" w:eastAsia="ar-SA"/>
        </w:rPr>
        <w:t>”), em 1 de dezembro de 2018, conforme Anexo II (“</w:t>
      </w:r>
      <w:r>
        <w:rPr>
          <w:rFonts w:ascii="Arial" w:hAnsi="Arial" w:cs="Arial"/>
          <w:bCs/>
          <w:u w:val="single"/>
          <w:lang w:val="pt-PT" w:eastAsia="ar-SA"/>
        </w:rPr>
        <w:t>Contrato Fornecimento IVN</w:t>
      </w:r>
      <w:r>
        <w:rPr>
          <w:rFonts w:ascii="Arial" w:hAnsi="Arial" w:cs="Arial"/>
          <w:bCs/>
          <w:lang w:val="pt-PT" w:eastAsia="ar-SA"/>
        </w:rPr>
        <w:t>” e “</w:t>
      </w:r>
      <w:r>
        <w:rPr>
          <w:rFonts w:ascii="Arial" w:hAnsi="Arial" w:cs="Arial"/>
          <w:bCs/>
          <w:u w:val="single"/>
          <w:lang w:val="pt-PT" w:eastAsia="ar-SA"/>
        </w:rPr>
        <w:t>Direitos Creditórios</w:t>
      </w:r>
      <w:r>
        <w:rPr>
          <w:rFonts w:ascii="Arial" w:hAnsi="Arial" w:cs="Arial"/>
          <w:bCs/>
          <w:lang w:val="pt-PT" w:eastAsia="ar-SA"/>
        </w:rPr>
        <w:t xml:space="preserve">”); </w:t>
      </w:r>
    </w:p>
    <w:p>
      <w:pPr>
        <w:pStyle w:val="PargrafodaLista"/>
        <w:tabs>
          <w:tab w:val="left" w:pos="709"/>
        </w:tabs>
        <w:spacing w:line="300" w:lineRule="exact"/>
        <w:ind w:left="1364"/>
        <w:jc w:val="both"/>
        <w:rPr>
          <w:rFonts w:ascii="Arial" w:hAnsi="Arial" w:cs="Arial"/>
          <w:bCs/>
          <w:lang w:val="pt-PT" w:eastAsia="ar-SA"/>
        </w:rPr>
      </w:pPr>
    </w:p>
    <w:p>
      <w:pPr>
        <w:pStyle w:val="PargrafodaLista"/>
        <w:numPr>
          <w:ilvl w:val="1"/>
          <w:numId w:val="50"/>
        </w:numPr>
        <w:tabs>
          <w:tab w:val="left" w:pos="709"/>
        </w:tabs>
        <w:spacing w:line="300" w:lineRule="exact"/>
        <w:jc w:val="both"/>
        <w:rPr>
          <w:rFonts w:ascii="Arial" w:hAnsi="Arial" w:cs="Arial"/>
          <w:bCs/>
          <w:lang w:val="pt-PT" w:eastAsia="ar-SA"/>
        </w:rPr>
      </w:pPr>
      <w:r>
        <w:rPr>
          <w:rFonts w:ascii="Arial" w:hAnsi="Arial" w:cs="Arial"/>
          <w:bCs/>
          <w:lang w:val="pt-PT" w:eastAsia="ar-SA"/>
        </w:rPr>
        <w:t xml:space="preserve">Na Data de Emissão, o </w:t>
      </w:r>
      <w:r>
        <w:rPr>
          <w:rFonts w:ascii="Arial" w:hAnsi="Arial" w:cs="Arial"/>
          <w:bCs/>
          <w:u w:val="single"/>
          <w:lang w:val="pt-PT" w:eastAsia="ar-SA"/>
        </w:rPr>
        <w:t>Contrato Fornecimento IVN</w:t>
      </w:r>
      <w:r>
        <w:rPr>
          <w:rFonts w:ascii="Arial" w:hAnsi="Arial" w:cs="Arial"/>
          <w:bCs/>
          <w:lang w:val="pt-PT" w:eastAsia="ar-SA"/>
        </w:rPr>
        <w:t xml:space="preserve"> possui um fluxo futuro de R$ </w:t>
      </w:r>
      <w:r>
        <w:rPr>
          <w:rFonts w:ascii="Arial" w:hAnsi="Arial" w:cs="Arial"/>
          <w:bCs/>
          <w:highlight w:val="yellow"/>
          <w:lang w:val="pt-PT" w:eastAsia="ar-SA"/>
        </w:rPr>
        <w:t>[</w:t>
      </w:r>
      <w:r>
        <w:rPr>
          <w:rFonts w:ascii="Arial" w:hAnsi="Aria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equivalente a </w:t>
      </w:r>
      <w:r>
        <w:rPr>
          <w:rFonts w:ascii="Arial" w:hAnsi="Arial" w:cs="Arial"/>
          <w:bCs/>
          <w:highlight w:val="yellow"/>
          <w:lang w:val="pt-PT" w:eastAsia="ar-SA"/>
        </w:rPr>
        <w:t>[</w:t>
      </w:r>
      <w:r>
        <w:rPr>
          <w:rFonts w:ascii="Arial" w:hAnsi="Aria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do volume total da Emissão. O fluxo já realizado do </w:t>
      </w:r>
      <w:r>
        <w:rPr>
          <w:rFonts w:ascii="Arial" w:hAnsi="Arial" w:cs="Arial"/>
          <w:bCs/>
          <w:u w:val="single"/>
          <w:lang w:val="pt-PT" w:eastAsia="ar-SA"/>
        </w:rPr>
        <w:t xml:space="preserve">Contrato Fornecimento IVN entre </w:t>
      </w:r>
      <w:r>
        <w:rPr>
          <w:rFonts w:ascii="Arial" w:hAnsi="Arial" w:cs="Arial"/>
          <w:bCs/>
          <w:lang w:val="pt-PT" w:eastAsia="ar-SA"/>
        </w:rPr>
        <w:t xml:space="preserve">1 de dezembro de 2018 e </w:t>
      </w:r>
      <w:r>
        <w:rPr>
          <w:rFonts w:ascii="Arial" w:hAnsi="Arial" w:cs="Arial"/>
          <w:bCs/>
          <w:highlight w:val="yellow"/>
          <w:lang w:val="pt-PT" w:eastAsia="ar-SA"/>
        </w:rPr>
        <w:t>[</w:t>
      </w:r>
      <w:r>
        <w:rPr>
          <w:rFonts w:ascii="Arial" w:hAnsi="Aria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de </w:t>
      </w:r>
      <w:r>
        <w:rPr>
          <w:rFonts w:ascii="Arial" w:hAnsi="Arial" w:cs="Arial"/>
          <w:bCs/>
          <w:highlight w:val="yellow"/>
          <w:lang w:val="pt-PT" w:eastAsia="ar-SA"/>
        </w:rPr>
        <w:t>[</w:t>
      </w:r>
      <w:r>
        <w:rPr>
          <w:rFonts w:ascii="Arial" w:hAnsi="Aria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 xml:space="preserve"> de 2019 foi de R$ </w:t>
      </w:r>
      <w:r>
        <w:rPr>
          <w:rFonts w:ascii="Arial" w:hAnsi="Arial" w:cs="Arial"/>
          <w:bCs/>
          <w:highlight w:val="yellow"/>
          <w:lang w:val="pt-PT" w:eastAsia="ar-SA"/>
        </w:rPr>
        <w:t>[</w:t>
      </w:r>
      <w:r>
        <w:rPr>
          <w:rFonts w:ascii="Arial" w:hAnsi="Arial" w:cs="Arial"/>
          <w:bCs/>
          <w:highlight w:val="yellow"/>
          <w:lang w:val="pt-PT" w:eastAsia="ar-SA"/>
        </w:rPr>
        <w:sym w:font="Symbol" w:char="F0B7"/>
      </w:r>
      <w:r>
        <w:rPr>
          <w:rFonts w:ascii="Arial" w:hAnsi="Arial" w:cs="Arial"/>
          <w:bCs/>
          <w:highlight w:val="yellow"/>
          <w:lang w:val="pt-PT" w:eastAsia="ar-SA"/>
        </w:rPr>
        <w:t>]</w:t>
      </w:r>
      <w:r>
        <w:rPr>
          <w:rFonts w:ascii="Arial" w:hAnsi="Arial" w:cs="Arial"/>
          <w:bCs/>
          <w:lang w:val="pt-PT" w:eastAsia="ar-SA"/>
        </w:rPr>
        <w:t>.</w:t>
      </w:r>
    </w:p>
    <w:p>
      <w:pPr>
        <w:tabs>
          <w:tab w:val="left" w:pos="709"/>
        </w:tabs>
        <w:spacing w:line="300" w:lineRule="exact"/>
        <w:ind w:left="709" w:hanging="425"/>
        <w:jc w:val="both"/>
        <w:rPr>
          <w:rFonts w:ascii="Arial" w:hAnsi="Arial" w:cs="Arial"/>
          <w:bCs/>
          <w:sz w:val="22"/>
          <w:szCs w:val="22"/>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(conforme definido no Instrumento de Garantia), decorrentes da conta corrente nº 9.996.164-4, agência 3370-7,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Garantia Real será futuramente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e desde que respeitada a proporção e demais condições de compartilhamento prevista no Instrumento de Garantia (“</w:t>
      </w:r>
      <w:r>
        <w:rPr>
          <w:rFonts w:ascii="Arial" w:hAnsi="Arial" w:cs="Arial"/>
          <w:sz w:val="22"/>
          <w:szCs w:val="22"/>
          <w:u w:val="single"/>
        </w:rPr>
        <w:t>Compartilhamento da Garantia</w:t>
      </w:r>
      <w:r>
        <w:rPr>
          <w:rFonts w:ascii="Arial" w:hAnsi="Arial" w:cs="Arial"/>
          <w:sz w:val="22"/>
          <w:szCs w:val="22"/>
        </w:rPr>
        <w:t xml:space="preserve">”). </w:t>
      </w:r>
      <w:r>
        <w:rPr>
          <w:rFonts w:ascii="Arial" w:hAnsi="Arial" w:cs="Arial"/>
          <w:sz w:val="22"/>
          <w:szCs w:val="22"/>
          <w:highlight w:val="yellow"/>
        </w:rPr>
        <w:t xml:space="preserve">[Não obstante, o Compartilhamento da Garantia será efetivado apenas caso a média mensal do montante dos Direitos Creditórios que transitar na Conta Vinculada, com base nos extratos dos últimos 6 (seis) meses, seja equivalente a, no mínimo, </w:t>
      </w:r>
      <w:r>
        <w:rPr>
          <w:rFonts w:ascii="Arial" w:hAnsi="Arial" w:cs="Arial"/>
          <w:sz w:val="22"/>
          <w:szCs w:val="22"/>
          <w:highlight w:val="yellow"/>
          <w:lang w:val="pt-PT"/>
        </w:rPr>
        <w:t xml:space="preserve">R$8.700.000,00 (oito milhões e setecentos mil reais) </w:t>
      </w:r>
      <w:r>
        <w:rPr>
          <w:rFonts w:ascii="Arial" w:hAnsi="Arial" w:cs="Arial"/>
          <w:sz w:val="22"/>
          <w:szCs w:val="22"/>
          <w:highlight w:val="yellow"/>
        </w:rPr>
        <w:t>(“</w:t>
      </w:r>
      <w:r>
        <w:rPr>
          <w:rFonts w:ascii="Arial" w:hAnsi="Arial" w:cs="Arial"/>
          <w:sz w:val="22"/>
          <w:szCs w:val="22"/>
          <w:highlight w:val="yellow"/>
          <w:u w:val="single"/>
        </w:rPr>
        <w:t>Condição para Compartilhamento da Garantia</w:t>
      </w:r>
      <w:r>
        <w:rPr>
          <w:rFonts w:ascii="Arial" w:hAnsi="Arial" w:cs="Arial"/>
          <w:sz w:val="22"/>
          <w:szCs w:val="22"/>
          <w:highlight w:val="yellow"/>
        </w:rPr>
        <w:t>”)]</w:t>
      </w:r>
      <w:r>
        <w:rPr>
          <w:rFonts w:ascii="Arial" w:hAnsi="Arial" w:cs="Arial"/>
          <w:sz w:val="22"/>
          <w:szCs w:val="22"/>
        </w:rPr>
        <w:t xml:space="preserve">. </w:t>
      </w:r>
      <w:r>
        <w:rPr>
          <w:rFonts w:ascii="Arial" w:hAnsi="Arial" w:cs="Arial"/>
          <w:b/>
          <w:sz w:val="22"/>
          <w:szCs w:val="22"/>
          <w:highlight w:val="yellow"/>
        </w:rPr>
        <w:t>[Nota PNA: Coordenadores, favor confirmar se o compartilhamento será automático ou não, uma vez atingido o Montante Mínimo Mensal]</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bCs/>
          <w:iCs/>
          <w:sz w:val="22"/>
          <w:szCs w:val="22"/>
          <w:highlight w:val="yellow"/>
        </w:rPr>
        <w:t>[Verificada a Condição para Compartilhamento da Garantia, o Instrumento de Garantia será aditado para refletir o Compartilhamento da Garantia, não sendo necessária qualquer aprovação por parte dos Debenturistas da 3ª, inclusive em sede de Assembleia Geral dos Debenturistas da 3ª Emissão.]</w:t>
      </w:r>
      <w:r>
        <w:rPr>
          <w:rFonts w:ascii="Arial" w:hAnsi="Arial" w:cs="Arial"/>
          <w:bCs/>
          <w:iCs/>
          <w:sz w:val="22"/>
          <w:szCs w:val="22"/>
        </w:rPr>
        <w:t xml:space="preserve"> Será necessária, contudo, a aprovação do Compartilhamento da Garantia e da celebração do respectivo aditamento pela assembleia geral de Debenturistas da 2ª Emissão. </w:t>
      </w:r>
      <w:r>
        <w:rPr>
          <w:rFonts w:ascii="Arial" w:hAnsi="Arial" w:cs="Arial"/>
          <w:b/>
          <w:bCs/>
          <w:iCs/>
          <w:sz w:val="22"/>
          <w:szCs w:val="22"/>
          <w:highlight w:val="yellow"/>
        </w:rPr>
        <w:t>[Nota PNA: Vide nota acima]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 Compartilhamento da Garantia pelos Debenturistas da 2ª Emissão e a constituição da Garantia Real, a convolação das Debêntures ocorrerá de forma automática.</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inadimplemento total ou parcial da obrigação de pagamento de quaisquer valores, principais ou acessórios, devidos pela Companhia nos termos das Debêntures e/ou desta Escritura de Emissão e/ou do Instrumento de Garantia.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este efetue confirme o valor do pagamento </w:t>
      </w:r>
      <w:r>
        <w:rPr>
          <w:rFonts w:ascii="Arial" w:hAnsi="Arial" w:cs="Arial"/>
          <w:i/>
        </w:rPr>
        <w:t>pro-rata</w:t>
      </w:r>
      <w:r>
        <w:rPr>
          <w:rFonts w:ascii="Arial" w:hAnsi="Arial" w:cs="Arial"/>
        </w:rPr>
        <w:t xml:space="preserve"> a ser realizado aos Debenturistas.</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r>
        <w:rPr>
          <w:rFonts w:ascii="Arial" w:eastAsia="Arial Unicode MS" w:hAnsi="Arial" w:cs="Arial"/>
          <w:bCs/>
          <w:w w:val="0"/>
        </w:rPr>
        <w:t>.</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4"/>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5" w:name="_Ref264227752"/>
      <w:r>
        <w:rPr>
          <w:rFonts w:ascii="Arial" w:hAnsi="Arial" w:cs="Arial"/>
          <w:sz w:val="22"/>
          <w:szCs w:val="22"/>
        </w:rPr>
        <w:t>A Emissora poderá, a qualquer tempo, adquirir as Debêntures, observado o disposto no parágrafo 3º do artigo 55 da Lei das Sociedades por Ações, e ainda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6" w:name="_DV_C265"/>
      <w:r>
        <w:rPr>
          <w:rFonts w:ascii="Arial" w:hAnsi="Arial" w:cs="Arial"/>
          <w:b/>
          <w:sz w:val="22"/>
          <w:szCs w:val="22"/>
        </w:rPr>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isto é, a partir de </w:t>
      </w:r>
      <w:r>
        <w:rPr>
          <w:rFonts w:ascii="Arial" w:eastAsia="Arial Unicode MS" w:hAnsi="Arial" w:cs="Arial"/>
          <w:bCs/>
          <w:sz w:val="22"/>
          <w:szCs w:val="22"/>
        </w:rPr>
        <w:t>[</w:t>
      </w:r>
      <w:r>
        <w:rPr>
          <w:rFonts w:ascii="Arial" w:eastAsia="Arial Unicode MS" w:hAnsi="Arial" w:cs="Arial"/>
          <w:bCs/>
          <w:sz w:val="22"/>
          <w:szCs w:val="22"/>
        </w:rPr>
        <w:sym w:font="Symbol" w:char="F0B7"/>
      </w:r>
      <w:r>
        <w:rPr>
          <w:rFonts w:ascii="Arial" w:eastAsia="Arial Unicode MS" w:hAnsi="Arial" w:cs="Arial"/>
          <w:bCs/>
          <w:sz w:val="22"/>
          <w:szCs w:val="22"/>
        </w:rPr>
        <w:t>]</w:t>
      </w:r>
      <w:r>
        <w:rPr>
          <w:rFonts w:ascii="Arial" w:eastAsia="Arial Unicode MS" w:hAnsi="Arial" w:cs="Arial"/>
          <w:sz w:val="22"/>
          <w:szCs w:val="22"/>
        </w:rPr>
        <w:t xml:space="preserve"> de </w:t>
      </w:r>
      <w:r>
        <w:rPr>
          <w:rFonts w:ascii="Arial" w:eastAsia="Arial Unicode MS" w:hAnsi="Arial" w:cs="Arial"/>
          <w:sz w:val="22"/>
          <w:szCs w:val="22"/>
        </w:rPr>
        <w:t>[●]</w:t>
      </w:r>
      <w:r>
        <w:rPr>
          <w:rFonts w:ascii="Arial" w:eastAsia="Arial Unicode MS" w:hAnsi="Arial" w:cs="Arial"/>
          <w:sz w:val="22"/>
          <w:szCs w:val="22"/>
        </w:rPr>
        <w:t xml:space="preserve"> de</w:t>
      </w:r>
      <w:r>
        <w:rPr>
          <w:rFonts w:ascii="Arial" w:eastAsia="Arial Unicode MS" w:hAnsi="Arial" w:cs="Arial"/>
          <w:sz w:val="22"/>
          <w:szCs w:val="22"/>
        </w:rPr>
        <w:t xml:space="preserve"> </w:t>
      </w:r>
      <w:r>
        <w:rPr>
          <w:rFonts w:ascii="Arial" w:eastAsia="Arial Unicode MS" w:hAnsi="Arial" w:cs="Arial"/>
          <w:sz w:val="22"/>
          <w:szCs w:val="22"/>
        </w:rPr>
        <w:t>[●]</w:t>
      </w:r>
      <w:r>
        <w:rPr>
          <w:rFonts w:ascii="Arial" w:eastAsia="Arial Unicode MS" w:hAnsi="Arial" w:cs="Arial"/>
          <w:sz w:val="22"/>
          <w:szCs w:val="22"/>
        </w:rPr>
        <w:t>,</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pPr>
        <w:pStyle w:val="PargrafodaLista"/>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47" w:name="_DV_M153"/>
      <w:bookmarkStart w:id="48" w:name="OLE_LINK8"/>
      <w:bookmarkStart w:id="49" w:name="OLE_LINK9"/>
      <w:bookmarkEnd w:id="47"/>
      <w:r>
        <w:rPr>
          <w:rFonts w:ascii="Arial" w:hAnsi="Arial" w:cs="Arial"/>
          <w:sz w:val="22"/>
          <w:szCs w:val="22"/>
        </w:rPr>
        <w:t xml:space="preserve">Facultativo, acrescidos (iii) de um prêmio </w:t>
      </w:r>
      <w:r>
        <w:rPr>
          <w:rFonts w:ascii="Arial" w:hAnsi="Arial" w:cs="Arial"/>
          <w:i/>
          <w:sz w:val="22"/>
          <w:szCs w:val="22"/>
        </w:rPr>
        <w:t>flat</w:t>
      </w:r>
      <w:bookmarkEnd w:id="48"/>
      <w:bookmarkEnd w:id="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50" w:name="_DV_M160"/>
      <w:bookmarkEnd w:id="50"/>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Amortização Extraordinária Facultativa</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u w:val="single"/>
        </w:rPr>
        <w:t>Amortização Extraordinária Facultativa</w:t>
      </w:r>
      <w:r>
        <w:rPr>
          <w:rFonts w:ascii="Arial" w:eastAsia="Calibri" w:hAnsi="Arial" w:cs="Arial"/>
          <w:sz w:val="22"/>
          <w:szCs w:val="22"/>
        </w:rPr>
        <w:t xml:space="preserve">. Sujeito ao atendimento das condições abaixo, a Emissora poderá realizar a amortização extraordinária facultativa limitada a 98% (noventa e oito por cento) do Valor Nominal Unitário das Debêntures ou saldo do Valor Nominal Unitário, conforme o caso, que deverá abranger, proporcionalmente, todas as Debêntures, a seu exclusivo critério e independentemente da anuência dos Debenturistas, a qualquer tempo a partir do </w:t>
      </w:r>
      <w:r>
        <w:rPr>
          <w:rFonts w:ascii="Arial" w:eastAsia="Calibri" w:hAnsi="Arial" w:cs="Arial"/>
          <w:sz w:val="22"/>
          <w:szCs w:val="22"/>
          <w:highlight w:val="yellow"/>
        </w:rPr>
        <w:t>[25]</w:t>
      </w:r>
      <w:r>
        <w:rPr>
          <w:rFonts w:ascii="Arial" w:eastAsia="Calibri" w:hAnsi="Arial" w:cs="Arial"/>
          <w:sz w:val="22"/>
          <w:szCs w:val="22"/>
        </w:rPr>
        <w:t>º (</w:t>
      </w:r>
      <w:r>
        <w:rPr>
          <w:rFonts w:ascii="Arial" w:eastAsia="Calibri" w:hAnsi="Arial" w:cs="Arial"/>
          <w:sz w:val="22"/>
          <w:szCs w:val="22"/>
          <w:highlight w:val="yellow"/>
        </w:rPr>
        <w:t>[vigésimo quinto]</w:t>
      </w:r>
      <w:r>
        <w:rPr>
          <w:rFonts w:ascii="Arial" w:eastAsia="Calibri" w:hAnsi="Arial" w:cs="Arial"/>
          <w:sz w:val="22"/>
          <w:szCs w:val="22"/>
        </w:rPr>
        <w:t>) mês (inclusive) contado da Data de Emissão, mediante o envio da Comunicação de Amortização Extraordinária Facultativa (conforme definido no item 5.5.2.2. abaixo), com antecedência mínima de 10 (dez) Dias Úteis contados da data prevista para realização da referida amortização (“</w:t>
      </w:r>
      <w:r>
        <w:rPr>
          <w:rFonts w:ascii="Arial" w:eastAsia="Calibri" w:hAnsi="Arial" w:cs="Arial"/>
          <w:sz w:val="22"/>
          <w:szCs w:val="22"/>
          <w:u w:val="single"/>
        </w:rPr>
        <w:t>Amortização Extraordinária Facultativa</w:t>
      </w:r>
      <w:r>
        <w:rPr>
          <w:rFonts w:ascii="Arial" w:eastAsia="Calibri" w:hAnsi="Arial" w:cs="Arial"/>
          <w:sz w:val="22"/>
          <w:szCs w:val="22"/>
        </w:rPr>
        <w:t>”). [</w:t>
      </w:r>
      <w:r>
        <w:rPr>
          <w:rFonts w:ascii="Arial" w:eastAsia="Calibri" w:hAnsi="Arial" w:cs="Arial"/>
          <w:i/>
          <w:sz w:val="22"/>
          <w:szCs w:val="22"/>
          <w:highlight w:val="yellow"/>
        </w:rPr>
        <w:t>Nota PNA: Favor confirmar a partir de quando a Amortização Extraordinária Facultativa poderá ser realizada</w:t>
      </w:r>
      <w:r>
        <w:rPr>
          <w:rFonts w:ascii="Arial" w:eastAsia="Calibri" w:hAnsi="Arial" w:cs="Arial"/>
          <w:sz w:val="22"/>
          <w:szCs w:val="22"/>
        </w:rPr>
        <w:t>]</w:t>
      </w:r>
    </w:p>
    <w:p>
      <w:pPr>
        <w:spacing w:line="300" w:lineRule="exact"/>
        <w:jc w:val="both"/>
        <w:rPr>
          <w:rFonts w:ascii="Arial" w:hAnsi="Arial" w:cs="Arial"/>
          <w:sz w:val="22"/>
          <w:szCs w:val="22"/>
        </w:rPr>
      </w:pPr>
      <w:r>
        <w:rPr>
          <w:rFonts w:ascii="Arial" w:eastAsia="Calibri"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Amortização Extraordinária Facultativa será realizada mediante o pagamento de parcela do Valor Nominal Unitário ou saldo do Valor Nominal Unitário, conforme o caso, acrescido (i) da Remuneração, calculada </w:t>
      </w:r>
      <w:r>
        <w:rPr>
          <w:rFonts w:ascii="Arial" w:hAnsi="Arial" w:cs="Arial"/>
          <w:i/>
          <w:sz w:val="22"/>
          <w:szCs w:val="22"/>
        </w:rPr>
        <w:t>pro rata temporis</w:t>
      </w:r>
      <w:r>
        <w:rPr>
          <w:rFonts w:ascii="Arial" w:hAnsi="Arial" w:cs="Arial"/>
          <w:sz w:val="22"/>
          <w:szCs w:val="22"/>
        </w:rPr>
        <w:t xml:space="preserve"> desde a Data da Primeira Integralização ou desde a última Data de Pagamento da Remuneração, conforme o caso até a data da efetiva Amortização Extraordinária Facultativa, (ii) de eventuais Encargos Moratórios (se houver) e (iii) de um prêmio </w:t>
      </w:r>
      <w:r>
        <w:rPr>
          <w:rFonts w:ascii="Arial" w:hAnsi="Arial" w:cs="Arial"/>
          <w:i/>
          <w:sz w:val="22"/>
          <w:szCs w:val="22"/>
        </w:rPr>
        <w:t>flat</w:t>
      </w:r>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Amortização</w:t>
      </w:r>
      <w:r>
        <w:rPr>
          <w:rFonts w:ascii="Arial" w:hAnsi="Arial" w:cs="Arial"/>
          <w:sz w:val="22"/>
          <w:szCs w:val="22"/>
        </w:rPr>
        <w:t>”). O Prêmio de Amortização incidirá sobre o Valor Nominal Unitário ou saldo do Valor Nominal Unitário, conforme o caso, acrescido da Remuneração e de eventuais encargos não pagos (“</w:t>
      </w:r>
      <w:r>
        <w:rPr>
          <w:rFonts w:ascii="Arial" w:hAnsi="Arial" w:cs="Arial"/>
          <w:sz w:val="22"/>
          <w:szCs w:val="22"/>
          <w:u w:val="single"/>
        </w:rPr>
        <w:t>Valor da Amortização Extraordinária Facultativa</w:t>
      </w:r>
      <w:r>
        <w:rPr>
          <w:rFonts w:ascii="Arial" w:hAnsi="Arial" w:cs="Arial"/>
          <w:sz w:val="22"/>
          <w:szCs w:val="22"/>
        </w:rPr>
        <w:t xml:space="preserve">”): </w:t>
      </w:r>
    </w:p>
    <w:p>
      <w:pPr>
        <w:spacing w:line="300" w:lineRule="exact"/>
        <w:jc w:val="both"/>
        <w:rPr>
          <w:rFonts w:ascii="Verdana" w:hAnsi="Verdana"/>
          <w:sz w:val="20"/>
          <w:szCs w:val="20"/>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nos itens 5.2.2.1. e 5.2.2.2. acima, a Amortização Extraordinária Facultativa somente poderá ocorrer mediante o envio de comunicação individual a todos os Debenturistas, com cópia para o Agente Fiduciário, ou publicação de Anúncio da Emissora dirigida aos Debenturistas (“</w:t>
      </w:r>
      <w:r>
        <w:rPr>
          <w:rFonts w:ascii="Arial" w:hAnsi="Arial" w:cs="Arial"/>
          <w:sz w:val="22"/>
          <w:szCs w:val="22"/>
          <w:u w:val="single"/>
        </w:rPr>
        <w:t>Comunicação de Amortização Extraordinária Facultativa</w:t>
      </w:r>
      <w:r>
        <w:rPr>
          <w:rFonts w:ascii="Arial" w:hAnsi="Arial" w:cs="Arial"/>
          <w:sz w:val="22"/>
          <w:szCs w:val="22"/>
        </w:rPr>
        <w:t>”), com antecedência mínima de 10 (dez) Dias Úteis contados da data prevista para realização da efetiva Amortização Extraordinária Facultativa (“</w:t>
      </w:r>
      <w:r>
        <w:rPr>
          <w:rFonts w:ascii="Arial" w:hAnsi="Arial" w:cs="Arial"/>
          <w:sz w:val="22"/>
          <w:szCs w:val="22"/>
          <w:u w:val="single"/>
        </w:rPr>
        <w:t>Data da Amortização Extraordinária Facultativa</w:t>
      </w:r>
      <w:r>
        <w:rPr>
          <w:rFonts w:ascii="Arial" w:hAnsi="Arial" w:cs="Arial"/>
          <w:sz w:val="22"/>
          <w:szCs w:val="22"/>
        </w:rPr>
        <w:t>”) que deverá, necessariamente, ser um Dia Útil. Na Comunicação de Amortização Extraordinária Facultativa deverão constar (i) a Data da Amortização Extraordinária Facultativa; (ii) parcela do saldo do Valor Nominal Unitário objeto da Amortização Extraordinária Facultativa; e (iii) quaisquer outras informações necessárias à operacionalização da Amortização Extraordinária Facultativa.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Amortização Extraordinária Facultativa deverá ser comunicada à B3, ao Banco Liquidante e ao Escriturador com antecedência mínima de 3 (três) Dias Úteis da Data da Amortização Extraordinária Facultativa.</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da Amortização Extraordinária Facultativa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51" w:name="_Ref500321360"/>
      <w:r>
        <w:rPr>
          <w:rFonts w:ascii="Arial" w:hAnsi="Arial" w:cs="Arial"/>
          <w:b/>
          <w:sz w:val="22"/>
          <w:szCs w:val="22"/>
        </w:rPr>
        <w:t>Oferta de Resgate Antecipado</w:t>
      </w:r>
      <w:bookmarkEnd w:id="51"/>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eastAsia="Calibri" w:hAnsi="Arial" w:cs="Arial"/>
          <w:sz w:val="22"/>
          <w:szCs w:val="22"/>
          <w:lang w:val="x-none"/>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lang w:val="x-none"/>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lang w:val="x-none"/>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lang w:val="x-none"/>
        </w:rPr>
        <w:t>Debêntures igualdade de condições para aceitar a oferta de resgate</w:t>
      </w:r>
      <w:r>
        <w:rPr>
          <w:rFonts w:ascii="Arial" w:eastAsia="Calibri" w:hAnsi="Arial" w:cs="Arial"/>
          <w:sz w:val="22"/>
          <w:szCs w:val="22"/>
        </w:rPr>
        <w:t xml:space="preserve"> </w:t>
      </w:r>
      <w:r>
        <w:rPr>
          <w:rFonts w:ascii="Arial" w:eastAsia="Calibri" w:hAnsi="Arial" w:cs="Arial"/>
          <w:sz w:val="22"/>
          <w:szCs w:val="22"/>
          <w:lang w:val="x-none"/>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o qual deverá descrever os termos e condições da Oferta de Resgate, incluindo: (i) o valor do prêmio de resgate, 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2" w:name="_Ref264230355"/>
      <w:bookmarkEnd w:id="46"/>
      <w:r>
        <w:rPr>
          <w:rFonts w:ascii="Arial" w:eastAsia="Arial Unicode MS" w:hAnsi="Arial" w:cs="Arial"/>
          <w:b/>
          <w:w w:val="0"/>
          <w:sz w:val="22"/>
          <w:szCs w:val="22"/>
        </w:rPr>
        <w:t>Vencimento Antecipado</w:t>
      </w:r>
      <w:bookmarkStart w:id="53" w:name="_DV_M268"/>
      <w:bookmarkStart w:id="54" w:name="_DV_C317"/>
      <w:bookmarkEnd w:id="52"/>
      <w:bookmarkEnd w:id="5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5"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ou pelo Fiador </w:t>
      </w:r>
      <w:r>
        <w:rPr>
          <w:rFonts w:ascii="Arial" w:hAnsi="Arial" w:cs="Arial"/>
        </w:rPr>
        <w:t xml:space="preserve">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6" w:name="_Ref265619587"/>
      <w:bookmarkEnd w:id="55"/>
    </w:p>
    <w:p>
      <w:pPr>
        <w:spacing w:line="300" w:lineRule="exact"/>
        <w:jc w:val="both"/>
        <w:rPr>
          <w:rFonts w:ascii="Arial" w:hAnsi="Arial" w:cs="Arial"/>
          <w:snapToGrid w:val="0"/>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contados da respectiva data de vencimento;</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pPr>
        <w:pStyle w:val="PargrafodaLista"/>
        <w:autoSpaceDE w:val="0"/>
        <w:autoSpaceDN w:val="0"/>
        <w:adjustRightInd w:val="0"/>
        <w:spacing w:line="300" w:lineRule="exact"/>
        <w:ind w:left="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PargrafodaLista"/>
        <w:spacing w:line="300" w:lineRule="exact"/>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pPr>
        <w:pStyle w:val="PargrafodaLista"/>
        <w:autoSpaceDE w:val="0"/>
        <w:autoSpaceDN w:val="0"/>
        <w:adjustRightInd w:val="0"/>
        <w:spacing w:line="300" w:lineRule="exact"/>
        <w:ind w:left="567" w:hanging="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ou pelo Fiador, bem como por sua controladora, suas controladas e/ou suas coligadas, da validade e/ou exequibilidade (i) desta Escritura de Emissão; (ii) da Cessão Fiduciária e do Instrumento de Garantia; e/ou (iii) da Fiança.</w:t>
      </w:r>
    </w:p>
    <w:p>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PargrafodaLista"/>
        <w:numPr>
          <w:ilvl w:val="3"/>
          <w:numId w:val="3"/>
        </w:numPr>
        <w:spacing w:line="300" w:lineRule="exact"/>
        <w:ind w:left="0" w:firstLine="0"/>
        <w:jc w:val="both"/>
        <w:rPr>
          <w:rFonts w:ascii="Arial" w:hAnsi="Arial" w:cs="Arial"/>
        </w:rPr>
      </w:pPr>
      <w:bookmarkStart w:id="57" w:name="_DV_M227"/>
      <w:bookmarkStart w:id="58" w:name="_Ref264550335"/>
      <w:bookmarkEnd w:id="56"/>
      <w:bookmarkEnd w:id="57"/>
      <w:r>
        <w:rPr>
          <w:rFonts w:ascii="Arial" w:hAnsi="Arial" w:cs="Arial"/>
        </w:rPr>
        <w:t>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ou do Fiador o imediato pagamento pela Emissora</w:t>
      </w:r>
      <w:r>
        <w:rPr>
          <w:rFonts w:ascii="Arial" w:eastAsia="Times New Roman" w:hAnsi="Arial" w:cs="Arial"/>
          <w:sz w:val="24"/>
          <w:szCs w:val="24"/>
        </w:rPr>
        <w:t xml:space="preserve"> </w:t>
      </w:r>
      <w:r>
        <w:rPr>
          <w:rFonts w:ascii="Arial" w:hAnsi="Arial" w:cs="Arial"/>
        </w:rPr>
        <w:t xml:space="preserve">ou pelo Fiador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pPr>
        <w:pStyle w:val="PargrafodaLista"/>
        <w:autoSpaceDE w:val="0"/>
        <w:autoSpaceDN w:val="0"/>
        <w:adjustRightInd w:val="0"/>
        <w:spacing w:line="300" w:lineRule="exact"/>
        <w:jc w:val="both"/>
        <w:rPr>
          <w:rFonts w:ascii="Arial" w:hAnsi="Arial" w:cs="Arial"/>
        </w:rPr>
      </w:pPr>
    </w:p>
    <w:p>
      <w:pPr>
        <w:pStyle w:val="PargrafodaLista"/>
        <w:spacing w:line="300" w:lineRule="exact"/>
        <w:ind w:hanging="567"/>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 xml:space="preserve">se as declarações e garantias prestadas pela Emissora, conforme abaixo previstas, forem descumpridas e/ou provarem-se falsas, incorretas, inconsistentes ou insuficientes; </w:t>
      </w:r>
    </w:p>
    <w:p>
      <w:pPr>
        <w:pStyle w:val="PargrafodaLista"/>
        <w:autoSpaceDE w:val="0"/>
        <w:autoSpaceDN w:val="0"/>
        <w:adjustRightInd w:val="0"/>
        <w:spacing w:line="300" w:lineRule="exact"/>
        <w:ind w:left="567" w:hanging="720"/>
        <w:jc w:val="both"/>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diascontados da data em que a Companhia tomar ciência do ajuizamento de tal questionamento judicial;</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pPr>
        <w:autoSpaceDE w:val="0"/>
        <w:autoSpaceDN w:val="0"/>
        <w:adjustRightInd w:val="0"/>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existência de qualquer decisão arbitral definitiva ou decisão judicial cujos efeitos não sejam suspensos no prazo de 30 (trinta) dias, em valor, individual ou agregado, igual ou superior a R$15.000.000,00 (quinze milhões de reais) atualizado mensalmente, a partir da Data de Emissão, pela variação positiva do IPCA, apurado e divulgado pelo IBGE, ou seu equivalente em outras moedas; e</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PargrafodaLista"/>
        <w:autoSpaceDE w:val="0"/>
        <w:autoSpaceDN w:val="0"/>
        <w:adjustRightInd w:val="0"/>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e ao Fiador,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ou o Fiador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ou o Fiador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9"/>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60" w:name="_DV_M301"/>
      <w:bookmarkEnd w:id="54"/>
      <w:bookmarkEnd w:id="58"/>
      <w:bookmarkEnd w:id="60"/>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61"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62" w:name="_DV_M228"/>
      <w:bookmarkEnd w:id="61"/>
      <w:bookmarkEnd w:id="62"/>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trPr>
          <w:jc w:val="center"/>
        </w:trPr>
        <w:tc>
          <w:tcPr>
            <w:tcW w:w="1815" w:type="dxa"/>
          </w:tcPr>
          <w:p>
            <w:pPr>
              <w:pStyle w:val="PargrafodaLista"/>
              <w:suppressAutoHyphens/>
              <w:spacing w:line="300" w:lineRule="exact"/>
              <w:ind w:left="0"/>
              <w:jc w:val="center"/>
              <w:rPr>
                <w:rFonts w:ascii="Arial" w:hAnsi="Arial" w:cs="Arial"/>
                <w:b/>
              </w:rPr>
            </w:pPr>
            <w:bookmarkStart w:id="63" w:name="_DV_M236"/>
            <w:bookmarkEnd w:id="63"/>
            <w:r>
              <w:rPr>
                <w:rFonts w:ascii="Arial" w:hAnsi="Arial" w:cs="Arial"/>
                <w:b/>
              </w:rPr>
              <w:t>Ano do Exercício</w:t>
            </w:r>
          </w:p>
        </w:tc>
        <w:tc>
          <w:tcPr>
            <w:tcW w:w="3263" w:type="dxa"/>
          </w:tcPr>
          <w:p>
            <w:pPr>
              <w:pStyle w:val="PargrafodaLista"/>
              <w:suppressAutoHyphens/>
              <w:spacing w:line="300" w:lineRule="exact"/>
              <w:ind w:left="0"/>
              <w:jc w:val="center"/>
              <w:rPr>
                <w:rFonts w:ascii="Arial" w:hAnsi="Arial" w:cs="Arial"/>
                <w:b/>
              </w:rPr>
            </w:pPr>
            <w:r>
              <w:rPr>
                <w:rFonts w:ascii="Arial" w:hAnsi="Arial" w:cs="Arial"/>
                <w:b/>
              </w:rPr>
              <w:t>Dívida Líquida / EBITDA</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3,00x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2,80x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2,50x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bl>
    <w:p>
      <w:pPr>
        <w:pStyle w:val="PargrafodaLista"/>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PargrafodaLista"/>
        <w:suppressAutoHyphens/>
        <w:spacing w:line="300" w:lineRule="exact"/>
        <w:ind w:left="567" w:right="618"/>
        <w:rPr>
          <w:rFonts w:ascii="Arial" w:hAnsi="Arial" w:cs="Arial"/>
        </w:rPr>
      </w:pPr>
    </w:p>
    <w:p>
      <w:pPr>
        <w:pStyle w:val="PargrafodaLista"/>
        <w:widowControl/>
        <w:numPr>
          <w:ilvl w:val="0"/>
          <w:numId w:val="13"/>
        </w:numPr>
        <w:suppressAutoHyphens/>
        <w:spacing w:line="300" w:lineRule="exact"/>
        <w:ind w:left="567" w:right="618" w:firstLine="0"/>
        <w:rPr>
          <w:rFonts w:ascii="Arial" w:hAnsi="Arial" w:cs="Arial"/>
        </w:rPr>
      </w:pPr>
      <w:bookmarkStart w:id="64" w:name="_DV_M253"/>
      <w:bookmarkEnd w:id="64"/>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5" w:name="_Ref264363915"/>
      <w:r>
        <w:rPr>
          <w:rFonts w:ascii="Arial" w:eastAsia="Arial Unicode MS" w:hAnsi="Arial" w:cs="Arial"/>
          <w:b/>
          <w:w w:val="0"/>
          <w:sz w:val="22"/>
          <w:szCs w:val="22"/>
        </w:rPr>
        <w:t>DAS OBRIGAÇÕES ADICIONAIS DA EMISSORA</w:t>
      </w:r>
      <w:bookmarkStart w:id="66" w:name="_DV_M188"/>
      <w:bookmarkEnd w:id="65"/>
      <w:bookmarkEnd w:id="66"/>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7" w:name="_Ref264554260"/>
      <w:r>
        <w:rPr>
          <w:rFonts w:ascii="Arial" w:eastAsia="Arial Unicode MS" w:hAnsi="Arial" w:cs="Arial"/>
          <w:w w:val="0"/>
          <w:sz w:val="22"/>
          <w:szCs w:val="22"/>
        </w:rPr>
        <w:t>A Emissora, até a liquidação de todas as obrigações previstas nesta Escritura de Emissão, adicionalmente se obriga a:</w:t>
      </w:r>
      <w:bookmarkEnd w:id="67"/>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8" w:name="_DV_M190"/>
      <w:bookmarkStart w:id="69" w:name="_DV_M191"/>
      <w:bookmarkEnd w:id="68"/>
      <w:bookmarkEnd w:id="6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70" w:name="_DV_M199"/>
      <w:bookmarkStart w:id="71" w:name="_DV_M203"/>
      <w:bookmarkStart w:id="72" w:name="_DV_M205"/>
      <w:bookmarkStart w:id="73" w:name="_DV_M206"/>
      <w:bookmarkStart w:id="74" w:name="_DV_M207"/>
      <w:bookmarkStart w:id="75" w:name="_DV_M208"/>
      <w:bookmarkEnd w:id="70"/>
      <w:bookmarkEnd w:id="71"/>
      <w:bookmarkEnd w:id="72"/>
      <w:bookmarkEnd w:id="73"/>
      <w:bookmarkEnd w:id="74"/>
      <w:bookmarkEnd w:id="75"/>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6" w:name="_DV_M211"/>
      <w:bookmarkStart w:id="77" w:name="_DV_M76"/>
      <w:bookmarkStart w:id="78" w:name="_DV_M77"/>
      <w:bookmarkStart w:id="79" w:name="_DV_M78"/>
      <w:bookmarkStart w:id="80" w:name="_DV_M75"/>
      <w:bookmarkStart w:id="81" w:name="_DV_M79"/>
      <w:bookmarkStart w:id="82" w:name="_DV_M80"/>
      <w:bookmarkEnd w:id="76"/>
      <w:bookmarkEnd w:id="77"/>
      <w:bookmarkEnd w:id="78"/>
      <w:bookmarkEnd w:id="79"/>
      <w:bookmarkEnd w:id="80"/>
      <w:bookmarkEnd w:id="81"/>
      <w:bookmarkEnd w:id="82"/>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3" w:name="_DV_M213"/>
      <w:bookmarkEnd w:id="83"/>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4" w:name="_DV_M214"/>
      <w:bookmarkStart w:id="85" w:name="_DV_M215"/>
      <w:bookmarkStart w:id="86" w:name="_DV_M216"/>
      <w:bookmarkEnd w:id="84"/>
      <w:bookmarkEnd w:id="85"/>
      <w:bookmarkEnd w:id="86"/>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7" w:name="_DV_M218"/>
      <w:bookmarkStart w:id="88" w:name="_DV_M219"/>
      <w:bookmarkStart w:id="89" w:name="_DV_M223"/>
      <w:bookmarkEnd w:id="87"/>
      <w:bookmarkEnd w:id="88"/>
      <w:bookmarkEnd w:id="89"/>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pPr>
        <w:pStyle w:val="PargrafodaLista"/>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0" w:name="_DV_M225"/>
      <w:bookmarkStart w:id="91" w:name="_DV_M230"/>
      <w:bookmarkEnd w:id="90"/>
      <w:bookmarkEnd w:id="91"/>
      <w:r>
        <w:rPr>
          <w:rFonts w:ascii="Arial" w:eastAsia="Arial Unicode MS" w:hAnsi="Arial" w:cs="Arial"/>
          <w:b/>
          <w:w w:val="0"/>
          <w:sz w:val="22"/>
          <w:szCs w:val="22"/>
        </w:rPr>
        <w:t>DO AGENTE FIDUCIÁRIO</w:t>
      </w:r>
      <w:bookmarkStart w:id="92" w:name="_DV_M231"/>
      <w:bookmarkStart w:id="93" w:name="_DV_M232"/>
      <w:bookmarkEnd w:id="92"/>
      <w:bookmarkEnd w:id="93"/>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pPr>
        <w:pStyle w:val="PargrafodaLista"/>
        <w:rPr>
          <w:rFonts w:ascii="Arial" w:hAnsi="Arial" w:cs="Arial"/>
        </w:rPr>
      </w:pP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bookmarkStart w:id="94" w:name="_DV_M270"/>
      <w:bookmarkEnd w:id="94"/>
    </w:p>
    <w:tbl>
      <w:tblPr>
        <w:tblW w:w="5000" w:type="pct"/>
        <w:tblCellMar>
          <w:left w:w="0" w:type="dxa"/>
          <w:right w:w="0" w:type="dxa"/>
        </w:tblCellMar>
        <w:tblLook w:val="04A0" w:firstRow="1" w:lastRow="0" w:firstColumn="1" w:lastColumn="0" w:noHBand="0" w:noVBand="1"/>
      </w:tblPr>
      <w:tblGrid>
        <w:gridCol w:w="4455"/>
        <w:gridCol w:w="4456"/>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Vidroporto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2ª</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R$ 200.000.000,00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200.000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Garantia Real de Alienação Fiduciária de Quotas, Alienação Fiduciária de Imóveis e Cessão Fiduciária de Direitos Creditórios, com Garantia Fidejussória Adicional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01/10/2018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01/04/2024</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DI + 2,60%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tabs>
                <w:tab w:val="left" w:pos="709"/>
              </w:tabs>
              <w:suppressAutoHyphens/>
              <w:spacing w:line="300" w:lineRule="exact"/>
              <w:jc w:val="both"/>
              <w:rPr>
                <w:rFonts w:ascii="Arial" w:hAnsi="Arial" w:cs="Arial"/>
                <w:sz w:val="22"/>
                <w:szCs w:val="22"/>
              </w:rPr>
            </w:pPr>
            <w:r>
              <w:rPr>
                <w:rFonts w:ascii="Arial" w:hAnsi="Arial" w:cs="Arial"/>
                <w:sz w:val="22"/>
                <w:szCs w:val="22"/>
              </w:rPr>
              <w:t>Não houve</w:t>
            </w:r>
          </w:p>
        </w:tc>
      </w:tr>
    </w:tbl>
    <w:p>
      <w:pPr>
        <w:tabs>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5" w:name="_DV_M237"/>
      <w:bookmarkEnd w:id="95"/>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R$15.000,00 (quinze mil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dos anos seguintes no dia 15 do mês subsequente à data de pagamento da primeira parcela. A primeira parcela será devida ainda que a operação não seja integralizada, a título de estruturação e implantação.</w:t>
      </w:r>
    </w:p>
    <w:p>
      <w:pPr>
        <w:pStyle w:val="PargrafodaLista"/>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(“Despesas do Agente Fiduciário”).</w:t>
      </w:r>
    </w:p>
    <w:p>
      <w:pPr>
        <w:keepNext/>
        <w:keepLines/>
        <w:spacing w:line="300" w:lineRule="exact"/>
        <w:jc w:val="both"/>
        <w:rPr>
          <w:rFonts w:ascii="Arial" w:hAnsi="Arial" w:cs="Arial"/>
          <w:sz w:val="22"/>
          <w:szCs w:val="22"/>
        </w:rPr>
      </w:pPr>
    </w:p>
    <w:p>
      <w:pPr>
        <w:keepNext/>
        <w:keepLines/>
        <w:numPr>
          <w:ilvl w:val="3"/>
          <w:numId w:val="3"/>
        </w:numPr>
        <w:spacing w:line="300" w:lineRule="exact"/>
        <w:ind w:left="0" w:firstLine="0"/>
        <w:jc w:val="both"/>
        <w:rPr>
          <w:rFonts w:ascii="Arial" w:hAnsi="Arial" w:cs="Arial"/>
          <w:sz w:val="22"/>
          <w:szCs w:val="22"/>
        </w:rPr>
      </w:pPr>
      <w:r>
        <w:rPr>
          <w:rFonts w:ascii="Arial" w:hAnsi="Arial" w:cs="Arial"/>
          <w:sz w:val="22"/>
          <w:szCs w:val="22"/>
        </w:rPr>
        <w:t>As Despesas do Agente Fiduciário deverão ser pagas no prazo de 5 (cinco) Dias Úteis após a entrega da fatura correspondente, pelo Agente Fiduciário à Emissora.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DV_M276"/>
      <w:bookmarkEnd w:id="96"/>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declaração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97"/>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verificar 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8" w:name="_Ref264238347"/>
      <w:r>
        <w:rPr>
          <w:rFonts w:ascii="Arial" w:hAnsi="Arial" w:cs="Arial"/>
          <w:b/>
          <w:w w:val="0"/>
          <w:sz w:val="22"/>
          <w:szCs w:val="22"/>
        </w:rPr>
        <w:t>DA ASSEMBLEIA GERAL DE DEBENTURISTAS</w:t>
      </w:r>
      <w:bookmarkStart w:id="99" w:name="_DV_C607"/>
      <w:bookmarkEnd w:id="9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9"/>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00" w:name="_DV_M375"/>
      <w:bookmarkEnd w:id="100"/>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1" w:name="_DV_M376"/>
      <w:bookmarkEnd w:id="101"/>
      <w:r>
        <w:rPr>
          <w:rFonts w:ascii="Arial" w:eastAsia="Arial Unicode MS" w:hAnsi="Arial" w:cs="Arial"/>
          <w:w w:val="0"/>
          <w:sz w:val="22"/>
          <w:szCs w:val="22"/>
        </w:rPr>
        <w:t xml:space="preserve"> pelo Agente Fiduciário</w:t>
      </w:r>
      <w:bookmarkStart w:id="102" w:name="_DV_C615"/>
      <w:r>
        <w:rPr>
          <w:rFonts w:ascii="Arial" w:eastAsia="Arial Unicode MS" w:hAnsi="Arial" w:cs="Arial"/>
          <w:w w:val="0"/>
          <w:sz w:val="22"/>
          <w:szCs w:val="22"/>
        </w:rPr>
        <w:t xml:space="preserve">; </w:t>
      </w:r>
      <w:bookmarkStart w:id="103" w:name="_DV_M377"/>
      <w:bookmarkEnd w:id="102"/>
      <w:bookmarkEnd w:id="103"/>
      <w:r>
        <w:rPr>
          <w:rFonts w:ascii="Arial" w:eastAsia="Arial Unicode MS" w:hAnsi="Arial" w:cs="Arial"/>
          <w:w w:val="0"/>
          <w:sz w:val="22"/>
          <w:szCs w:val="22"/>
        </w:rPr>
        <w:t>(ii) pela Emissora</w:t>
      </w:r>
      <w:bookmarkStart w:id="104" w:name="_DV_M378"/>
      <w:bookmarkEnd w:id="10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5" w:name="_DV_C619"/>
      <w:r>
        <w:rPr>
          <w:rFonts w:ascii="Arial" w:eastAsia="Arial Unicode MS" w:hAnsi="Arial" w:cs="Arial"/>
          <w:w w:val="0"/>
          <w:sz w:val="22"/>
          <w:szCs w:val="22"/>
        </w:rPr>
        <w:t>; ou</w:t>
      </w:r>
      <w:bookmarkStart w:id="106" w:name="_DV_M379"/>
      <w:bookmarkStart w:id="107" w:name="_DV_M380"/>
      <w:bookmarkEnd w:id="105"/>
      <w:bookmarkEnd w:id="106"/>
      <w:bookmarkEnd w:id="107"/>
      <w:r>
        <w:rPr>
          <w:rFonts w:ascii="Arial" w:eastAsia="Arial Unicode MS" w:hAnsi="Arial" w:cs="Arial"/>
          <w:w w:val="0"/>
          <w:sz w:val="22"/>
          <w:szCs w:val="22"/>
        </w:rPr>
        <w:t xml:space="preserve"> (iv) pela CVM.</w:t>
      </w:r>
      <w:bookmarkStart w:id="108" w:name="_DV_M382"/>
      <w:bookmarkEnd w:id="108"/>
    </w:p>
    <w:p>
      <w:pPr>
        <w:pStyle w:val="PargrafodaLista"/>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corridos,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corridos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 salvo quando expressamente convocado, hipótese em que será obrigatória.</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9" w:name="_DV_M384"/>
      <w:bookmarkEnd w:id="10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 salvo nas hipóteses do item 8.11 abaixo.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0" w:name="_DV_M394"/>
      <w:bookmarkEnd w:id="110"/>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11" w:name="_DV_C328"/>
      <w:r>
        <w:rPr>
          <w:rFonts w:ascii="Arial" w:eastAsia="Arial Unicode MS" w:hAnsi="Arial" w:cs="Arial"/>
          <w:szCs w:val="22"/>
        </w:rPr>
        <w:t>, bem como está devidamente autorizada a desempenhar as atividades descritas em seu objeto socia</w:t>
      </w:r>
      <w:bookmarkEnd w:id="111"/>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2" w:name="_DV_M398"/>
      <w:bookmarkStart w:id="113" w:name="_DV_M400"/>
      <w:bookmarkStart w:id="114" w:name="_DV_M401"/>
      <w:bookmarkEnd w:id="112"/>
      <w:bookmarkEnd w:id="113"/>
      <w:bookmarkEnd w:id="114"/>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da Escritura de Emissão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5" w:name="_DV_M402"/>
      <w:bookmarkStart w:id="116" w:name="_DV_M403"/>
      <w:bookmarkStart w:id="117" w:name="_DV_M404"/>
      <w:bookmarkStart w:id="118" w:name="_DV_M405"/>
      <w:bookmarkEnd w:id="115"/>
      <w:bookmarkEnd w:id="116"/>
      <w:bookmarkEnd w:id="117"/>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9" w:name="_DV_M409"/>
      <w:bookmarkEnd w:id="119"/>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exceto por aqueles questionados de boa fé nas esferas administrativa e/ou judicial, e desde que tal questionamento tenha efeito suspensivo, se aplicável</w:t>
      </w:r>
      <w:r>
        <w:rPr>
          <w:rFonts w:ascii="Arial" w:eastAsia="Arial Unicode MS" w:hAnsi="Arial" w:cs="Arial"/>
          <w:szCs w:val="22"/>
        </w:rPr>
        <w:t xml:space="preserve">;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 celebração desta Escritura de Emissão, a prestação da Garantia Fidejussória e o cumprimento das obrigações aqui previstas não infringem qualquer disposição legal, 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pPr>
        <w:pStyle w:val="PargrafodaLista"/>
        <w:spacing w:line="300" w:lineRule="exact"/>
        <w:rPr>
          <w:rFonts w:ascii="Arial" w:hAnsi="Arial" w:cs="Arial"/>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pPr>
        <w:pStyle w:val="PargrafodaLista"/>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PargrafodaLista"/>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0" w:name="_DV_M165"/>
      <w:bookmarkEnd w:id="120"/>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1" w:name="_DV_M166"/>
      <w:bookmarkEnd w:id="121"/>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2" w:name="_DV_M167"/>
      <w:bookmarkEnd w:id="122"/>
    </w:p>
    <w:p>
      <w:pPr>
        <w:spacing w:line="300" w:lineRule="exact"/>
        <w:rPr>
          <w:rFonts w:ascii="Arial" w:hAnsi="Arial" w:cs="Arial"/>
          <w:b/>
          <w:snapToGrid w:val="0"/>
          <w:sz w:val="22"/>
          <w:szCs w:val="22"/>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8" w:name="_DV_M174"/>
      <w:bookmarkEnd w:id="128"/>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6"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7"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pPr>
        <w:pStyle w:val="p0"/>
        <w:suppressAutoHyphens/>
        <w:spacing w:line="300" w:lineRule="exact"/>
        <w:rPr>
          <w:rFonts w:ascii="Arial" w:hAnsi="Arial" w:cs="Arial"/>
          <w:szCs w:val="22"/>
        </w:rPr>
      </w:pPr>
      <w:r>
        <w:rPr>
          <w:rFonts w:ascii="Arial" w:hAnsi="Arial" w:cs="Arial"/>
          <w:szCs w:val="22"/>
        </w:rPr>
        <w:t>Tel: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8" w:history="1">
        <w:r>
          <w:rPr>
            <w:rStyle w:val="Hyperlink"/>
            <w:rFonts w:ascii="Arial" w:hAnsi="Arial" w:cs="Arial"/>
            <w:bCs/>
            <w:sz w:val="22"/>
            <w:szCs w:val="22"/>
          </w:rPr>
          <w:t>valores.mobiliarios@b3.com.br</w:t>
        </w:r>
      </w:hyperlink>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9" w:name="_DV_M182"/>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30" w:name="_DV_M183"/>
      <w:bookmarkEnd w:id="130"/>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1" w:name="_DV_M413"/>
      <w:bookmarkEnd w:id="131"/>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2" w:name="_DV_M416"/>
      <w:bookmarkEnd w:id="132"/>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SP, [</w:t>
      </w:r>
      <w:r>
        <w:rPr>
          <w:rFonts w:ascii="Arial" w:eastAsia="Arial Unicode MS" w:hAnsi="Arial" w:cs="Arial"/>
          <w:szCs w:val="22"/>
        </w:rPr>
        <w:sym w:font="Symbol" w:char="F0B7"/>
      </w:r>
      <w:r>
        <w:rPr>
          <w:rFonts w:ascii="Arial" w:eastAsia="Arial Unicode MS" w:hAnsi="Arial" w:cs="Arial"/>
          <w:szCs w:val="22"/>
        </w:rPr>
        <w:t>] de dezembro de 2019.</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headerReference w:type="even" r:id="rId19"/>
          <w:headerReference w:type="default" r:id="rId20"/>
          <w:footerReference w:type="even" r:id="rId21"/>
          <w:footerReference w:type="default" r:id="rId22"/>
          <w:headerReference w:type="first" r:id="rId23"/>
          <w:footerReference w:type="first" r:id="rId24"/>
          <w:pgSz w:w="12242" w:h="15842" w:code="1"/>
          <w:pgMar w:top="1417" w:right="1610" w:bottom="1417" w:left="1701" w:header="720" w:footer="720" w:gutter="0"/>
          <w:cols w:space="708"/>
          <w:titlePg/>
          <w:docGrid w:linePitch="360"/>
        </w:sectPr>
      </w:pPr>
      <w:bookmarkStart w:id="133"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bookmarkEnd w:id="133"/>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r>
        <w:rPr>
          <w:rFonts w:ascii="Arial" w:hAnsi="Arial" w:cs="Arial"/>
          <w:b/>
          <w:sz w:val="22"/>
          <w:szCs w:val="22"/>
          <w:u w:val="single"/>
        </w:rPr>
        <w:t>ANEXO I</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i/>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w:t>
      </w:r>
      <w:r>
        <w:rPr>
          <w:rFonts w:ascii="Arial" w:hAnsi="Arial" w:cs="Arial"/>
          <w:sz w:val="22"/>
          <w:szCs w:val="22"/>
        </w:rPr>
        <w:sym w:font="Symbol" w:char="F0B7"/>
      </w:r>
      <w:r>
        <w:rPr>
          <w:rFonts w:ascii="Arial" w:hAnsi="Arial" w:cs="Arial"/>
          <w:sz w:val="22"/>
          <w:szCs w:val="22"/>
        </w:rPr>
        <w:t>]</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dezembro de 2019,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sob o nº [</w:t>
      </w:r>
      <w:r>
        <w:rPr>
          <w:rFonts w:ascii="Arial" w:hAnsi="Arial" w:cs="Arial"/>
          <w:sz w:val="22"/>
          <w:szCs w:val="22"/>
        </w:rPr>
        <w:sym w:font="Symbol" w:char="F0B7"/>
      </w:r>
      <w:r>
        <w:rPr>
          <w:rFonts w:ascii="Arial" w:hAnsi="Arial" w:cs="Arial"/>
          <w:sz w:val="22"/>
          <w:szCs w:val="22"/>
        </w:rPr>
        <w:t>];</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verificou-se o registro do Instrumento de Garantia, nos termos previstos na Escritura de Emissão e no respectivo Instrumento de Garantia;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pPr>
        <w:rPr>
          <w:rFonts w:ascii="Arial" w:hAnsi="Arial" w:cs="Arial"/>
          <w:sz w:val="22"/>
          <w:szCs w:val="22"/>
        </w:rPr>
      </w:pPr>
    </w:p>
    <w:p>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será protocolado para registro nos competentes Cartórios de Registro de Títulos e Documentos (i) da Cidade de São Paulo, Estado de São Paulo; e (ii) da Cidade de Porto Ferreira, Estado de São Paulo, no prazo de 2 (dois) Dias Úteis contados da respectiva assinatura. A Emissora compromete-se a enviar ao Agente Fiduciário 1 (uma) via original deste Aditamento à Escritura, devidamente registrados em tais cartórios, em até 5 (cinco)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pPr>
        <w:rPr>
          <w:rFonts w:ascii="Arial" w:hAnsi="Arial" w:cs="Arial"/>
          <w:sz w:val="22"/>
          <w:szCs w:val="22"/>
        </w:rPr>
      </w:pPr>
    </w:p>
    <w:p>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pPr>
        <w:rPr>
          <w:rFonts w:ascii="Arial" w:hAnsi="Arial" w:cs="Arial"/>
          <w:sz w:val="22"/>
          <w:szCs w:val="22"/>
        </w:rPr>
      </w:pPr>
    </w:p>
    <w:p>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pPr>
        <w:spacing w:line="300" w:lineRule="exact"/>
        <w:rPr>
          <w:rFonts w:ascii="Arial" w:hAnsi="Arial" w:cs="Arial"/>
          <w:w w:val="0"/>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pPr>
        <w:rPr>
          <w:rFonts w:ascii="Arial" w:hAnsi="Arial" w:cs="Arial"/>
          <w:sz w:val="22"/>
          <w:szCs w:val="22"/>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Arial" w:eastAsia="Arial Unicode MS" w:hAnsi="Arial" w:cs="Arial"/>
          <w:szCs w:val="22"/>
        </w:rPr>
        <w:sym w:font="Symbol" w:char="F0B7"/>
      </w:r>
      <w:r>
        <w:rPr>
          <w:rFonts w:ascii="Arial" w:eastAsia="Arial Unicode MS" w:hAnsi="Arial" w:cs="Arial"/>
          <w:szCs w:val="22"/>
        </w:rPr>
        <w:t>]</w:t>
      </w:r>
      <w:r>
        <w:rPr>
          <w:rFonts w:ascii="Arial" w:hAnsi="Arial" w:cs="Arial"/>
          <w:szCs w:val="22"/>
        </w:rPr>
        <w:t xml:space="preserve"> de [</w:t>
      </w:r>
      <w:r>
        <w:rPr>
          <w:rFonts w:ascii="Arial" w:hAnsi="Arial" w:cs="Arial"/>
          <w:szCs w:val="22"/>
        </w:rPr>
        <w:sym w:font="Symbol" w:char="F0B7"/>
      </w:r>
      <w:r>
        <w:rPr>
          <w:rFonts w:ascii="Arial" w:hAnsi="Arial" w:cs="Arial"/>
          <w:szCs w:val="22"/>
        </w:rPr>
        <w:t>] de 20[</w:t>
      </w:r>
      <w:r>
        <w:rPr>
          <w:rFonts w:ascii="Arial" w:hAnsi="Arial" w:cs="Arial"/>
          <w:szCs w:val="22"/>
        </w:rPr>
        <w:sym w:font="Symbol" w:char="F0B7"/>
      </w:r>
      <w:r>
        <w:rPr>
          <w:rFonts w:ascii="Arial" w:hAnsi="Arial" w:cs="Arial"/>
          <w:szCs w:val="22"/>
        </w:rPr>
        <w:t>]</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pPr>
        <w:pStyle w:val="p0"/>
        <w:spacing w:line="300" w:lineRule="exact"/>
        <w:jc w:val="center"/>
        <w:rPr>
          <w:rFonts w:ascii="Arial" w:eastAsia="Arial Unicode MS" w:hAnsi="Arial" w:cs="Arial"/>
          <w:szCs w:val="22"/>
        </w:rPr>
      </w:pP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center"/>
        <w:rPr>
          <w:rFonts w:ascii="Arial" w:hAnsi="Arial" w:cs="Arial"/>
          <w:b/>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rPr>
      </w:pPr>
      <w:r>
        <w:rPr>
          <w:rFonts w:ascii="Arial" w:hAnsi="Arial" w:cs="Arial"/>
          <w:b/>
          <w:sz w:val="22"/>
          <w:szCs w:val="22"/>
        </w:rPr>
        <w:t>ANEXO 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ESCRITURA DE EMISSÃO CONSOLIDADA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pPr>
        <w:spacing w:line="300" w:lineRule="exact"/>
        <w:jc w:val="center"/>
        <w:rPr>
          <w:rFonts w:ascii="Arial" w:hAnsi="Arial" w:cs="Arial"/>
          <w:b/>
          <w:sz w:val="22"/>
          <w:szCs w:val="22"/>
        </w:rPr>
      </w:pPr>
    </w:p>
    <w:sectPr>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Rodap"/>
    </w:pPr>
  </w:p>
  <w:p>
    <w:r>
      <w:rPr>
        <w:sz w:val="16"/>
      </w:rPr>
      <w:fldChar w:fldCharType="begin"/>
    </w:r>
    <w:r>
      <w:rPr>
        <w:sz w:val="16"/>
      </w:rPr>
      <w:instrText xml:space="preserve"> DOCVARIABLE #DNDocID \* MERGEFORMAT </w:instrText>
    </w:r>
    <w:r>
      <w:rPr>
        <w:sz w:val="16"/>
      </w:rPr>
      <w:fldChar w:fldCharType="separate"/>
    </w:r>
    <w:r>
      <w:rPr>
        <w:sz w:val="16"/>
      </w:rPr>
      <w:t>AMECURRENT 705634859.5 17-abr-13 12:07</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- 35468921v5 - 10842002.452566</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JUR_SP - 35468921v6 - 10842002.452566</w:t>
    </w:r>
    <w:r>
      <w:rPr>
        <w:rFonts w:ascii="Verdana" w:hAnsi="Verdana"/>
        <w:color w:val="FFFFFF" w:themeColor="background1"/>
        <w:sz w:val="14"/>
      </w:rPr>
      <w:fldChar w:fldCharType="end"/>
    </w:r>
    <w:r>
      <w:rPr>
        <w:color w:val="FFFFFF" w:themeColor="background1"/>
        <w:sz w:val="16"/>
      </w:rPr>
      <w:fldChar w:fldCharType="begin"/>
    </w:r>
    <w:r>
      <w:rPr>
        <w:color w:val="FFFFFF" w:themeColor="background1"/>
        <w:sz w:val="16"/>
      </w:rPr>
      <w:instrText xml:space="preserve"> DOCVARIABLE #DNDocID \* MERGEFORMAT </w:instrText>
    </w:r>
    <w:r>
      <w:rPr>
        <w:color w:val="FFFFFF" w:themeColor="background1"/>
        <w:sz w:val="16"/>
      </w:rPr>
      <w:fldChar w:fldCharType="separate"/>
    </w:r>
    <w:r>
      <w:rPr>
        <w:color w:val="FFFFFF" w:themeColor="background1"/>
        <w:sz w:val="16"/>
      </w:rPr>
      <w:t>AMECURRENT 705634859.5 17-abr-13 12:07</w:t>
    </w:r>
    <w:r>
      <w:rPr>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bCs/>
      </w:rPr>
    </w:pPr>
    <w:r>
      <w:rPr>
        <w:rFonts w:ascii="Arial" w:hAnsi="Arial" w:cs="Arial"/>
        <w:b/>
        <w:bCs/>
      </w:rPr>
      <w:t>M I N U T A</w:t>
    </w:r>
  </w:p>
  <w:p>
    <w:pPr>
      <w:pStyle w:val="Cabealho"/>
      <w:jc w:val="right"/>
      <w:rPr>
        <w:rFonts w:ascii="Arial" w:hAnsi="Arial" w:cs="Arial"/>
        <w:bCs/>
      </w:rPr>
    </w:pPr>
    <w:r>
      <w:rPr>
        <w:rFonts w:ascii="Arial" w:hAnsi="Arial" w:cs="Arial"/>
        <w:bCs/>
      </w:rPr>
      <w:t>19.12.2019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EF267C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8720F24">
      <w:start w:val="1"/>
      <w:numFmt w:val="lowerLetter"/>
      <w:lvlText w:val="(%1)"/>
      <w:lvlJc w:val="left"/>
      <w:pPr>
        <w:ind w:left="720" w:hanging="360"/>
      </w:pPr>
      <w:rPr>
        <w:rFonts w:hint="default"/>
        <w:sz w:val="22"/>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06227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7406881A">
      <w:start w:val="1"/>
      <w:numFmt w:val="lowerLetter"/>
      <w:lvlText w:val="(%1)"/>
      <w:lvlJc w:val="left"/>
      <w:pPr>
        <w:tabs>
          <w:tab w:val="num" w:pos="1080"/>
        </w:tabs>
        <w:ind w:left="1080" w:hanging="360"/>
      </w:pPr>
      <w:rPr>
        <w:rFonts w:cs="Times New Roman" w:hint="default"/>
        <w:b w:val="0"/>
        <w:spacing w:val="0"/>
        <w:sz w:val="20"/>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27D44B6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268C12BE">
      <w:start w:val="1"/>
      <w:numFmt w:val="lowerLetter"/>
      <w:lvlText w:val="(%1)"/>
      <w:lvlJc w:val="left"/>
      <w:pPr>
        <w:ind w:left="1920" w:hanging="360"/>
      </w:pPr>
      <w:rPr>
        <w:rFonts w:cs="Times New Roman"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CEB06A">
      <w:start w:val="1"/>
      <w:numFmt w:val="lowerRoman"/>
      <w:lvlText w:val="(%1)"/>
      <w:lvlJc w:val="left"/>
      <w:pPr>
        <w:ind w:left="720" w:hanging="360"/>
      </w:pPr>
      <w:rPr>
        <w:rFonts w:hint="default"/>
        <w:b w:val="0"/>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C4EAB7A2">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A7805B16">
      <w:start w:val="1"/>
      <w:numFmt w:val="lowerRoman"/>
      <w:lvlText w:val="(%1)"/>
      <w:lvlJc w:val="left"/>
      <w:pPr>
        <w:ind w:left="720" w:hanging="360"/>
      </w:pPr>
      <w:rPr>
        <w:rFonts w:eastAsia="Times New Roman"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E67A5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B280F53"/>
    <w:multiLevelType w:val="hybridMultilevel"/>
    <w:tmpl w:val="565426DE"/>
    <w:lvl w:ilvl="0" w:tplc="76EEFAD6">
      <w:start w:val="1"/>
      <w:numFmt w:val="lowerLetter"/>
      <w:lvlText w:val="(%1)"/>
      <w:lvlJc w:val="left"/>
      <w:pPr>
        <w:ind w:left="704" w:hanging="420"/>
      </w:pPr>
      <w:rPr>
        <w:rFonts w:hint="default"/>
      </w:rPr>
    </w:lvl>
    <w:lvl w:ilvl="1" w:tplc="43AC7072">
      <w:start w:val="1"/>
      <w:numFmt w:val="lowerRoman"/>
      <w:lvlText w:val="%2."/>
      <w:lvlJc w:val="center"/>
      <w:pPr>
        <w:ind w:left="1364" w:hanging="360"/>
      </w:pPr>
      <w:rPr>
        <w:rFonts w:hint="default"/>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4FDD16C4"/>
    <w:multiLevelType w:val="hybridMultilevel"/>
    <w:tmpl w:val="6D1C391E"/>
    <w:lvl w:ilvl="0" w:tplc="A0E29AE6">
      <w:start w:val="1"/>
      <w:numFmt w:val="lowerRoman"/>
      <w:lvlText w:val="(%1)"/>
      <w:lvlJc w:val="left"/>
      <w:pPr>
        <w:tabs>
          <w:tab w:val="num" w:pos="1080"/>
        </w:tabs>
        <w:ind w:left="1080" w:hanging="360"/>
      </w:pPr>
      <w:rPr>
        <w:rFonts w:eastAsia="Times New Roman" w:hint="default"/>
        <w:b w:val="0"/>
        <w:spacing w:val="0"/>
        <w:w w:val="100"/>
        <w:sz w:val="22"/>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E7545B"/>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971C1F"/>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C4916D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6D541C"/>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4638EA"/>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390D2F"/>
    <w:multiLevelType w:val="hybridMultilevel"/>
    <w:tmpl w:val="677A467E"/>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D3D4E650">
      <w:start w:val="1"/>
      <w:numFmt w:val="lowerRoman"/>
      <w:lvlText w:val="(%2)"/>
      <w:lvlJc w:val="left"/>
      <w:pPr>
        <w:tabs>
          <w:tab w:val="num" w:pos="1440"/>
        </w:tabs>
        <w:ind w:left="1440" w:hanging="360"/>
      </w:pPr>
      <w:rPr>
        <w:rFonts w:hint="default"/>
        <w:b w:val="0"/>
        <w:spacing w:val="0"/>
      </w:r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E155EC0"/>
    <w:multiLevelType w:val="hybridMultilevel"/>
    <w:tmpl w:val="78FE131C"/>
    <w:lvl w:ilvl="0" w:tplc="D3D4E650">
      <w:start w:val="1"/>
      <w:numFmt w:val="lowerRoman"/>
      <w:lvlText w:val="(%1)"/>
      <w:lvlJc w:val="left"/>
      <w:pPr>
        <w:ind w:left="720" w:hanging="360"/>
      </w:pPr>
      <w:rPr>
        <w:rFonts w:hint="default"/>
        <w:b w:val="0"/>
        <w:sz w:val="20"/>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CC568E"/>
    <w:multiLevelType w:val="hybridMultilevel"/>
    <w:tmpl w:val="C04223D6"/>
    <w:lvl w:ilvl="0" w:tplc="144CFDEC">
      <w:start w:val="1"/>
      <w:numFmt w:val="decimal"/>
      <w:lvlText w:val="%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0A058E"/>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C44C98"/>
    <w:multiLevelType w:val="hybridMultilevel"/>
    <w:tmpl w:val="3D28A560"/>
    <w:lvl w:ilvl="0" w:tplc="FD5E87E0">
      <w:start w:val="1"/>
      <w:numFmt w:val="lowerRoman"/>
      <w:lvlText w:val="(%1)"/>
      <w:lvlJc w:val="left"/>
      <w:pPr>
        <w:ind w:left="1920" w:hanging="360"/>
      </w:pPr>
      <w:rPr>
        <w:rFonts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4" w15:restartNumberingAfterBreak="0">
    <w:nsid w:val="73863DAB"/>
    <w:multiLevelType w:val="hybridMultilevel"/>
    <w:tmpl w:val="96D25A8A"/>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FFFFFFFF">
      <w:start w:val="1"/>
      <w:numFmt w:val="lowerRoman"/>
      <w:lvlText w:val="%2."/>
      <w:lvlJc w:val="right"/>
      <w:pPr>
        <w:tabs>
          <w:tab w:val="num" w:pos="1440"/>
        </w:tabs>
        <w:ind w:left="1440" w:hanging="360"/>
      </w:p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C2B4BF9"/>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abstractNum w:abstractNumId="49"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5"/>
  </w:num>
  <w:num w:numId="4">
    <w:abstractNumId w:val="3"/>
  </w:num>
  <w:num w:numId="5">
    <w:abstractNumId w:val="43"/>
  </w:num>
  <w:num w:numId="6">
    <w:abstractNumId w:val="24"/>
  </w:num>
  <w:num w:numId="7">
    <w:abstractNumId w:val="6"/>
  </w:num>
  <w:num w:numId="8">
    <w:abstractNumId w:val="47"/>
  </w:num>
  <w:num w:numId="9">
    <w:abstractNumId w:val="38"/>
  </w:num>
  <w:num w:numId="10">
    <w:abstractNumId w:val="9"/>
  </w:num>
  <w:num w:numId="11">
    <w:abstractNumId w:val="41"/>
  </w:num>
  <w:num w:numId="12">
    <w:abstractNumId w:val="27"/>
  </w:num>
  <w:num w:numId="13">
    <w:abstractNumId w:val="1"/>
  </w:num>
  <w:num w:numId="14">
    <w:abstractNumId w:val="15"/>
  </w:num>
  <w:num w:numId="15">
    <w:abstractNumId w:val="32"/>
  </w:num>
  <w:num w:numId="16">
    <w:abstractNumId w:val="13"/>
  </w:num>
  <w:num w:numId="17">
    <w:abstractNumId w:val="18"/>
  </w:num>
  <w:num w:numId="18">
    <w:abstractNumId w:val="22"/>
  </w:num>
  <w:num w:numId="19">
    <w:abstractNumId w:val="42"/>
  </w:num>
  <w:num w:numId="20">
    <w:abstractNumId w:val="49"/>
  </w:num>
  <w:num w:numId="21">
    <w:abstractNumId w:val="46"/>
  </w:num>
  <w:num w:numId="22">
    <w:abstractNumId w:val="44"/>
  </w:num>
  <w:num w:numId="23">
    <w:abstractNumId w:val="31"/>
  </w:num>
  <w:num w:numId="24">
    <w:abstractNumId w:val="23"/>
  </w:num>
  <w:num w:numId="25">
    <w:abstractNumId w:val="25"/>
  </w:num>
  <w:num w:numId="26">
    <w:abstractNumId w:val="19"/>
  </w:num>
  <w:num w:numId="27">
    <w:abstractNumId w:val="33"/>
  </w:num>
  <w:num w:numId="28">
    <w:abstractNumId w:val="7"/>
  </w:num>
  <w:num w:numId="29">
    <w:abstractNumId w:val="8"/>
  </w:num>
  <w:num w:numId="30">
    <w:abstractNumId w:val="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8"/>
  </w:num>
  <w:num w:numId="34">
    <w:abstractNumId w:val="17"/>
  </w:num>
  <w:num w:numId="35">
    <w:abstractNumId w:val="40"/>
  </w:num>
  <w:num w:numId="36">
    <w:abstractNumId w:val="16"/>
  </w:num>
  <w:num w:numId="37">
    <w:abstractNumId w:val="29"/>
  </w:num>
  <w:num w:numId="38">
    <w:abstractNumId w:val="28"/>
  </w:num>
  <w:num w:numId="39">
    <w:abstractNumId w:val="35"/>
  </w:num>
  <w:num w:numId="40">
    <w:abstractNumId w:val="21"/>
  </w:num>
  <w:num w:numId="41">
    <w:abstractNumId w:val="26"/>
  </w:num>
  <w:num w:numId="42">
    <w:abstractNumId w:val="39"/>
  </w:num>
  <w:num w:numId="43">
    <w:abstractNumId w:val="20"/>
  </w:num>
  <w:num w:numId="44">
    <w:abstractNumId w:val="11"/>
  </w:num>
  <w:num w:numId="45">
    <w:abstractNumId w:val="37"/>
  </w:num>
  <w:num w:numId="46">
    <w:abstractNumId w:val="34"/>
  </w:num>
  <w:num w:numId="47">
    <w:abstractNumId w:val="36"/>
  </w:num>
  <w:num w:numId="48">
    <w:abstractNumId w:val="14"/>
  </w:num>
  <w:num w:numId="49">
    <w:abstractNumId w:val="12"/>
  </w:num>
  <w:num w:numId="5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5634859.5 17-abr-13 12:07"/>
    <w:docVar w:name="#DNDocMatterNo" w:val="0"/>
    <w:docVar w:name="#DNDocVer" w:val="-1"/>
    <w:docVar w:name="#DNFOpts" w:val="optFooter0"/>
    <w:docVar w:name="#DNLine2Chk" w:val="0"/>
    <w:docVar w:name="#DNPlacement" w:val="optAllPages"/>
    <w:docVar w:name="didIDFlag" w:val="17/04/2013 12:07:58"/>
  </w:docVar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69B194A0-FAC0-4B54-BBF3-451BC7A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1009401">
      <w:bodyDiv w:val="1"/>
      <w:marLeft w:val="0"/>
      <w:marRight w:val="0"/>
      <w:marTop w:val="0"/>
      <w:marBottom w:val="0"/>
      <w:divBdr>
        <w:top w:val="none" w:sz="0" w:space="0" w:color="auto"/>
        <w:left w:val="none" w:sz="0" w:space="0" w:color="auto"/>
        <w:bottom w:val="none" w:sz="0" w:space="0" w:color="auto"/>
        <w:right w:val="none" w:sz="0" w:space="0" w:color="auto"/>
      </w:divBdr>
      <w:divsChild>
        <w:div w:id="1992173077">
          <w:marLeft w:val="0"/>
          <w:marRight w:val="0"/>
          <w:marTop w:val="0"/>
          <w:marBottom w:val="0"/>
          <w:divBdr>
            <w:top w:val="none" w:sz="0" w:space="0" w:color="auto"/>
            <w:left w:val="none" w:sz="0" w:space="0" w:color="auto"/>
            <w:bottom w:val="none" w:sz="0" w:space="0" w:color="auto"/>
            <w:right w:val="none" w:sz="0" w:space="0" w:color="auto"/>
          </w:divBdr>
          <w:divsChild>
            <w:div w:id="1325619863">
              <w:marLeft w:val="0"/>
              <w:marRight w:val="0"/>
              <w:marTop w:val="0"/>
              <w:marBottom w:val="0"/>
              <w:divBdr>
                <w:top w:val="none" w:sz="0" w:space="0" w:color="auto"/>
                <w:left w:val="none" w:sz="0" w:space="0" w:color="auto"/>
                <w:bottom w:val="none" w:sz="0" w:space="0" w:color="auto"/>
                <w:right w:val="none" w:sz="0" w:space="0" w:color="auto"/>
              </w:divBdr>
              <w:divsChild>
                <w:div w:id="52699303">
                  <w:marLeft w:val="0"/>
                  <w:marRight w:val="0"/>
                  <w:marTop w:val="0"/>
                  <w:marBottom w:val="0"/>
                  <w:divBdr>
                    <w:top w:val="none" w:sz="0" w:space="0" w:color="auto"/>
                    <w:left w:val="none" w:sz="0" w:space="0" w:color="auto"/>
                    <w:bottom w:val="none" w:sz="0" w:space="0" w:color="auto"/>
                    <w:right w:val="none" w:sz="0" w:space="0" w:color="auto"/>
                  </w:divBdr>
                  <w:divsChild>
                    <w:div w:id="1238634777">
                      <w:marLeft w:val="0"/>
                      <w:marRight w:val="0"/>
                      <w:marTop w:val="0"/>
                      <w:marBottom w:val="0"/>
                      <w:divBdr>
                        <w:top w:val="none" w:sz="0" w:space="0" w:color="auto"/>
                        <w:left w:val="none" w:sz="0" w:space="0" w:color="auto"/>
                        <w:bottom w:val="none" w:sz="0" w:space="0" w:color="auto"/>
                        <w:right w:val="none" w:sz="0" w:space="0" w:color="auto"/>
                      </w:divBdr>
                    </w:div>
                  </w:divsChild>
                </w:div>
                <w:div w:id="74673212">
                  <w:marLeft w:val="0"/>
                  <w:marRight w:val="0"/>
                  <w:marTop w:val="0"/>
                  <w:marBottom w:val="0"/>
                  <w:divBdr>
                    <w:top w:val="none" w:sz="0" w:space="0" w:color="auto"/>
                    <w:left w:val="none" w:sz="0" w:space="0" w:color="auto"/>
                    <w:bottom w:val="none" w:sz="0" w:space="0" w:color="auto"/>
                    <w:right w:val="none" w:sz="0" w:space="0" w:color="auto"/>
                  </w:divBdr>
                  <w:divsChild>
                    <w:div w:id="521818231">
                      <w:marLeft w:val="0"/>
                      <w:marRight w:val="0"/>
                      <w:marTop w:val="0"/>
                      <w:marBottom w:val="0"/>
                      <w:divBdr>
                        <w:top w:val="none" w:sz="0" w:space="0" w:color="auto"/>
                        <w:left w:val="none" w:sz="0" w:space="0" w:color="auto"/>
                        <w:bottom w:val="none" w:sz="0" w:space="0" w:color="auto"/>
                        <w:right w:val="none" w:sz="0" w:space="0" w:color="auto"/>
                      </w:divBdr>
                    </w:div>
                  </w:divsChild>
                </w:div>
                <w:div w:id="185993854">
                  <w:marLeft w:val="0"/>
                  <w:marRight w:val="0"/>
                  <w:marTop w:val="0"/>
                  <w:marBottom w:val="0"/>
                  <w:divBdr>
                    <w:top w:val="none" w:sz="0" w:space="0" w:color="auto"/>
                    <w:left w:val="none" w:sz="0" w:space="0" w:color="auto"/>
                    <w:bottom w:val="none" w:sz="0" w:space="0" w:color="auto"/>
                    <w:right w:val="none" w:sz="0" w:space="0" w:color="auto"/>
                  </w:divBdr>
                  <w:divsChild>
                    <w:div w:id="519468537">
                      <w:marLeft w:val="0"/>
                      <w:marRight w:val="0"/>
                      <w:marTop w:val="0"/>
                      <w:marBottom w:val="0"/>
                      <w:divBdr>
                        <w:top w:val="none" w:sz="0" w:space="0" w:color="auto"/>
                        <w:left w:val="none" w:sz="0" w:space="0" w:color="auto"/>
                        <w:bottom w:val="none" w:sz="0" w:space="0" w:color="auto"/>
                        <w:right w:val="none" w:sz="0" w:space="0" w:color="auto"/>
                      </w:divBdr>
                    </w:div>
                  </w:divsChild>
                </w:div>
                <w:div w:id="604117098">
                  <w:marLeft w:val="0"/>
                  <w:marRight w:val="0"/>
                  <w:marTop w:val="0"/>
                  <w:marBottom w:val="0"/>
                  <w:divBdr>
                    <w:top w:val="none" w:sz="0" w:space="0" w:color="auto"/>
                    <w:left w:val="none" w:sz="0" w:space="0" w:color="auto"/>
                    <w:bottom w:val="none" w:sz="0" w:space="0" w:color="auto"/>
                    <w:right w:val="none" w:sz="0" w:space="0" w:color="auto"/>
                  </w:divBdr>
                  <w:divsChild>
                    <w:div w:id="1200123342">
                      <w:marLeft w:val="0"/>
                      <w:marRight w:val="0"/>
                      <w:marTop w:val="0"/>
                      <w:marBottom w:val="0"/>
                      <w:divBdr>
                        <w:top w:val="none" w:sz="0" w:space="0" w:color="auto"/>
                        <w:left w:val="none" w:sz="0" w:space="0" w:color="auto"/>
                        <w:bottom w:val="none" w:sz="0" w:space="0" w:color="auto"/>
                        <w:right w:val="none" w:sz="0" w:space="0" w:color="auto"/>
                      </w:divBdr>
                    </w:div>
                  </w:divsChild>
                </w:div>
                <w:div w:id="735475049">
                  <w:marLeft w:val="0"/>
                  <w:marRight w:val="0"/>
                  <w:marTop w:val="0"/>
                  <w:marBottom w:val="0"/>
                  <w:divBdr>
                    <w:top w:val="none" w:sz="0" w:space="0" w:color="auto"/>
                    <w:left w:val="none" w:sz="0" w:space="0" w:color="auto"/>
                    <w:bottom w:val="none" w:sz="0" w:space="0" w:color="auto"/>
                    <w:right w:val="none" w:sz="0" w:space="0" w:color="auto"/>
                  </w:divBdr>
                  <w:divsChild>
                    <w:div w:id="842282496">
                      <w:marLeft w:val="0"/>
                      <w:marRight w:val="0"/>
                      <w:marTop w:val="0"/>
                      <w:marBottom w:val="0"/>
                      <w:divBdr>
                        <w:top w:val="none" w:sz="0" w:space="0" w:color="auto"/>
                        <w:left w:val="none" w:sz="0" w:space="0" w:color="auto"/>
                        <w:bottom w:val="none" w:sz="0" w:space="0" w:color="auto"/>
                        <w:right w:val="none" w:sz="0" w:space="0" w:color="auto"/>
                      </w:divBdr>
                    </w:div>
                  </w:divsChild>
                </w:div>
                <w:div w:id="1182007890">
                  <w:marLeft w:val="0"/>
                  <w:marRight w:val="0"/>
                  <w:marTop w:val="0"/>
                  <w:marBottom w:val="0"/>
                  <w:divBdr>
                    <w:top w:val="none" w:sz="0" w:space="0" w:color="auto"/>
                    <w:left w:val="none" w:sz="0" w:space="0" w:color="auto"/>
                    <w:bottom w:val="none" w:sz="0" w:space="0" w:color="auto"/>
                    <w:right w:val="none" w:sz="0" w:space="0" w:color="auto"/>
                  </w:divBdr>
                  <w:divsChild>
                    <w:div w:id="1902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430710003">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84496098">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4301096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mailto:valores.mobiliarios@b3.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escrituracaorf@itau-unibanc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jpg@01D56CB1.54A7C530" TargetMode="External"/><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C682-B89C-4703-BF81-93EB52E6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22774</Words>
  <Characters>122980</Characters>
  <Application>Microsoft Office Word</Application>
  <DocSecurity>0</DocSecurity>
  <Lines>1024</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Levy &amp;Salomão Advogados</Company>
  <LinksUpToDate>false</LinksUpToDate>
  <CharactersWithSpaces>145464</CharactersWithSpaces>
  <SharedDoc>false</SharedDoc>
  <HLinks>
    <vt:vector size="42" baseType="variant">
      <vt:variant>
        <vt:i4>6946910</vt:i4>
      </vt:variant>
      <vt:variant>
        <vt:i4>63</vt:i4>
      </vt:variant>
      <vt:variant>
        <vt:i4>0</vt:i4>
      </vt:variant>
      <vt:variant>
        <vt:i4>5</vt:i4>
      </vt:variant>
      <vt:variant>
        <vt:lpwstr>mailto:valores.mobiliarios@cetip.com.br</vt:lpwstr>
      </vt:variant>
      <vt:variant>
        <vt:lpwstr/>
      </vt:variant>
      <vt:variant>
        <vt:i4>2949190</vt:i4>
      </vt:variant>
      <vt:variant>
        <vt:i4>60</vt:i4>
      </vt:variant>
      <vt:variant>
        <vt:i4>0</vt:i4>
      </vt:variant>
      <vt:variant>
        <vt:i4>5</vt:i4>
      </vt:variant>
      <vt:variant>
        <vt:lpwstr>mailto:claudia.vasconcellos@itau-unibanco.com.br</vt:lpwstr>
      </vt:variant>
      <vt:variant>
        <vt:lpwstr/>
      </vt:variant>
      <vt:variant>
        <vt:i4>2949190</vt:i4>
      </vt:variant>
      <vt:variant>
        <vt:i4>57</vt:i4>
      </vt:variant>
      <vt:variant>
        <vt:i4>0</vt:i4>
      </vt:variant>
      <vt:variant>
        <vt:i4>5</vt:i4>
      </vt:variant>
      <vt:variant>
        <vt:lpwstr>mailto:claudia.vasconcellos@itau-unibanco.com.br</vt:lpwstr>
      </vt:variant>
      <vt:variant>
        <vt:lpwstr/>
      </vt:variant>
      <vt:variant>
        <vt:i4>2949214</vt:i4>
      </vt:variant>
      <vt:variant>
        <vt:i4>54</vt:i4>
      </vt:variant>
      <vt:variant>
        <vt:i4>0</vt:i4>
      </vt:variant>
      <vt:variant>
        <vt:i4>5</vt:i4>
      </vt:variant>
      <vt:variant>
        <vt:lpwstr>mailto:backoffice@pentagonotrustee.com.br</vt:lpwstr>
      </vt:variant>
      <vt:variant>
        <vt:lpwstr/>
      </vt:variant>
      <vt:variant>
        <vt:i4>2293846</vt:i4>
      </vt:variant>
      <vt:variant>
        <vt:i4>51</vt:i4>
      </vt:variant>
      <vt:variant>
        <vt:i4>0</vt:i4>
      </vt:variant>
      <vt:variant>
        <vt:i4>5</vt:i4>
      </vt:variant>
      <vt:variant>
        <vt:lpwstr>mailto:middle@pentagonotrustee.com.br</vt:lpwstr>
      </vt:variant>
      <vt:variant>
        <vt:lpwstr/>
      </vt:variant>
      <vt:variant>
        <vt:i4>4391023</vt:i4>
      </vt:variant>
      <vt:variant>
        <vt:i4>48</vt:i4>
      </vt:variant>
      <vt:variant>
        <vt:i4>0</vt:i4>
      </vt:variant>
      <vt:variant>
        <vt:i4>5</vt:i4>
      </vt:variant>
      <vt:variant>
        <vt:lpwstr>mailto:priscila.huttenlocher@grupoccr.com.br</vt:lpwstr>
      </vt:variant>
      <vt:variant>
        <vt:lpwstr/>
      </vt:variant>
      <vt:variant>
        <vt:i4>6094966</vt:i4>
      </vt:variant>
      <vt:variant>
        <vt:i4>45</vt:i4>
      </vt:variant>
      <vt:variant>
        <vt:i4>0</vt:i4>
      </vt:variant>
      <vt:variant>
        <vt:i4>5</vt:i4>
      </vt:variant>
      <vt:variant>
        <vt:lpwstr>mailto:arthur.piotto@grupoccr.com.br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subject/>
  <dc:creator>tambrosano@pn.com.br</dc:creator>
  <cp:keywords/>
  <dc:description/>
  <cp:lastModifiedBy>Pinheiro Neto Advogados</cp:lastModifiedBy>
  <cp:revision>4</cp:revision>
  <cp:lastPrinted>2019-11-22T12:50:00Z</cp:lastPrinted>
  <dcterms:created xsi:type="dcterms:W3CDTF">2019-12-20T00:19:00Z</dcterms:created>
  <dcterms:modified xsi:type="dcterms:W3CDTF">2019-12-20T00:19:00Z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3" name="RESPONSE_SENDER_NAME">
    <vt:lpwstr>sAAAGYoQX4c3X/IKEAg9x6w+pqKA8Ezz2i1N0MLl8n+X3MA=</vt:lpwstr>
  </property>
  <property fmtid="{D5CDD505-2E9C-101B-9397-08002B2CF9AE}" pid="4" name="EMAIL_OWNER_ADDRESS">
    <vt:lpwstr>4AAAUmLmXdMZevQux4T1+ohDPwwxn6BXh5sZ0Ouesuno47n5dZ99RijSUA==</vt:lpwstr>
  </property>
  <property fmtid="{D5CDD505-2E9C-101B-9397-08002B2CF9AE}" pid="5" name="MAIL_MSG_ID2">
    <vt:lpwstr>bGLdD4eqUFfOtZPY5JQ4q6lNYylKVFlI9+pjWOGVoSZtxM3hK8cyxb6NwdO_x000d_
caOTom4QOQnYWcjnAC/h1q83B1SZzbis+KnnLjpqhZBGjlfU3Z1tme8ryzc=</vt:lpwstr>
  </property>
  <property fmtid="{D5CDD505-2E9C-101B-9397-08002B2CF9AE}" pid="6" name="iManageFooter">
    <vt:lpwstr>JUR_SP - 35468921v6 - 10842002.452566</vt:lpwstr>
  </property>
</Properties>
</file>