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inline>
            <wp:extent cx="980991" cy="567760"/>
            <wp:docPr id="100005" name=""/>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5"/>
                    <a:stretch>
                      <a:fillRect/>
                    </a:stretch>
                  </pic:blipFill>
                  <pic:spPr>
                    <a:xfrm>
                      <a:off x="0" y="0"/>
                      <a:ext cx="980991" cy="567760"/>
                    </a:xfrm>
                    <a:prstGeom prst="rect">
                      <a:avLst/>
                    </a:prstGeom>
                  </pic:spPr>
                </pic:pic>
              </a:graphicData>
            </a:graphic>
          </wp:inline>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Symbol" w:hAnsi="Symbol" w:cs="Arial"/>
          <w:sz w:val="22"/>
          <w:szCs w:val="22"/>
        </w:rPr>
        <w:sym w:font="Symbol" w:char="F0B7"/>
      </w:r>
      <w:r>
        <w:rPr>
          <w:rFonts w:ascii="Arial" w:hAnsi="Arial" w:cs="Arial"/>
          <w:sz w:val="22"/>
          <w:szCs w:val="22"/>
        </w:rPr>
        <w:t>] de janeiro de 2020</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t>INSTRUMENTO PARTICULAR DE ESCRITURA DA 3ª (TERCEIRA) EMISSÃO DE DEBÊNTURES SIMPLES, NÃO CONVERSÍVEIS EM AÇÕES,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BodyText"/>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0"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 da Emissão</w:t>
      </w:r>
      <w:r>
        <w:rPr>
          <w:rFonts w:ascii="Arial" w:hAnsi="Arial" w:cs="Arial"/>
          <w:sz w:val="22"/>
          <w:szCs w:val="22"/>
        </w:rPr>
        <w:t xml:space="preserve">”), conforme rerratificada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AGE Rerratificação</w:t>
      </w:r>
      <w:r>
        <w:rPr>
          <w:rFonts w:ascii="Arial" w:hAnsi="Arial" w:cs="Arial"/>
          <w:sz w:val="22"/>
          <w:szCs w:val="22"/>
        </w:rPr>
        <w:t>” e, quando em conjunto com a AGE da Emissão,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p>
      <w:pPr>
        <w:spacing w:line="300" w:lineRule="exact"/>
        <w:jc w:val="both"/>
        <w:rPr>
          <w:rFonts w:ascii="Arial" w:hAnsi="Arial" w:cs="Arial"/>
          <w:b/>
          <w:sz w:val="22"/>
          <w:szCs w:val="22"/>
        </w:rPr>
      </w:pPr>
      <w:bookmarkEnd w:id="0"/>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Quatroefe Administração e Participações Ltda. realizada em 23 de dezembro de 2019, conforme rerratificadas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Reunião de Sócios Quatroefe</w:t>
      </w:r>
      <w:r>
        <w:rPr>
          <w:rFonts w:ascii="Arial" w:hAnsi="Arial" w:cs="Arial"/>
          <w:sz w:val="22"/>
          <w:szCs w:val="22"/>
        </w:rPr>
        <w:t>”).</w:t>
      </w:r>
    </w:p>
    <w:p>
      <w:pPr>
        <w:pStyle w:val="ListParagraph"/>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Reunião de Sócios IVN</w:t>
      </w:r>
      <w:r>
        <w:rPr>
          <w:rFonts w:ascii="Arial" w:hAnsi="Arial" w:cs="Arial"/>
          <w:sz w:val="22"/>
          <w:szCs w:val="22"/>
        </w:rPr>
        <w:t xml:space="preserve">”). </w:t>
      </w:r>
      <w:r>
        <w:rPr>
          <w:rFonts w:ascii="Arial" w:hAnsi="Arial" w:cs="Arial"/>
          <w:bCs/>
          <w:i/>
          <w:sz w:val="22"/>
          <w:szCs w:val="22"/>
          <w:highlight w:val="yellow"/>
        </w:rPr>
        <w:t>[Nota PNA: Companhia, favor confirmar se a ata da Reunião de Sócios da IVN já</w:t>
      </w:r>
      <w:bookmarkStart w:id="1" w:name="_GoBack"/>
      <w:bookmarkEnd w:id="1"/>
      <w:r>
        <w:rPr>
          <w:rFonts w:ascii="Arial" w:hAnsi="Arial" w:cs="Arial"/>
          <w:bCs/>
          <w:i/>
          <w:sz w:val="22"/>
          <w:szCs w:val="22"/>
          <w:highlight w:val="yellow"/>
        </w:rPr>
        <w:t xml:space="preserve"> foi assinada]</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w:t>
      </w:r>
      <w:r>
        <w:rPr>
          <w:rFonts w:ascii="Arial" w:hAnsi="Arial" w:cs="Arial"/>
          <w:sz w:val="22"/>
          <w:szCs w:val="22"/>
        </w:rPr>
        <w:t>mundial de computadores (www.vidroporto.com.br) e na Central de Balanços do Sistema 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ListParagraph"/>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w:t>
      </w:r>
      <w:r>
        <w:rPr>
          <w:rFonts w:ascii="Arial" w:hAnsi="Arial" w:cs="Arial"/>
          <w:sz w:val="22"/>
          <w:szCs w:val="22"/>
        </w:rPr>
        <w:t xml:space="preserve">(cinco)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w:t>
      </w:r>
      <w:r>
        <w:rPr>
          <w:rFonts w:ascii="Arial" w:hAnsi="Arial" w:cs="Arial"/>
          <w:sz w:val="22"/>
          <w:szCs w:val="22"/>
        </w:rPr>
        <w:t xml:space="preserve">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sz w:val="22"/>
          <w:szCs w:val="22"/>
          <w:highlight w:val="yellow"/>
        </w:rPr>
        <w:t>]</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p>
      <w:pPr>
        <w:spacing w:line="300" w:lineRule="exact"/>
        <w:jc w:val="both"/>
        <w:rPr>
          <w:rFonts w:ascii="Arial" w:hAnsi="Arial" w:cs="Arial"/>
          <w:b/>
          <w:sz w:val="22"/>
          <w:szCs w:val="22"/>
        </w:rPr>
      </w:pPr>
      <w:bookmarkEnd w:id="8"/>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ListParagraph"/>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ListParagraph"/>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julho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bookmarkEnd w:id="9"/>
      <w:bookmarkEnd w:id="10"/>
      <w:r>
        <w:rPr>
          <w:rFonts w:ascii="Arial" w:hAnsi="Arial" w:cs="Arial"/>
          <w:sz w:val="22"/>
          <w:szCs w:val="22"/>
        </w:rPr>
        <w:t>As Debêntures serão da espécie com garantia real e com garantia fidejussória adicional, nos termos do artigo 58 da Lei das Sociedades por Ações.</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ListParagraph"/>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ListParagraph"/>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i/>
          <w:sz w:val="22"/>
          <w:szCs w:val="22"/>
        </w:rPr>
      </w:pPr>
      <w:bookmarkEnd w:id="17"/>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41.6pt;margin-left:137.1pt;margin-top:9.35pt;position:absolute;width:157pt;z-index:251658240" o:oleicon="f" fillcolor="window">
            <v:fill color2="fill lighten(137)" angle="-135" method="linear sigma" focus="50%" type="gradient"/>
            <v:imagedata r:id="rId6" o:title=""/>
          </v:shape>
          <o:OLEObject Type="Embed" ProgID="Equation.3" ShapeID="_x0000_s1025" DrawAspect="Content" ObjectID="_1640119418" r:id="rId7"/>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6" type="#_x0000_t75" style="height:45.25pt;margin-left:168.55pt;margin-top:-20.85pt;position:absolute;width:125.35pt;z-index:251659264" o:oleicon="f" fillcolor="window">
            <v:imagedata r:id="rId8" o:title=""/>
          </v:shape>
          <o:OLEObject Type="Embed" ProgID="Equation.3" ShapeID="_x0000_s1026" DrawAspect="Content" ObjectID="_1640119419" r:id="rId9"/>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pict>
          <v:shape id="_x0000_s1027" type="#_x0000_t75" style="height:55.35pt;margin-left:108.65pt;margin-top:-13.25pt;position:absolute;width:198.1pt;z-index:251660288" o:oleicon="f" fillcolor="window">
            <v:imagedata r:id="rId10" o:title=""/>
          </v:shape>
          <o:OLEObject Type="Embed" ProgID="Equation.3" ShapeID="_x0000_s1027" DrawAspect="Content" ObjectID="_1640119420" r:id="rId11"/>
        </w:pi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tblPr>
      <w:tblGrid>
        <w:gridCol w:w="8222"/>
      </w:tblGrid>
      <w:tr>
        <w:tblPrEx>
          <w:tblW w:w="8222" w:type="dxa"/>
          <w:tblInd w:w="70" w:type="dxa"/>
          <w:tblLayout w:type="fixed"/>
          <w:tblCellMar>
            <w:left w:w="70" w:type="dxa"/>
            <w:right w:w="70" w:type="dxa"/>
          </w:tblCellMar>
          <w:tblLook w:val="0000"/>
        </w:tblPrEx>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BodyTextIndent"/>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w:t>
      </w:r>
      <w:r>
        <w:rPr>
          <w:rFonts w:ascii="Arial" w:hAnsi="Arial" w:cs="Arial"/>
          <w:sz w:val="22"/>
          <w:szCs w:val="22"/>
        </w:rPr>
        <w:t>deliberação da Assembleia Geral de Debenturistas, não sendo devidas quaisquer compensações financeiras, tanto por parte da Emissora quanto pelos Debenturistas, quando da divulgação posterior da Taxa DI aplicável.</w:t>
      </w:r>
    </w:p>
    <w:p>
      <w:pPr>
        <w:pStyle w:val="BodyText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BodyText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BodyTextIndent"/>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Symbol" w:hAnsi="Symbo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agosto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55"/>
        <w:gridCol w:w="3270"/>
        <w:gridCol w:w="4096"/>
      </w:tblGrid>
      <w:tr>
        <w:tblPrEx>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pPr>
              <w:spacing w:line="300" w:lineRule="exact"/>
              <w:jc w:val="center"/>
              <w:rPr>
                <w:rFonts w:ascii="Arial" w:hAnsi="Arial" w:cs="Arial"/>
                <w:b/>
                <w:sz w:val="22"/>
                <w:szCs w:val="22"/>
              </w:rPr>
            </w:pPr>
            <w:r>
              <w:rPr>
                <w:rFonts w:ascii="Arial" w:hAnsi="Arial" w:cs="Arial"/>
                <w:b/>
                <w:sz w:val="22"/>
                <w:szCs w:val="22"/>
              </w:rPr>
              <w:t>Valor da Parcela Amortizada</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blPrEx>
          <w:tblW w:w="8921" w:type="dxa"/>
          <w:tblCellMar>
            <w:left w:w="70" w:type="dxa"/>
            <w:right w:w="70" w:type="dxa"/>
          </w:tblCellMar>
          <w:tblLook w:val="04A0"/>
        </w:tblPrEx>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Symbol" w:hAnsi="Symbol" w:cs="Arial"/>
                <w:bCs/>
                <w:sz w:val="22"/>
                <w:szCs w:val="22"/>
              </w:rPr>
              <w:sym w:font="Symbol" w:char="F0B7"/>
            </w:r>
            <w:r>
              <w:rPr>
                <w:rFonts w:ascii="Arial" w:hAnsi="Arial" w:cs="Arial"/>
                <w:bCs/>
                <w:sz w:val="22"/>
                <w:szCs w:val="22"/>
              </w:rPr>
              <w:t>] de junho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blPrEx>
          <w:tblW w:w="8921" w:type="dxa"/>
          <w:tblCellMar>
            <w:left w:w="70" w:type="dxa"/>
            <w:right w:w="70" w:type="dxa"/>
          </w:tblCellMar>
          <w:tblLook w:val="04A0"/>
        </w:tblPrEx>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ListParagraph"/>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Symbol" w:hAnsi="Symbol" w:cs="Arial"/>
          <w:bCs/>
          <w:highlight w:val="yellow"/>
        </w:rPr>
        <w:sym w:font="Symbol" w:char="F0B7"/>
      </w:r>
      <w:r>
        <w:rPr>
          <w:rFonts w:ascii="Arial" w:hAnsi="Arial" w:cs="Arial"/>
          <w:bCs/>
          <w:highlight w:val="yellow"/>
        </w:rPr>
        <w:t>]</w:t>
      </w:r>
      <w:r>
        <w:rPr>
          <w:rFonts w:ascii="Arial" w:hAnsi="Arial" w:cs="Arial"/>
          <w:bCs/>
        </w:rPr>
        <w:t xml:space="preserve"> de fevereiro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ListParagraph"/>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t>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ListParagraph"/>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conforme Anexo I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pPr>
        <w:pStyle w:val="ListParagraph"/>
        <w:tabs>
          <w:tab w:val="left" w:pos="709"/>
        </w:tabs>
        <w:spacing w:line="300" w:lineRule="exact"/>
        <w:ind w:left="1364"/>
        <w:jc w:val="both"/>
        <w:rPr>
          <w:rFonts w:ascii="Arial" w:hAnsi="Arial" w:cs="Arial"/>
          <w:bCs/>
          <w:lang w:val="pt-PT" w:eastAsia="ar-SA"/>
        </w:rPr>
      </w:pPr>
    </w:p>
    <w:p>
      <w:pPr>
        <w:pStyle w:val="ListParagraph"/>
        <w:numPr>
          <w:ilvl w:val="1"/>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 xml:space="preserve">Na Data de Emissão, o Contrato Fornecimento IVN possui um fluxo futuro de R$ </w:t>
      </w:r>
      <w:r>
        <w:rPr>
          <w:rFonts w:ascii="Arial" w:hAnsi="Arial" w:cs="Arial"/>
          <w:bCs/>
          <w:highlight w:val="yellow"/>
          <w:lang w:val="pt-PT" w:eastAsia="ar-SA"/>
        </w:rPr>
        <w:t>[</w:t>
      </w:r>
      <w:r>
        <w:rPr>
          <w:rFonts w:ascii="Symbol" w:hAnsi="Symbo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equivalente a </w:t>
      </w:r>
      <w:r>
        <w:rPr>
          <w:rFonts w:ascii="Arial" w:hAnsi="Arial" w:cs="Arial"/>
          <w:bCs/>
          <w:highlight w:val="yellow"/>
          <w:lang w:val="pt-PT" w:eastAsia="ar-SA"/>
        </w:rPr>
        <w:t>[</w:t>
      </w:r>
      <w:r>
        <w:rPr>
          <w:rFonts w:ascii="Symbol" w:hAnsi="Symbo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do volume total da Emissão. O fluxo já realizado do Contrato Fornecimento IVN entre 1 de dezembro de 2018 e </w:t>
      </w:r>
      <w:r>
        <w:rPr>
          <w:rFonts w:ascii="Arial" w:hAnsi="Arial" w:cs="Arial"/>
          <w:bCs/>
          <w:highlight w:val="yellow"/>
          <w:lang w:val="pt-PT" w:eastAsia="ar-SA"/>
        </w:rPr>
        <w:t>[</w:t>
      </w:r>
      <w:r>
        <w:rPr>
          <w:rFonts w:ascii="Symbol" w:hAnsi="Symbo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de </w:t>
      </w:r>
      <w:r>
        <w:rPr>
          <w:rFonts w:ascii="Arial" w:hAnsi="Arial" w:cs="Arial"/>
          <w:bCs/>
          <w:highlight w:val="yellow"/>
          <w:lang w:val="pt-PT" w:eastAsia="ar-SA"/>
        </w:rPr>
        <w:t>[</w:t>
      </w:r>
      <w:r>
        <w:rPr>
          <w:rFonts w:ascii="Symbol" w:hAnsi="Symbo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de 2020 foi de R$ </w:t>
      </w:r>
      <w:r>
        <w:rPr>
          <w:rFonts w:ascii="Arial" w:hAnsi="Arial" w:cs="Arial"/>
          <w:bCs/>
          <w:highlight w:val="yellow"/>
          <w:lang w:val="pt-PT" w:eastAsia="ar-SA"/>
        </w:rPr>
        <w:t>[</w:t>
      </w:r>
      <w:r>
        <w:rPr>
          <w:rFonts w:ascii="Symbol" w:hAnsi="Symbo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w:t>
      </w:r>
    </w:p>
    <w:p>
      <w:pPr>
        <w:tabs>
          <w:tab w:val="left" w:pos="709"/>
        </w:tabs>
        <w:spacing w:line="300" w:lineRule="exact"/>
        <w:ind w:left="709" w:hanging="425"/>
        <w:jc w:val="both"/>
        <w:rPr>
          <w:rFonts w:ascii="Arial" w:hAnsi="Arial" w:cs="Arial"/>
          <w:bCs/>
          <w:sz w:val="22"/>
          <w:szCs w:val="22"/>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Garantia Real será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xml:space="preserve">”), conforme aprovado pela Assembleia Geral dos Debenturistas da 2ª Emissão realizada em </w:t>
      </w:r>
      <w:r>
        <w:rPr>
          <w:rFonts w:ascii="Arial" w:hAnsi="Arial" w:cs="Arial"/>
          <w:sz w:val="22"/>
          <w:szCs w:val="22"/>
          <w:highlight w:val="yellow"/>
        </w:rPr>
        <w:t>[</w:t>
      </w:r>
      <w:r>
        <w:rPr>
          <w:rFonts w:ascii="Symbol" w:hAnsi="Symbo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2020, respeitando-se a proporção e demais condições de compartilhamento previstas no Instrumento de Garantia. </w:t>
      </w:r>
    </w:p>
    <w:p>
      <w:pPr>
        <w:spacing w:line="300" w:lineRule="exact"/>
        <w:jc w:val="both"/>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ListParagraph"/>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w:t>
      </w:r>
      <w:r>
        <w:rPr>
          <w:rFonts w:ascii="Arial" w:hAnsi="Arial" w:cs="Arial"/>
        </w:rPr>
        <w:t xml:space="preserve">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ListParagraph"/>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ListParagraph"/>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highlight w:val="yellow"/>
        </w:rPr>
        <w:t>[</w:t>
      </w:r>
      <w:r>
        <w:rPr>
          <w:rFonts w:ascii="Symbol" w:eastAsia="Arial Unicode MS" w:hAnsi="Symbol" w:cs="Arial"/>
          <w:bCs/>
          <w:sz w:val="22"/>
          <w:szCs w:val="22"/>
          <w:highlight w:val="yellow"/>
        </w:rPr>
        <w:sym w:font="Symbol" w:char="F0B7"/>
      </w:r>
      <w:r>
        <w:rPr>
          <w:rFonts w:ascii="Arial" w:eastAsia="Arial Unicode MS" w:hAnsi="Arial" w:cs="Arial"/>
          <w:bCs/>
          <w:sz w:val="22"/>
          <w:szCs w:val="22"/>
          <w:highlight w:val="yellow"/>
        </w:rPr>
        <w:t>]</w:t>
      </w:r>
      <w:r>
        <w:rPr>
          <w:rFonts w:ascii="Arial" w:eastAsia="Arial Unicode MS" w:hAnsi="Arial" w:cs="Arial"/>
          <w:sz w:val="22"/>
          <w:szCs w:val="22"/>
        </w:rPr>
        <w:t xml:space="preserve"> de fevereiro de 2022,</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ListParagraph"/>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 xml:space="preserve">Facultativo, acrescidos (iii)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w:t>
      </w:r>
      <w:r>
        <w:rPr>
          <w:rFonts w:ascii="Arial" w:eastAsia="Calibri" w:hAnsi="Arial" w:cs="Arial"/>
          <w:i/>
          <w:sz w:val="22"/>
          <w:szCs w:val="22"/>
          <w:highlight w:val="yellow"/>
        </w:rPr>
        <w:t>Nota PNA: Favor confirmar a partir de quando a Amortização Extraordinária Facultativa poderá ser realizada</w:t>
      </w:r>
      <w:r>
        <w:rPr>
          <w:rFonts w:ascii="Arial" w:eastAsia="Calibri" w:hAnsi="Arial" w:cs="Arial"/>
          <w:sz w:val="22"/>
          <w:szCs w:val="22"/>
        </w:rPr>
        <w:t>]</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w:t>
      </w:r>
      <w:r>
        <w:rPr>
          <w:rFonts w:ascii="Arial" w:hAnsi="Arial" w:cs="Arial"/>
          <w:sz w:val="22"/>
          <w:szCs w:val="22"/>
          <w:highlight w:val="yellow"/>
        </w:rPr>
        <w:t>[0,30%]</w:t>
      </w:r>
      <w:r>
        <w:rPr>
          <w:rFonts w:ascii="Arial" w:hAnsi="Arial" w:cs="Arial"/>
          <w:sz w:val="22"/>
          <w:szCs w:val="22"/>
        </w:rPr>
        <w:t xml:space="preserve"> </w:t>
      </w:r>
      <w:r>
        <w:rPr>
          <w:rFonts w:ascii="Arial" w:hAnsi="Arial" w:cs="Arial"/>
          <w:sz w:val="22"/>
          <w:szCs w:val="22"/>
          <w:highlight w:val="yellow"/>
        </w:rPr>
        <w:t>[(trinta centésimos por cento)]</w:t>
      </w:r>
      <w:r>
        <w:rPr>
          <w:rFonts w:ascii="Arial" w:hAnsi="Arial" w:cs="Arial"/>
          <w:sz w:val="22"/>
          <w:szCs w:val="22"/>
        </w:rPr>
        <w:t xml:space="preserve">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xml:space="preserve">”). O Prêmio de Amortização incidirá sobre o Valor Nominal Unitário </w:t>
      </w:r>
      <w:r>
        <w:rPr>
          <w:rFonts w:ascii="Arial" w:hAnsi="Arial" w:cs="Arial"/>
          <w:sz w:val="22"/>
          <w:szCs w:val="22"/>
        </w:rPr>
        <w:t>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pPr>
        <w:pStyle w:val="ListParagraph"/>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xml:space="preserve">”),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w:t>
      </w:r>
      <w:r>
        <w:rPr>
          <w:rFonts w:ascii="Arial" w:eastAsia="Calibri" w:hAnsi="Arial" w:cs="Arial"/>
          <w:sz w:val="22"/>
          <w:szCs w:val="22"/>
        </w:rPr>
        <w:t>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ListParagraph"/>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w:t>
      </w:r>
      <w:r>
        <w:rPr>
          <w:rFonts w:ascii="Arial" w:hAnsi="Arial" w:cs="Arial"/>
        </w:rPr>
        <w:t>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pPr>
        <w:pStyle w:val="ListParagraph"/>
        <w:autoSpaceDE w:val="0"/>
        <w:autoSpaceDN w:val="0"/>
        <w:adjustRightInd w:val="0"/>
        <w:spacing w:line="300" w:lineRule="exact"/>
        <w:ind w:left="567"/>
        <w:jc w:val="both"/>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ListParagraph"/>
        <w:spacing w:line="300" w:lineRule="exact"/>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pPr>
        <w:pStyle w:val="ListParagraph"/>
        <w:spacing w:line="300" w:lineRule="exact"/>
        <w:ind w:hanging="567"/>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ListParagraph"/>
        <w:autoSpaceDE w:val="0"/>
        <w:autoSpaceDN w:val="0"/>
        <w:adjustRightInd w:val="0"/>
        <w:spacing w:line="300" w:lineRule="exact"/>
        <w:ind w:left="567" w:hanging="567"/>
        <w:jc w:val="both"/>
        <w:rPr>
          <w:rFonts w:ascii="Arial" w:hAnsi="Arial" w:cs="Arial"/>
        </w:rPr>
      </w:pPr>
    </w:p>
    <w:p>
      <w:pPr>
        <w:pStyle w:val="ListParagraph"/>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(ii) da Cessão Fiduciária e do Instrumento de Garantia; e/ou (iii) da Fiança.</w:t>
      </w:r>
    </w:p>
    <w:p>
      <w:pPr>
        <w:pStyle w:val="ListParagraph"/>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ListParagraph"/>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ListParagraph"/>
        <w:autoSpaceDE w:val="0"/>
        <w:autoSpaceDN w:val="0"/>
        <w:adjustRightInd w:val="0"/>
        <w:spacing w:line="300" w:lineRule="exact"/>
        <w:ind w:hanging="720"/>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ListParagraph"/>
        <w:autoSpaceDE w:val="0"/>
        <w:autoSpaceDN w:val="0"/>
        <w:adjustRightInd w:val="0"/>
        <w:spacing w:line="300" w:lineRule="exact"/>
        <w:ind w:hanging="720"/>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ListParagraph"/>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pPr>
        <w:pStyle w:val="ListParagraph"/>
        <w:autoSpaceDE w:val="0"/>
        <w:autoSpaceDN w:val="0"/>
        <w:adjustRightInd w:val="0"/>
        <w:spacing w:line="300" w:lineRule="exact"/>
        <w:ind w:hanging="720"/>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ListParagraph"/>
        <w:autoSpaceDE w:val="0"/>
        <w:autoSpaceDN w:val="0"/>
        <w:adjustRightInd w:val="0"/>
        <w:spacing w:line="300" w:lineRule="exact"/>
        <w:ind w:hanging="720"/>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pPr>
        <w:pStyle w:val="ListParagraph"/>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não constituição da Garantia Real, conforme prazos e condições previstas no Instrumento de Garantia; </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pPr>
        <w:pStyle w:val="ListParagraph"/>
        <w:autoSpaceDE w:val="0"/>
        <w:autoSpaceDN w:val="0"/>
        <w:adjustRightInd w:val="0"/>
        <w:spacing w:line="300" w:lineRule="exact"/>
        <w:ind w:left="567" w:hanging="720"/>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pPr>
        <w:pStyle w:val="ListParagraph"/>
        <w:spacing w:line="300" w:lineRule="exact"/>
        <w:ind w:hanging="720"/>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ListParagraph"/>
        <w:spacing w:line="300" w:lineRule="exact"/>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pPr>
        <w:autoSpaceDE w:val="0"/>
        <w:autoSpaceDN w:val="0"/>
        <w:adjustRightInd w:val="0"/>
        <w:spacing w:line="300" w:lineRule="exact"/>
        <w:jc w:val="both"/>
        <w:rPr>
          <w:rFonts w:ascii="Arial" w:hAnsi="Arial" w:cs="Arial"/>
          <w:sz w:val="22"/>
          <w:szCs w:val="22"/>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ListParagraph"/>
        <w:autoSpaceDE w:val="0"/>
        <w:autoSpaceDN w:val="0"/>
        <w:adjustRightInd w:val="0"/>
        <w:spacing w:line="300" w:lineRule="exact"/>
        <w:jc w:val="both"/>
        <w:rPr>
          <w:rFonts w:ascii="Arial" w:hAnsi="Arial" w:cs="Arial"/>
        </w:rPr>
      </w:pPr>
    </w:p>
    <w:p>
      <w:pPr>
        <w:pStyle w:val="ListParagraph"/>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ListParagraph"/>
        <w:rPr>
          <w:rFonts w:ascii="Arial" w:hAnsi="Arial" w:cs="Arial"/>
        </w:rPr>
      </w:pPr>
    </w:p>
    <w:p>
      <w:pPr>
        <w:pStyle w:val="ListParagraph"/>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ListParagraph"/>
        <w:autoSpaceDE w:val="0"/>
        <w:autoSpaceDN w:val="0"/>
        <w:adjustRightInd w:val="0"/>
        <w:spacing w:line="300" w:lineRule="exact"/>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ListParagraph"/>
        <w:spacing w:line="300" w:lineRule="exact"/>
        <w:ind w:left="0"/>
        <w:jc w:val="both"/>
        <w:rPr>
          <w:rFonts w:ascii="Arial" w:hAnsi="Arial" w:cs="Arial"/>
        </w:rPr>
      </w:pPr>
    </w:p>
    <w:p>
      <w:pPr>
        <w:pStyle w:val="ListParagraph"/>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ListParagraph"/>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w:t>
      </w:r>
      <w:r>
        <w:rPr>
          <w:rFonts w:ascii="Arial" w:eastAsia="Arial Unicode MS" w:hAnsi="Arial" w:cs="Arial"/>
          <w:w w:val="0"/>
          <w:sz w:val="22"/>
          <w:szCs w:val="22"/>
        </w:rPr>
        <w:t xml:space="preserve">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ListParagraph"/>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pPr>
              <w:pStyle w:val="ListParagraph"/>
              <w:suppressAutoHyphens/>
              <w:spacing w:line="300" w:lineRule="exact"/>
              <w:ind w:left="0"/>
              <w:jc w:val="center"/>
              <w:rPr>
                <w:rFonts w:ascii="Arial" w:hAnsi="Arial" w:cs="Arial"/>
                <w:b/>
              </w:rPr>
            </w:pPr>
            <w:bookmarkStart w:id="63" w:name="_DV_M236"/>
            <w:bookmarkEnd w:id="63"/>
            <w:r>
              <w:rPr>
                <w:rFonts w:ascii="Arial" w:hAnsi="Arial" w:cs="Arial"/>
                <w:b/>
              </w:rPr>
              <w:t>Ano do Exercício</w:t>
            </w:r>
          </w:p>
        </w:tc>
        <w:tc>
          <w:tcPr>
            <w:tcW w:w="3263" w:type="dxa"/>
          </w:tcPr>
          <w:p>
            <w:pPr>
              <w:pStyle w:val="ListParagraph"/>
              <w:suppressAutoHyphens/>
              <w:spacing w:line="300" w:lineRule="exact"/>
              <w:ind w:left="0"/>
              <w:jc w:val="center"/>
              <w:rPr>
                <w:rFonts w:ascii="Arial" w:hAnsi="Arial" w:cs="Arial"/>
                <w:b/>
              </w:rPr>
            </w:pPr>
            <w:r>
              <w:rPr>
                <w:rFonts w:ascii="Arial" w:hAnsi="Arial" w:cs="Arial"/>
                <w:b/>
              </w:rPr>
              <w:t>Dívida Líquida / EBITDA</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2019</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3,00x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2020</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2,80x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2021</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2,50x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2022</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2,00x</w:t>
            </w:r>
          </w:p>
        </w:tc>
      </w:tr>
      <w:tr>
        <w:tblPrEx>
          <w:tblW w:w="0" w:type="auto"/>
          <w:jc w:val="center"/>
          <w:tblLook w:val="04A0"/>
        </w:tblPrEx>
        <w:trPr>
          <w:jc w:val="center"/>
        </w:trPr>
        <w:tc>
          <w:tcPr>
            <w:tcW w:w="1815" w:type="dxa"/>
          </w:tcPr>
          <w:p>
            <w:pPr>
              <w:pStyle w:val="ListParagraph"/>
              <w:suppressAutoHyphens/>
              <w:spacing w:line="300" w:lineRule="exact"/>
              <w:ind w:left="0"/>
              <w:jc w:val="center"/>
              <w:rPr>
                <w:rFonts w:ascii="Arial" w:hAnsi="Arial" w:cs="Arial"/>
              </w:rPr>
            </w:pPr>
            <w:r>
              <w:rPr>
                <w:rFonts w:ascii="Arial" w:hAnsi="Arial" w:cs="Arial"/>
              </w:rPr>
              <w:t>2023</w:t>
            </w:r>
          </w:p>
        </w:tc>
        <w:tc>
          <w:tcPr>
            <w:tcW w:w="3263" w:type="dxa"/>
          </w:tcPr>
          <w:p>
            <w:pPr>
              <w:pStyle w:val="ListParagraph"/>
              <w:suppressAutoHyphens/>
              <w:spacing w:line="300" w:lineRule="exact"/>
              <w:ind w:left="0"/>
              <w:jc w:val="center"/>
              <w:rPr>
                <w:rFonts w:ascii="Arial" w:hAnsi="Arial" w:cs="Arial"/>
              </w:rPr>
            </w:pPr>
            <w:r>
              <w:rPr>
                <w:rFonts w:ascii="Arial" w:hAnsi="Arial" w:cs="Arial"/>
              </w:rPr>
              <w:t>menor ou igual a 2,00x</w:t>
            </w:r>
          </w:p>
        </w:tc>
      </w:tr>
    </w:tbl>
    <w:p>
      <w:pPr>
        <w:pStyle w:val="ListParagraph"/>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ListParagraph"/>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ListParagraph"/>
        <w:suppressAutoHyphens/>
        <w:spacing w:line="300" w:lineRule="exact"/>
        <w:ind w:left="567" w:right="618"/>
        <w:rPr>
          <w:rFonts w:ascii="Arial" w:hAnsi="Arial" w:cs="Arial"/>
        </w:rPr>
      </w:pPr>
    </w:p>
    <w:p>
      <w:pPr>
        <w:pStyle w:val="ListParagraph"/>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w:t>
      </w:r>
      <w:r>
        <w:rPr>
          <w:rFonts w:ascii="Arial" w:hAnsi="Arial" w:cs="Arial"/>
        </w:rPr>
        <w:t xml:space="preserve">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hanging="524"/>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hanging="524"/>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ListParagraph"/>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w:t>
      </w:r>
      <w:r>
        <w:rPr>
          <w:rFonts w:ascii="Arial" w:eastAsia="Arial Unicode MS" w:hAnsi="Arial" w:cs="Arial"/>
          <w:sz w:val="22"/>
          <w:szCs w:val="22"/>
        </w:rPr>
        <w:t>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bookmarkStart w:id="94" w:name="_DV_M270"/>
      <w:bookmarkEnd w:id="94"/>
    </w:p>
    <w:tbl>
      <w:tblPr>
        <w:tblW w:w="5000" w:type="pct"/>
        <w:tblCellMar>
          <w:left w:w="0" w:type="dxa"/>
          <w:right w:w="0" w:type="dxa"/>
        </w:tblCellMar>
        <w:tblLook w:val="04A0"/>
      </w:tblPr>
      <w:tblGrid>
        <w:gridCol w:w="4455"/>
        <w:gridCol w:w="4456"/>
      </w:tblGrid>
      <w:tr>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 xml:space="preserve">Garantia Real de Alienação Fiduciária de Quotas, Alienação Fiduciária de Imóveis e </w:t>
            </w:r>
            <w:r>
              <w:rPr>
                <w:rFonts w:ascii="Arial" w:hAnsi="Arial" w:cs="Arial"/>
                <w:sz w:val="22"/>
                <w:szCs w:val="22"/>
              </w:rPr>
              <w:t>Cessão Fiduciária de Direitos Creditórios, com Garantia Fidejussória Adicional</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ListParagraph"/>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Pr>
          <w:rFonts w:ascii="Arial" w:hAnsi="Arial" w:cs="Arial"/>
          <w:sz w:val="22"/>
          <w:szCs w:val="22"/>
          <w:u w:val="single"/>
        </w:rPr>
        <w:t>Despesas do Agente Fiduciário</w:t>
      </w:r>
      <w:r>
        <w:rPr>
          <w:rFonts w:ascii="Arial" w:hAnsi="Arial" w:cs="Arial"/>
          <w:sz w:val="22"/>
          <w:szCs w:val="22"/>
        </w:rPr>
        <w:t>”).</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(ii) pela Emissora</w:t>
      </w:r>
      <w:bookmarkStart w:id="104" w:name="_DV_M378"/>
      <w:bookmarkEnd w:id="10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(iv) pela CVM.</w:t>
      </w:r>
      <w:bookmarkStart w:id="108" w:name="_DV_M382"/>
      <w:bookmarkEnd w:id="108"/>
    </w:p>
    <w:p>
      <w:pPr>
        <w:pStyle w:val="ListParagraph"/>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exceto por 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ListParagraph"/>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ListParagraph"/>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ListParagraph"/>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pPr>
        <w:pStyle w:val="ListParagraph"/>
        <w:spacing w:line="300" w:lineRule="exact"/>
        <w:rPr>
          <w:rFonts w:ascii="Arial" w:hAnsi="Arial" w:cs="Arial"/>
        </w:rPr>
      </w:pPr>
    </w:p>
    <w:p>
      <w:pPr>
        <w:pStyle w:val="ListParagraph"/>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ListParagraph"/>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ListParagraph"/>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ListParagraph"/>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r>
        <w:fldChar w:fldCharType="begin"/>
      </w:r>
      <w:r>
        <w:instrText xml:space="preserve"> HYPERLINK "mailto:spestruturacao@simplificpavarini.com.br" </w:instrText>
      </w:r>
      <w:r>
        <w:fldChar w:fldCharType="separate"/>
      </w:r>
      <w:r>
        <w:rPr>
          <w:rStyle w:val="Hyperlink"/>
          <w:rFonts w:ascii="Arial" w:hAnsi="Arial" w:cs="Arial"/>
          <w:szCs w:val="22"/>
        </w:rPr>
        <w:t>spestruturacao@simplificpavarini.com.br</w:t>
      </w:r>
      <w:r>
        <w:fldChar w:fldCharType="end"/>
      </w:r>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left" w:pos="709"/>
          <w:tab w:val="clear" w:pos="720"/>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r>
        <w:fldChar w:fldCharType="begin"/>
      </w:r>
      <w:r>
        <w:instrText xml:space="preserve"> HYPERLINK "mailto:escrituracaorf@itau-unibanco.com.br" </w:instrText>
      </w:r>
      <w:r>
        <w:fldChar w:fldCharType="separate"/>
      </w:r>
      <w:r>
        <w:rPr>
          <w:rFonts w:ascii="Arial" w:hAnsi="Arial" w:cs="Arial"/>
          <w:szCs w:val="22"/>
          <w:lang w:val="en-US"/>
        </w:rPr>
        <w:t>escrituracaorf@itau-unibanco.com.br</w:t>
      </w:r>
      <w:r>
        <w:fldChar w:fldCharType="end"/>
      </w:r>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r>
        <w:fldChar w:fldCharType="begin"/>
      </w:r>
      <w:r>
        <w:instrText xml:space="preserve"> HYPERLINK "mailto:valores.mobiliarios@b3.com.br" </w:instrText>
      </w:r>
      <w:r>
        <w:fldChar w:fldCharType="separate"/>
      </w:r>
      <w:r>
        <w:rPr>
          <w:rStyle w:val="Hyperlink"/>
          <w:rFonts w:ascii="Arial" w:hAnsi="Arial" w:cs="Arial"/>
          <w:bCs/>
          <w:sz w:val="22"/>
          <w:szCs w:val="22"/>
        </w:rPr>
        <w:t>valores.mobiliarios@b3.com.br</w:t>
      </w:r>
      <w:r>
        <w:fldChar w:fldCharType="end"/>
      </w:r>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Symbol" w:eastAsia="Arial Unicode MS" w:hAnsi="Symbol" w:cs="Arial"/>
          <w:szCs w:val="22"/>
        </w:rPr>
        <w:sym w:font="Symbol" w:char="F0B7"/>
      </w:r>
      <w:r>
        <w:rPr>
          <w:rFonts w:ascii="Arial" w:eastAsia="Arial Unicode MS" w:hAnsi="Arial" w:cs="Arial"/>
          <w:szCs w:val="22"/>
        </w:rPr>
        <w:t>] de janeiro de 2020.</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headerReference w:type="even" r:id="rId12"/>
          <w:headerReference w:type="default" r:id="rId13"/>
          <w:footerReference w:type="even" r:id="rId14"/>
          <w:footerReference w:type="default" r:id="rId15"/>
          <w:headerReference w:type="first" r:id="rId16"/>
          <w:footerReference w:type="first" r:id="rId17"/>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bookmarkEnd w:id="133"/>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tblPr>
      <w:tblGrid>
        <w:gridCol w:w="3491"/>
        <w:gridCol w:w="1329"/>
        <w:gridCol w:w="3351"/>
      </w:tblGrid>
      <w:tr>
        <w:tblPrEx>
          <w:tblW w:w="8171" w:type="dxa"/>
          <w:tblLayout w:type="fixed"/>
          <w:tblCellMar>
            <w:left w:w="71" w:type="dxa"/>
            <w:right w:w="71" w:type="dxa"/>
          </w:tblCellMar>
          <w:tblLook w:val="0000"/>
        </w:tblPrEx>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tblPr>
      <w:tblGrid>
        <w:gridCol w:w="4323"/>
        <w:gridCol w:w="4394"/>
      </w:tblGrid>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blPrEx>
          <w:tblW w:w="8717" w:type="dxa"/>
          <w:tblLayout w:type="fixed"/>
          <w:tblCellMar>
            <w:left w:w="70" w:type="dxa"/>
            <w:right w:w="70" w:type="dxa"/>
          </w:tblCellMar>
          <w:tblLook w:val="0000"/>
        </w:tblPrEx>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blPrEx>
          <w:tblW w:w="8717" w:type="dxa"/>
          <w:tblLayout w:type="fixed"/>
          <w:tblCellMar>
            <w:left w:w="70" w:type="dxa"/>
            <w:right w:w="70" w:type="dxa"/>
          </w:tblCellMar>
          <w:tblLook w:val="0000"/>
        </w:tblPrEx>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CONTRATO FORNECIMENTO IVN</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i/>
          <w:sz w:val="22"/>
          <w:szCs w:val="22"/>
          <w:highlight w:val="yellow"/>
        </w:rPr>
        <w:t>[Nota PNA: A ser incluído posteriormente]</w:t>
      </w:r>
    </w:p>
    <w:sectPr>
      <w:pgSz w:w="12242" w:h="15842" w:code="1"/>
      <w:pgMar w:top="1417" w:right="1701" w:bottom="141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p>
    <w:r>
      <w:rPr>
        <w:sz w:val="16"/>
      </w:rPr>
      <w:t>AMECURRENT 705634859.5 17-abr-13 12:07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color w:val="FFFFFF" w:themeColor="background1"/>
      </w:rPr>
    </w:pPr>
    <w:r>
      <w:rPr>
        <w:color w:val="FFFFFF" w:themeColor="background1"/>
      </w:rPr>
      <w:t>JUR_SP - 35468921v8 - 10842002.452566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color w:val="FFFFFF" w:themeColor="background1"/>
      </w:rPr>
    </w:pPr>
    <w:r>
      <w:rPr>
        <w:rFonts w:ascii="Verdana" w:hAnsi="Verdana"/>
        <w:color w:val="FFFFFF" w:themeColor="background1"/>
        <w:sz w:val="14"/>
      </w:rPr>
      <w:t>JUR_SP - 35468921v6 - 10842002.452566</w:t>
    </w:r>
    <w:r>
      <w:rPr>
        <w:color w:val="FFFFFF" w:themeColor="background1"/>
        <w:sz w:val="16"/>
      </w:rPr>
      <w:t>AMECURRENT 705634859.5 17-abr-13 12:07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rFonts w:ascii="Arial" w:hAnsi="Arial" w:cs="Arial"/>
        <w:b/>
        <w:bCs/>
      </w:rPr>
    </w:pPr>
    <w:r>
      <w:rPr>
        <w:rFonts w:ascii="Arial" w:hAnsi="Arial" w:cs="Arial"/>
        <w:b/>
        <w:bCs/>
      </w:rPr>
      <w:t>M I N U T A</w:t>
    </w:r>
  </w:p>
  <w:p>
    <w:pPr>
      <w:pStyle w:val="Header"/>
      <w:jc w:val="right"/>
      <w:rPr>
        <w:rFonts w:ascii="Arial" w:hAnsi="Arial" w:cs="Arial"/>
        <w:bCs/>
      </w:rPr>
    </w:pPr>
    <w:r>
      <w:rPr>
        <w:rFonts w:ascii="Arial" w:hAnsi="Arial" w:cs="Arial"/>
        <w:bCs/>
      </w:rPr>
      <w:t>09.01.2020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hybridMultilevel"/>
    <w:tmpl w:val="0E56436E"/>
    <w:lvl w:ilvl="0">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nsid w:val="0A7729CF"/>
    <w:multiLevelType w:val="hybridMultilevel"/>
    <w:tmpl w:val="D43EEBE8"/>
    <w:lvl w:ilvl="0">
      <w:start w:val="1"/>
      <w:numFmt w:val="lowerLetter"/>
      <w:lvlText w:val="(%1)"/>
      <w:lvlJc w:val="left"/>
      <w:pPr>
        <w:ind w:left="720" w:hanging="360"/>
      </w:pPr>
      <w:rPr>
        <w:rFonts w:hint="default"/>
        <w:sz w:val="22"/>
        <w:szCs w:val="20"/>
      </w:rPr>
    </w:lvl>
    <w:lvl w:ilvl="1">
      <w:start w:val="1"/>
      <w:numFmt w:val="lowerLetter"/>
      <w:lvlText w:val="(%2)"/>
      <w:lvlJc w:val="left"/>
      <w:pPr>
        <w:ind w:left="4047"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D46F7"/>
    <w:multiLevelType w:val="multilevel"/>
    <w:tmpl w:val="19BA6DB8"/>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762D08"/>
    <w:multiLevelType w:val="hybridMultilevel"/>
    <w:tmpl w:val="8BAA92D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A53E6E"/>
    <w:multiLevelType w:val="hybridMultilevel"/>
    <w:tmpl w:val="EFB230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6B37F41"/>
    <w:multiLevelType w:val="hybridMultilevel"/>
    <w:tmpl w:val="459869B2"/>
    <w:lvl w:ilvl="0">
      <w:start w:val="1"/>
      <w:numFmt w:val="lowerLetter"/>
      <w:lvlText w:val="(%1)"/>
      <w:lvlJc w:val="left"/>
      <w:pPr>
        <w:tabs>
          <w:tab w:val="num" w:pos="1080"/>
        </w:tabs>
        <w:ind w:left="1080" w:hanging="360"/>
      </w:pPr>
      <w:rPr>
        <w:rFonts w:cs="Times New Roman" w:hint="default"/>
        <w:b w:val="0"/>
        <w:spacing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96E3A2F"/>
    <w:multiLevelType w:val="hybridMultilevel"/>
    <w:tmpl w:val="FC9A52AC"/>
    <w:lvl w:ilvl="0">
      <w:start w:val="1"/>
      <w:numFmt w:val="lowerRoman"/>
      <w:lvlText w:val="(%1)"/>
      <w:lvlJc w:val="left"/>
      <w:pPr>
        <w:ind w:left="1571" w:hanging="72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nsid w:val="1A666D22"/>
    <w:multiLevelType w:val="hybridMultilevel"/>
    <w:tmpl w:val="F9723D3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834035"/>
    <w:multiLevelType w:val="hybridMultilevel"/>
    <w:tmpl w:val="F9723D3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nsid w:val="22194E74"/>
    <w:multiLevelType w:val="hybridMultilevel"/>
    <w:tmpl w:val="6C00C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3AE7E9D"/>
    <w:multiLevelType w:val="hybridMultilevel"/>
    <w:tmpl w:val="64AEF866"/>
    <w:lvl w:ilvl="0">
      <w:start w:val="1"/>
      <w:numFmt w:val="lowerLetter"/>
      <w:lvlText w:val="(%1)"/>
      <w:lvlJc w:val="left"/>
      <w:pPr>
        <w:ind w:left="1920" w:hanging="360"/>
      </w:pPr>
      <w:rPr>
        <w:rFonts w:cs="Times New Roman" w:hint="default"/>
        <w:b w:val="0"/>
        <w:spacing w:val="0"/>
      </w:rPr>
    </w:lvl>
    <w:lvl w:ilvl="1">
      <w:start w:val="1"/>
      <w:numFmt w:val="lowerLetter"/>
      <w:lvlText w:val="%2."/>
      <w:lvlJc w:val="left"/>
      <w:pPr>
        <w:ind w:left="2640" w:hanging="360"/>
      </w:pPr>
    </w:lvl>
    <w:lvl w:ilvl="2" w:tentative="1">
      <w:start w:val="1"/>
      <w:numFmt w:val="lowerRoman"/>
      <w:lvlText w:val="%3."/>
      <w:lvlJc w:val="right"/>
      <w:pPr>
        <w:ind w:left="3360" w:hanging="180"/>
      </w:pPr>
    </w:lvl>
    <w:lvl w:ilvl="3">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1">
    <w:nsid w:val="269259B5"/>
    <w:multiLevelType w:val="hybridMultilevel"/>
    <w:tmpl w:val="91F254DA"/>
    <w:lvl w:ilvl="0">
      <w:start w:val="1"/>
      <w:numFmt w:val="lowerRoman"/>
      <w:lvlText w:val="(%1)"/>
      <w:lvlJc w:val="left"/>
      <w:pPr>
        <w:ind w:left="720" w:hanging="360"/>
      </w:pPr>
      <w:rPr>
        <w:rFonts w:hint="default"/>
        <w:b w:val="0"/>
        <w:i w:val="0"/>
        <w:spacing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BA3584"/>
    <w:multiLevelType w:val="hybridMultilevel"/>
    <w:tmpl w:val="7E38A872"/>
    <w:lvl w:ilvl="0">
      <w:start w:val="1"/>
      <w:numFmt w:val="lowerLetter"/>
      <w:lvlText w:val="(%1)"/>
      <w:lvlJc w:val="left"/>
      <w:pPr>
        <w:ind w:left="720" w:hanging="360"/>
      </w:pPr>
      <w:rPr>
        <w:rFonts w:ascii="Verdana" w:hAnsi="Verdana"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nsid w:val="36516FEA"/>
    <w:multiLevelType w:val="hybridMultilevel"/>
    <w:tmpl w:val="46A21F08"/>
    <w:lvl w:ilvl="0">
      <w:start w:val="1"/>
      <w:numFmt w:val="lowerRoman"/>
      <w:lvlText w:val="(%1)"/>
      <w:lvlJc w:val="left"/>
      <w:pPr>
        <w:ind w:left="720" w:hanging="360"/>
      </w:pPr>
      <w:rPr>
        <w:rFonts w:eastAsia="Times New Roman" w:hint="default"/>
        <w:w w:val="100"/>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1A2043"/>
    <w:multiLevelType w:val="hybridMultilevel"/>
    <w:tmpl w:val="97F4D5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nsid w:val="4B280F53"/>
    <w:multiLevelType w:val="hybridMultilevel"/>
    <w:tmpl w:val="565426DE"/>
    <w:lvl w:ilvl="0">
      <w:start w:val="1"/>
      <w:numFmt w:val="lowerLetter"/>
      <w:lvlText w:val="(%1)"/>
      <w:lvlJc w:val="left"/>
      <w:pPr>
        <w:ind w:left="704" w:hanging="420"/>
      </w:pPr>
      <w:rPr>
        <w:rFonts w:hint="default"/>
      </w:rPr>
    </w:lvl>
    <w:lvl w:ilvl="1">
      <w:start w:val="1"/>
      <w:numFmt w:val="lowerRoman"/>
      <w:lvlText w:val="%2."/>
      <w:lvlJc w:val="center"/>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1">
    <w:nsid w:val="4FDD16C4"/>
    <w:multiLevelType w:val="hybridMultilevel"/>
    <w:tmpl w:val="6D1C391E"/>
    <w:lvl w:ilvl="0">
      <w:start w:val="1"/>
      <w:numFmt w:val="lowerRoman"/>
      <w:lvlText w:val="(%1)"/>
      <w:lvlJc w:val="left"/>
      <w:pPr>
        <w:tabs>
          <w:tab w:val="num" w:pos="1080"/>
        </w:tabs>
        <w:ind w:left="1080" w:hanging="360"/>
      </w:pPr>
      <w:rPr>
        <w:rFonts w:eastAsia="Times New Roman" w:hint="default"/>
        <w:b w:val="0"/>
        <w:spacing w:val="0"/>
        <w:w w:val="100"/>
        <w:sz w:val="22"/>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8E7545B"/>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971C1F"/>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4">
    <w:nsid w:val="5C4916D7"/>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6D541C"/>
    <w:multiLevelType w:val="hybridMultilevel"/>
    <w:tmpl w:val="EFB230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4638EA"/>
    <w:multiLevelType w:val="hybridMultilevel"/>
    <w:tmpl w:val="75F0E338"/>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390D2F"/>
    <w:multiLevelType w:val="hybridMultilevel"/>
    <w:tmpl w:val="677A467E"/>
    <w:lvl w:ilvl="0">
      <w:start w:val="1"/>
      <w:numFmt w:val="lowerLetter"/>
      <w:lvlText w:val="(%1)"/>
      <w:lvlJc w:val="left"/>
      <w:pPr>
        <w:tabs>
          <w:tab w:val="num" w:pos="1080"/>
        </w:tabs>
        <w:ind w:left="1080" w:hanging="360"/>
      </w:pPr>
      <w:rPr>
        <w:rFonts w:cs="Times New Roman" w:hint="default"/>
        <w:b w:val="0"/>
        <w:spacing w:val="0"/>
        <w:sz w:val="20"/>
        <w:szCs w:val="20"/>
      </w:rPr>
    </w:lvl>
    <w:lvl w:ilvl="1">
      <w:start w:val="1"/>
      <w:numFmt w:val="lowerRoman"/>
      <w:lvlText w:val="(%2)"/>
      <w:lvlJc w:val="left"/>
      <w:pPr>
        <w:tabs>
          <w:tab w:val="num" w:pos="1440"/>
        </w:tabs>
        <w:ind w:left="1440" w:hanging="360"/>
      </w:pPr>
      <w:rPr>
        <w:rFonts w:hint="default"/>
        <w:b w:val="0"/>
        <w:spacing w:val="0"/>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Jc w:val="left"/>
      <w:pPr>
        <w:tabs>
          <w:tab w:val="num" w:pos="3969"/>
        </w:tabs>
        <w:ind w:left="3969" w:hanging="680"/>
      </w:pPr>
      <w:rPr>
        <w:rFonts w:hint="default"/>
      </w:rPr>
    </w:lvl>
    <w:lvl w:ilvl="7">
      <w:start w:val="1"/>
      <w:numFmt w:val="none"/>
      <w:pStyle w:val="Level8"/>
      <w:lvlJc w:val="left"/>
      <w:pPr>
        <w:tabs>
          <w:tab w:val="num" w:pos="3969"/>
        </w:tabs>
        <w:ind w:left="3969" w:hanging="680"/>
      </w:pPr>
      <w:rPr>
        <w:rFonts w:hint="default"/>
      </w:rPr>
    </w:lvl>
    <w:lvl w:ilvl="8">
      <w:start w:val="1"/>
      <w:numFmt w:val="none"/>
      <w:pStyle w:val="Level9"/>
      <w:lvlJc w:val="left"/>
      <w:pPr>
        <w:tabs>
          <w:tab w:val="num" w:pos="3969"/>
        </w:tabs>
        <w:ind w:left="3969" w:hanging="680"/>
      </w:pPr>
      <w:rPr>
        <w:rFonts w:hint="default"/>
      </w:rPr>
    </w:lvl>
  </w:abstractNum>
  <w:abstractNum w:abstractNumId="39">
    <w:nsid w:val="6E155EC0"/>
    <w:multiLevelType w:val="hybridMultilevel"/>
    <w:tmpl w:val="78FE131C"/>
    <w:lvl w:ilvl="0">
      <w:start w:val="1"/>
      <w:numFmt w:val="lowerRoman"/>
      <w:lvlText w:val="(%1)"/>
      <w:lvlJc w:val="left"/>
      <w:pPr>
        <w:ind w:left="720" w:hanging="360"/>
      </w:pPr>
      <w:rPr>
        <w:rFonts w:hint="default"/>
        <w:b w:val="0"/>
        <w:sz w:val="20"/>
        <w:szCs w:val="20"/>
      </w:rPr>
    </w:lvl>
    <w:lvl w:ilvl="1">
      <w:start w:val="1"/>
      <w:numFmt w:val="lowerLetter"/>
      <w:lvlText w:val="(%2)"/>
      <w:lvlJc w:val="left"/>
      <w:pPr>
        <w:ind w:left="4047"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CC568E"/>
    <w:multiLevelType w:val="hybridMultilevel"/>
    <w:tmpl w:val="C04223D6"/>
    <w:lvl w:ilvl="0">
      <w:start w:val="1"/>
      <w:numFmt w:val="decimal"/>
      <w:lvlText w:val="%1."/>
      <w:lvlJc w:val="left"/>
      <w:pPr>
        <w:ind w:left="120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9B4DD5"/>
    <w:multiLevelType w:val="hybridMultilevel"/>
    <w:tmpl w:val="6344C7C4"/>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00A058E"/>
    <w:multiLevelType w:val="hybridMultilevel"/>
    <w:tmpl w:val="6C00C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1C44C98"/>
    <w:multiLevelType w:val="hybridMultilevel"/>
    <w:tmpl w:val="3D28A560"/>
    <w:lvl w:ilvl="0">
      <w:start w:val="1"/>
      <w:numFmt w:val="lowerRoman"/>
      <w:lvlText w:val="(%1)"/>
      <w:lvlJc w:val="left"/>
      <w:pPr>
        <w:ind w:left="1920" w:hanging="360"/>
      </w:pPr>
      <w:rPr>
        <w:rFonts w:hint="default"/>
        <w:b w:val="0"/>
        <w:spacing w:val="0"/>
      </w:rPr>
    </w:lvl>
    <w:lvl w:ilvl="1">
      <w:start w:val="1"/>
      <w:numFmt w:val="lowerLetter"/>
      <w:lvlText w:val="%2."/>
      <w:lvlJc w:val="left"/>
      <w:pPr>
        <w:ind w:left="2640" w:hanging="360"/>
      </w:pPr>
    </w:lvl>
    <w:lvl w:ilvl="2" w:tentative="1">
      <w:start w:val="1"/>
      <w:numFmt w:val="lowerRoman"/>
      <w:lvlText w:val="%3."/>
      <w:lvlJc w:val="right"/>
      <w:pPr>
        <w:ind w:left="3360" w:hanging="180"/>
      </w:pPr>
    </w:lvl>
    <w:lvl w:ilvl="3">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44">
    <w:nsid w:val="73863DAB"/>
    <w:multiLevelType w:val="hybridMultilevel"/>
    <w:tmpl w:val="96D25A8A"/>
    <w:lvl w:ilvl="0">
      <w:start w:val="1"/>
      <w:numFmt w:val="lowerLetter"/>
      <w:lvlText w:val="(%1)"/>
      <w:lvlJc w:val="left"/>
      <w:pPr>
        <w:tabs>
          <w:tab w:val="num" w:pos="1080"/>
        </w:tabs>
        <w:ind w:left="1080" w:hanging="360"/>
      </w:pPr>
      <w:rPr>
        <w:rFonts w:cs="Times New Roman" w:hint="default"/>
        <w:b w:val="0"/>
        <w:spacing w:val="0"/>
        <w:sz w:val="20"/>
        <w:szCs w:val="2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D3041D"/>
    <w:multiLevelType w:val="hybridMultilevel"/>
    <w:tmpl w:val="7F44FAB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C2B4BF9"/>
    <w:multiLevelType w:val="hybridMultilevel"/>
    <w:tmpl w:val="399225B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7EA55597"/>
    <w:multiLevelType w:val="hybridMultilevel"/>
    <w:tmpl w:val="2634EE5E"/>
    <w:lvl w:ilvl="0">
      <w:start w:val="1"/>
      <w:numFmt w:val="lowerRoman"/>
      <w:lvlText w:val="(%1)"/>
      <w:lvlJc w:val="left"/>
      <w:pPr>
        <w:tabs>
          <w:tab w:val="num" w:pos="840"/>
        </w:tabs>
        <w:ind w:left="840" w:hanging="720"/>
      </w:pPr>
      <w:rPr>
        <w:rFonts w:cs="Tahoma" w:hint="default"/>
        <w:b w:val="0"/>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49">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Ttulo9Char"/>
    <w:qFormat/>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basedOn w:val="DefaultParagraphFont"/>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CorpodetextoChar"/>
    <w:pPr>
      <w:spacing w:after="120"/>
    </w:pPr>
  </w:style>
  <w:style w:type="paragraph" w:styleId="Footer">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RecuodecorpodetextoChar"/>
    <w:pPr>
      <w:spacing w:after="120"/>
      <w:ind w:left="283"/>
    </w:pPr>
  </w:style>
  <w:style w:type="paragraph" w:styleId="BodyText3">
    <w:name w:val="Body Text 3"/>
    <w:basedOn w:val="Normal"/>
    <w:link w:val="Corpodetexto3Char"/>
    <w:pPr>
      <w:spacing w:after="120"/>
    </w:pPr>
    <w:rPr>
      <w:sz w:val="16"/>
      <w:szCs w:val="16"/>
    </w:rPr>
  </w:style>
  <w:style w:type="paragraph" w:styleId="BodyTextIndent3">
    <w:name w:val="Body Text Indent 3"/>
    <w:basedOn w:val="Normal"/>
    <w:link w:val="Recuodecorpodetexto3Char"/>
    <w:pPr>
      <w:spacing w:after="120"/>
      <w:ind w:left="283"/>
    </w:pPr>
    <w:rPr>
      <w:sz w:val="16"/>
      <w:szCs w:val="16"/>
    </w:rPr>
  </w:style>
  <w:style w:type="character" w:customStyle="1" w:styleId="Char">
    <w:name w:val="Char"/>
    <w:basedOn w:val="DefaultParagraphFont"/>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TextodecomentrioChar"/>
    <w:rPr>
      <w:sz w:val="20"/>
      <w:szCs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rPr>
      <w:rFonts w:ascii="Tahoma" w:hAnsi="Tahoma" w:cs="Swiss"/>
      <w:sz w:val="16"/>
      <w:szCs w:val="16"/>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color w:val="000000"/>
    </w:rPr>
  </w:style>
  <w:style w:type="paragraph" w:customStyle="1" w:styleId="Corpo">
    <w:name w:val="Corpo"/>
    <w:rPr>
      <w:color w:val="000000"/>
      <w:sz w:val="28"/>
    </w:rPr>
  </w:style>
  <w:style w:type="paragraph" w:styleId="DocumentMap">
    <w:name w:val="Document Map"/>
    <w:basedOn w:val="Normal"/>
    <w:link w:val="MapadoDocumentoChar"/>
    <w:pPr>
      <w:shd w:val="clear" w:color="auto" w:fill="000080"/>
    </w:pPr>
    <w:rPr>
      <w:rFonts w:ascii="Tahoma" w:hAnsi="Tahoma" w:cs="Tahoma"/>
      <w:sz w:val="20"/>
      <w:szCs w:val="20"/>
    </w:r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TextodenotaderodapChar"/>
    <w:rPr>
      <w:sz w:val="20"/>
      <w:szCs w:val="20"/>
    </w:rPr>
  </w:style>
  <w:style w:type="character" w:customStyle="1" w:styleId="TextodenotaderodapChar">
    <w:name w:val="Texto de nota de rodapé Char"/>
    <w:basedOn w:val="DefaultParagraphFont"/>
    <w:link w:val="FootnoteText"/>
  </w:style>
  <w:style w:type="character" w:styleId="FootnoteReference">
    <w:name w:val="footnote reference"/>
    <w:basedOn w:val="DefaultParagraphFont"/>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DefaultParagraphFont"/>
    <w:link w:val="BNDES"/>
    <w:rPr>
      <w:rFonts w:ascii="Arial" w:hAnsi="Arial"/>
      <w:sz w:val="24"/>
      <w:lang w:eastAsia="ar-SA"/>
    </w:rPr>
  </w:style>
  <w:style w:type="character" w:customStyle="1" w:styleId="Ttulo9Char">
    <w:name w:val="Título 9 Char"/>
    <w:basedOn w:val="DefaultParagraphFont"/>
    <w:link w:val="Heading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DefaultParagraphFont"/>
    <w:link w:val="PlainText"/>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DefaultParagraphFont"/>
    <w:rPr>
      <w:noProof w:val="0"/>
      <w:sz w:val="24"/>
      <w:szCs w:val="24"/>
      <w:lang w:val="pt-BR" w:eastAsia="pt-BR" w:bidi="ar-SA"/>
    </w:rPr>
  </w:style>
  <w:style w:type="character" w:customStyle="1" w:styleId="Char2">
    <w:name w:val="Char2"/>
    <w:basedOn w:val="DefaultParagraphFont"/>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DefaultParagraphFont"/>
    <w:link w:val="Footer"/>
    <w:uiPriority w:val="99"/>
    <w:rPr>
      <w:sz w:val="24"/>
      <w:szCs w:val="24"/>
    </w:rPr>
  </w:style>
  <w:style w:type="character" w:customStyle="1" w:styleId="RecuodecorpodetextoChar">
    <w:name w:val="Recuo de corpo de texto Char"/>
    <w:basedOn w:val="DefaultParagraphFont"/>
    <w:link w:val="BodyTextIndent"/>
    <w:locked/>
    <w:rPr>
      <w:sz w:val="24"/>
      <w:szCs w:val="24"/>
    </w:rPr>
  </w:style>
  <w:style w:type="character" w:customStyle="1" w:styleId="Corpodetexto2Char">
    <w:name w:val="Corpo de texto 2 Char"/>
    <w:link w:val="BodyText2"/>
    <w:rPr>
      <w:color w:val="0000FF"/>
      <w:sz w:val="24"/>
      <w:szCs w:val="24"/>
    </w:rPr>
  </w:style>
  <w:style w:type="character" w:styleId="FollowedHyperlink">
    <w:name w:val="FollowedHyperlink"/>
    <w:basedOn w:val="DefaultParagraphFont"/>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DefaultParagraphFont"/>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left" w:pos="567"/>
        <w:tab w:val="clear" w:pos="720"/>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left" w:pos="567"/>
        <w:tab w:val="clear" w:pos="720"/>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DefaultParagraphFont"/>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ion">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ListParagraph"/>
    <w:uiPriority w:val="34"/>
    <w:locked/>
    <w:rPr>
      <w:rFonts w:ascii="Calibri" w:eastAsia="Calibri" w:hAnsi="Calibri"/>
      <w:sz w:val="22"/>
      <w:szCs w:val="22"/>
    </w:rPr>
  </w:style>
  <w:style w:type="character" w:customStyle="1" w:styleId="Ttulo4Char">
    <w:name w:val="Título 4 Char"/>
    <w:basedOn w:val="DefaultParagraphFont"/>
    <w:link w:val="Heading4"/>
    <w:rPr>
      <w:rFonts w:eastAsia="Arial Unicode MS"/>
      <w:b/>
      <w:bCs/>
      <w:sz w:val="22"/>
      <w:szCs w:val="22"/>
      <w:shd w:val="clear" w:color="auto" w:fill="FFFFFF"/>
    </w:rPr>
  </w:style>
  <w:style w:type="character" w:customStyle="1" w:styleId="Ttulo5Char">
    <w:name w:val="Título 5 Char"/>
    <w:basedOn w:val="DefaultParagraphFont"/>
    <w:link w:val="Heading5"/>
    <w:rPr>
      <w:b/>
      <w:bCs/>
      <w:sz w:val="22"/>
      <w:szCs w:val="22"/>
    </w:rPr>
  </w:style>
  <w:style w:type="character" w:customStyle="1" w:styleId="CorpodetextoChar">
    <w:name w:val="Corpo de texto Char"/>
    <w:aliases w:val="b Char"/>
    <w:basedOn w:val="DefaultParagraphFont"/>
    <w:link w:val="BodyText"/>
    <w:rPr>
      <w:sz w:val="24"/>
      <w:szCs w:val="24"/>
    </w:rPr>
  </w:style>
  <w:style w:type="character" w:customStyle="1" w:styleId="Corpodetexto3Char">
    <w:name w:val="Corpo de texto 3 Char"/>
    <w:basedOn w:val="DefaultParagraphFont"/>
    <w:link w:val="BodyText3"/>
    <w:rPr>
      <w:sz w:val="16"/>
      <w:szCs w:val="16"/>
    </w:rPr>
  </w:style>
  <w:style w:type="character" w:customStyle="1" w:styleId="Recuodecorpodetexto3Char">
    <w:name w:val="Recuo de corpo de texto 3 Char"/>
    <w:basedOn w:val="DefaultParagraphFont"/>
    <w:link w:val="BodyTextIndent3"/>
    <w:rPr>
      <w:sz w:val="16"/>
      <w:szCs w:val="16"/>
    </w:rPr>
  </w:style>
  <w:style w:type="character" w:customStyle="1" w:styleId="TextodecomentrioChar">
    <w:name w:val="Texto de comentário Char"/>
    <w:basedOn w:val="DefaultParagraphFont"/>
    <w:link w:val="CommentText"/>
  </w:style>
  <w:style w:type="character" w:customStyle="1" w:styleId="AssuntodocomentrioChar">
    <w:name w:val="Assunto do comentário Char"/>
    <w:basedOn w:val="TextodecomentrioChar"/>
    <w:link w:val="CommentSubject"/>
    <w:rPr>
      <w:b/>
      <w:bCs/>
    </w:rPr>
  </w:style>
  <w:style w:type="character" w:customStyle="1" w:styleId="TextodebaloChar">
    <w:name w:val="Texto de balão Char"/>
    <w:basedOn w:val="DefaultParagraphFont"/>
    <w:link w:val="BalloonText"/>
    <w:rPr>
      <w:rFonts w:ascii="Tahoma" w:hAnsi="Tahoma" w:cs="Swiss"/>
      <w:sz w:val="16"/>
      <w:szCs w:val="16"/>
    </w:rPr>
  </w:style>
  <w:style w:type="character" w:customStyle="1" w:styleId="Recuodecorpodetexto2Char">
    <w:name w:val="Recuo de corpo de texto 2 Char"/>
    <w:basedOn w:val="DefaultParagraphFont"/>
    <w:link w:val="BodyTextIndent2"/>
    <w:rPr>
      <w:sz w:val="24"/>
      <w:szCs w:val="24"/>
    </w:rPr>
  </w:style>
  <w:style w:type="character" w:customStyle="1" w:styleId="TtuloChar">
    <w:name w:val="Título Char"/>
    <w:basedOn w:val="DefaultParagraphFont"/>
    <w:link w:val="Title"/>
    <w:rPr>
      <w:rFonts w:ascii="Bookman Old Style" w:hAnsi="Bookman Old Style"/>
      <w:b/>
      <w:sz w:val="22"/>
    </w:rPr>
  </w:style>
  <w:style w:type="character" w:customStyle="1" w:styleId="MapadoDocumentoChar">
    <w:name w:val="Mapa do Documento Char"/>
    <w:basedOn w:val="DefaultParagraphFont"/>
    <w:link w:val="DocumentMap"/>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6485-7AC3-4140-82FF-F6A8643A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19390</Words>
  <Characters>110960</Characters>
  <Application>Microsoft Office Word</Application>
  <DocSecurity>0</DocSecurity>
  <Lines>913</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1" baseType="lpstr">
      <vt:lpstr/>
    </vt:vector>
  </TitlesOfParts>
  <Company/>
  <LinksUpToDate>false</LinksUpToDate>
  <CharactersWithSpaces>129833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4AAAUmLmXdMZevQux4T1+ohDPwwxn6BXh5sZ0Ouesuno47n5dZ99RijSUA==</vt:lpwstr>
  </property>
  <property fmtid="{D5CDD505-2E9C-101B-9397-08002B2CF9AE}" pid="3"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4" name="MAIL_MSG_ID2">
    <vt:lpwstr>bGLdD4eqUFfOtZPY5JQ4q6lNYylKVFlI9+pjWOGVoSZtxM3hK8cyxb6NwdO_x000D_
caOTom4QOQnYWcjnAC/h1q83B1SZzbis+KnnLjpqhZBGjlfU3Z1tme8ryzc=</vt:lpwstr>
  </property>
  <property fmtid="{D5CDD505-2E9C-101B-9397-08002B2CF9AE}" pid="5" name="RESPONSE_SENDER_NAME">
    <vt:lpwstr>sAAAGYoQX4c3X/IKEAg9x6w+pqKA8Ezz2i1N0MLl8n+X3MA=</vt:lpwstr>
  </property>
</Properties>
</file>