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odyTextContinued"/>
        <w:pBdr>
          <w:bottom w:val="double" w:sz="6" w:space="4" w:color="auto"/>
        </w:pBdr>
        <w:spacing w:after="0" w:line="300" w:lineRule="exact"/>
        <w:jc w:val="lef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1312" behindDoc="0" locked="0" layoutInCell="1" allowOverlap="1">
            <wp:simplePos x="0" y="0"/>
            <wp:positionH relativeFrom="column">
              <wp:posOffset>520</wp:posOffset>
            </wp:positionH>
            <wp:positionV relativeFrom="paragraph">
              <wp:posOffset>478</wp:posOffset>
            </wp:positionV>
            <wp:extent cx="980991" cy="567760"/>
            <wp:effectExtent l="0" t="0" r="0" b="3810"/>
            <wp:wrapTopAndBottom/>
            <wp:docPr id="100005" name="Imagem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8">
                      <a:extLst>
                        <a:ext uri="{28A0092B-C50C-407E-A947-70E740481C1C}">
                          <a14:useLocalDpi xmlns:a14="http://schemas.microsoft.com/office/drawing/2010/main" val="0"/>
                        </a:ext>
                      </a:extLst>
                    </a:blip>
                    <a:stretch>
                      <a:fillRect/>
                    </a:stretch>
                  </pic:blipFill>
                  <pic:spPr>
                    <a:xfrm>
                      <a:off x="0" y="0"/>
                      <a:ext cx="980991" cy="567760"/>
                    </a:xfrm>
                    <a:prstGeom prst="rect">
                      <a:avLst/>
                    </a:prstGeom>
                  </pic:spPr>
                </pic:pic>
              </a:graphicData>
            </a:graphic>
          </wp:anchor>
        </w:drawing>
      </w:r>
    </w:p>
    <w:p>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pacing w:line="300" w:lineRule="exact"/>
        <w:jc w:val="both"/>
        <w:rPr>
          <w:rFonts w:ascii="Arial" w:hAnsi="Arial" w:cs="Arial"/>
          <w:bCs/>
          <w:i/>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entre</w:t>
      </w:r>
    </w:p>
    <w:p>
      <w:pPr>
        <w:spacing w:line="300" w:lineRule="exact"/>
        <w:jc w:val="center"/>
        <w:rPr>
          <w:rFonts w:ascii="Arial" w:hAnsi="Arial" w:cs="Arial"/>
          <w:b/>
          <w:sz w:val="22"/>
          <w:szCs w:val="22"/>
        </w:rPr>
      </w:pPr>
    </w:p>
    <w:p>
      <w:pPr>
        <w:spacing w:line="300" w:lineRule="exact"/>
        <w:jc w:val="center"/>
        <w:rPr>
          <w:rFonts w:ascii="Arial" w:hAnsi="Arial" w:cs="Arial"/>
          <w:b/>
          <w:smallCaps/>
          <w:sz w:val="22"/>
          <w:szCs w:val="22"/>
        </w:rPr>
      </w:pPr>
      <w:r>
        <w:rPr>
          <w:rFonts w:ascii="Arial" w:hAnsi="Arial" w:cs="Arial"/>
          <w:b/>
          <w:caps/>
          <w:sz w:val="22"/>
          <w:szCs w:val="22"/>
        </w:rPr>
        <w:t>Vidroporto S.A.</w:t>
      </w:r>
    </w:p>
    <w:p>
      <w:pPr>
        <w:spacing w:line="300" w:lineRule="exact"/>
        <w:jc w:val="center"/>
        <w:rPr>
          <w:rFonts w:ascii="Arial" w:hAnsi="Arial" w:cs="Arial"/>
          <w:bCs/>
          <w:i/>
          <w:sz w:val="22"/>
          <w:szCs w:val="22"/>
        </w:rPr>
      </w:pPr>
      <w:r>
        <w:rPr>
          <w:rFonts w:ascii="Arial" w:hAnsi="Arial" w:cs="Arial"/>
          <w:bCs/>
          <w:i/>
          <w:sz w:val="22"/>
          <w:szCs w:val="22"/>
        </w:rPr>
        <w:t>como Emissora,</w:t>
      </w:r>
    </w:p>
    <w:p>
      <w:pPr>
        <w:spacing w:line="300" w:lineRule="exact"/>
        <w:jc w:val="center"/>
        <w:rPr>
          <w:rFonts w:ascii="Arial" w:hAnsi="Arial" w:cs="Arial"/>
          <w:b/>
          <w:bCs/>
          <w:sz w:val="22"/>
          <w:szCs w:val="22"/>
        </w:rPr>
      </w:pPr>
    </w:p>
    <w:p>
      <w:pPr>
        <w:tabs>
          <w:tab w:val="left" w:pos="6930"/>
        </w:tabs>
        <w:spacing w:line="300" w:lineRule="exact"/>
        <w:jc w:val="center"/>
        <w:rPr>
          <w:rFonts w:ascii="Arial" w:hAnsi="Arial" w:cs="Arial"/>
          <w:b/>
          <w:bCs/>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pacing w:line="300" w:lineRule="exact"/>
        <w:jc w:val="center"/>
        <w:rPr>
          <w:rFonts w:ascii="Arial" w:hAnsi="Arial" w:cs="Arial"/>
          <w:b/>
          <w:sz w:val="22"/>
          <w:szCs w:val="22"/>
        </w:rPr>
      </w:pPr>
      <w:r>
        <w:rPr>
          <w:rFonts w:ascii="Arial" w:hAnsi="Arial" w:cs="Arial"/>
          <w:i/>
          <w:sz w:val="22"/>
          <w:szCs w:val="22"/>
        </w:rPr>
        <w:t>como Agente Fiduciário</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w:t>
      </w:r>
      <w:bookmarkStart w:id="0" w:name="_GoBack"/>
      <w:bookmarkEnd w:id="0"/>
    </w:p>
    <w:p>
      <w:pPr>
        <w:spacing w:line="300" w:lineRule="exact"/>
        <w:jc w:val="center"/>
        <w:rPr>
          <w:rFonts w:ascii="Arial" w:hAnsi="Arial" w:cs="Arial"/>
          <w:b/>
          <w:sz w:val="22"/>
          <w:szCs w:val="22"/>
        </w:rPr>
      </w:pPr>
    </w:p>
    <w:p>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center"/>
        <w:rPr>
          <w:rFonts w:ascii="Arial" w:hAnsi="Arial" w:cs="Arial"/>
          <w:bCs/>
          <w:i/>
          <w:sz w:val="22"/>
          <w:szCs w:val="22"/>
        </w:rPr>
      </w:pPr>
      <w:r>
        <w:rPr>
          <w:rFonts w:ascii="Arial" w:hAnsi="Arial" w:cs="Arial"/>
          <w:bCs/>
          <w:i/>
          <w:sz w:val="22"/>
          <w:szCs w:val="22"/>
        </w:rPr>
        <w:t>Como Fiador,</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both"/>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fevereiro de 2020</w:t>
      </w:r>
    </w:p>
    <w:p>
      <w:pPr>
        <w:spacing w:line="300" w:lineRule="exact"/>
        <w:jc w:val="center"/>
        <w:rPr>
          <w:rFonts w:ascii="Arial" w:hAnsi="Arial" w:cs="Arial"/>
          <w:b/>
          <w:sz w:val="22"/>
          <w:szCs w:val="22"/>
        </w:rPr>
      </w:pPr>
    </w:p>
    <w:p>
      <w:pPr>
        <w:pStyle w:val="BodyTextContinued"/>
        <w:pBdr>
          <w:bottom w:val="double" w:sz="6" w:space="4" w:color="auto"/>
        </w:pBdr>
        <w:spacing w:after="0" w:line="300" w:lineRule="exact"/>
        <w:jc w:val="center"/>
        <w:rPr>
          <w:rFonts w:ascii="Arial" w:hAnsi="Arial" w:cs="Arial"/>
          <w:smallCaps/>
          <w:sz w:val="22"/>
          <w:szCs w:val="22"/>
          <w:lang w:val="pt-BR" w:eastAsia="pt-BR"/>
        </w:rPr>
      </w:pPr>
    </w:p>
    <w:p>
      <w:pPr>
        <w:spacing w:line="300" w:lineRule="exact"/>
        <w:jc w:val="both"/>
        <w:rPr>
          <w:rFonts w:ascii="Arial" w:hAnsi="Arial" w:cs="Arial"/>
          <w:b/>
          <w:sz w:val="22"/>
          <w:szCs w:val="22"/>
        </w:rPr>
      </w:pPr>
      <w:r>
        <w:rPr>
          <w:rFonts w:ascii="Arial" w:hAnsi="Arial" w:cs="Arial"/>
          <w:b/>
          <w:caps/>
          <w:sz w:val="22"/>
          <w:szCs w:val="22"/>
        </w:rPr>
        <w:br w:type="page"/>
      </w:r>
    </w:p>
    <w:p>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Quatroefe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Corpodetexto"/>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both"/>
        <w:rPr>
          <w:rFonts w:ascii="Arial" w:hAnsi="Arial" w:cs="Arial"/>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pPr>
        <w:spacing w:line="300" w:lineRule="exact"/>
        <w:ind w:left="360"/>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1" w:name="_Ref264218835"/>
      <w:r>
        <w:rPr>
          <w:rFonts w:ascii="Arial" w:hAnsi="Arial" w:cs="Arial"/>
          <w:sz w:val="22"/>
          <w:szCs w:val="22"/>
        </w:rPr>
        <w:t>Esta Escritura de Emissão é celebrada com base nas deliberações da Assembleia Geral Extraordinária da Emissora realizada em 20 de dezembro de 2019 (“</w:t>
      </w:r>
      <w:r>
        <w:rPr>
          <w:rFonts w:ascii="Arial" w:hAnsi="Arial" w:cs="Arial"/>
          <w:sz w:val="22"/>
          <w:szCs w:val="22"/>
          <w:u w:val="single"/>
        </w:rPr>
        <w:t>AGE</w:t>
      </w:r>
      <w:r>
        <w:rPr>
          <w:rFonts w:ascii="Arial" w:hAnsi="Arial" w:cs="Arial"/>
          <w:sz w:val="22"/>
          <w:szCs w:val="22"/>
        </w:rPr>
        <w:t>”), cuja ata foi registrada na Junta Comercial do Estado de São Paulo (“</w:t>
      </w:r>
      <w:r>
        <w:rPr>
          <w:rFonts w:ascii="Arial" w:hAnsi="Arial" w:cs="Arial"/>
          <w:sz w:val="22"/>
          <w:szCs w:val="22"/>
          <w:u w:val="single"/>
        </w:rPr>
        <w:t>JUCESP</w:t>
      </w:r>
      <w:r>
        <w:rPr>
          <w:rFonts w:ascii="Arial" w:hAnsi="Arial" w:cs="Arial"/>
          <w:sz w:val="22"/>
          <w:szCs w:val="22"/>
        </w:rPr>
        <w:t>”), em 12 de fevereiro de 2020 sob n° 77.187/20-9,e será publicada no jornal “Folha de S. Paulo” e no Diário Oficial do Estado de São Paulo (“</w:t>
      </w:r>
      <w:r>
        <w:rPr>
          <w:rFonts w:ascii="Arial" w:hAnsi="Arial" w:cs="Arial"/>
          <w:sz w:val="22"/>
          <w:szCs w:val="22"/>
          <w:u w:val="single"/>
        </w:rPr>
        <w:t>DOESP</w:t>
      </w:r>
      <w:r>
        <w:rPr>
          <w:rFonts w:ascii="Arial" w:hAnsi="Arial" w:cs="Arial"/>
          <w:sz w:val="22"/>
          <w:szCs w:val="22"/>
        </w:rPr>
        <w:t>”, em conjunto com o jornal Folha de S. Paulo, os “</w:t>
      </w:r>
      <w:r>
        <w:rPr>
          <w:rFonts w:ascii="Arial" w:hAnsi="Arial" w:cs="Arial"/>
          <w:sz w:val="22"/>
          <w:szCs w:val="22"/>
          <w:u w:val="single"/>
        </w:rPr>
        <w:t>Jornais da Emissora</w:t>
      </w:r>
      <w:r>
        <w:rPr>
          <w:rFonts w:ascii="Arial" w:hAnsi="Arial" w:cs="Arial"/>
          <w:sz w:val="22"/>
          <w:szCs w:val="22"/>
        </w:rPr>
        <w:t xml:space="preserve">”) , na qual foram deliberadas e aprovadas (i) </w:t>
      </w:r>
      <w:r>
        <w:rPr>
          <w:rFonts w:ascii="Arial" w:hAnsi="Arial" w:cs="Arial"/>
          <w:bCs/>
          <w:sz w:val="22"/>
          <w:szCs w:val="22"/>
        </w:rPr>
        <w:t>a Emissão (conforme abaixo definido), nos termos da Instrução da Comissão de Valores Mobiliários (“</w:t>
      </w:r>
      <w:r>
        <w:rPr>
          <w:rFonts w:ascii="Arial" w:hAnsi="Arial" w:cs="Arial"/>
          <w:bCs/>
          <w:sz w:val="22"/>
          <w:szCs w:val="22"/>
          <w:u w:val="single"/>
        </w:rPr>
        <w:t>CVM</w:t>
      </w:r>
      <w:r>
        <w:rPr>
          <w:rFonts w:ascii="Arial" w:hAnsi="Arial" w:cs="Arial"/>
          <w:bCs/>
          <w:sz w:val="22"/>
          <w:szCs w:val="22"/>
        </w:rPr>
        <w:t>”) nº 476, de 16 de janeiro de 2009, conforme alterada, objeto da oferta pública de distribuição com esforços restritos de colocação, nos termos da Lei nº 6.385, de 7 de dezembro de 1976, conforme alterada (“</w:t>
      </w:r>
      <w:r>
        <w:rPr>
          <w:rFonts w:ascii="Arial" w:hAnsi="Arial" w:cs="Arial"/>
          <w:bCs/>
          <w:sz w:val="22"/>
          <w:szCs w:val="22"/>
          <w:u w:val="single"/>
        </w:rPr>
        <w:t>Lei do Mercado de Valores Mobiliários</w:t>
      </w:r>
      <w:r>
        <w:rPr>
          <w:rFonts w:ascii="Arial" w:hAnsi="Arial" w:cs="Arial"/>
          <w:bCs/>
          <w:sz w:val="22"/>
          <w:szCs w:val="22"/>
        </w:rPr>
        <w:t>”); (ii) a autorização para a outorga, pela Companhia, de garantias vinculadas à Emissão; (iii) a autorização para a administração da Companhia: (a) celebrar todos os documentos e seus eventuais aditamentos e praticar todos os atos necessários à realização da Emissão e da Oferta, incluindo mas não limitado a todos os atos necessários à constituição das Garantias; (b) contratar instituição(ões) financeira(s) para intermediar e coordenar a Oferta, além de contratar os demais prestadores de serviços para Emissão e a Oferta, incluindo agente fiduciário, banco liquidante, escriturador mandatário e assessor legal, entre outros, podendo, para tanto, negociar e assinar os respectivos contratos; e (iv) a ratificação de todos os atos já praticados relacionados às deliberações acima.</w:t>
      </w:r>
    </w:p>
    <w:bookmarkEnd w:id="1"/>
    <w:p>
      <w:pPr>
        <w:spacing w:line="300" w:lineRule="exact"/>
        <w:jc w:val="both"/>
        <w:rPr>
          <w:rFonts w:ascii="Arial" w:hAnsi="Arial" w:cs="Arial"/>
          <w:b/>
          <w:sz w:val="22"/>
          <w:szCs w:val="22"/>
        </w:rPr>
      </w:pPr>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outorga da Fiança (conforme abaixo definida) foi aprovada com base nas deliberações da Reunião de Sócios da Quatroefe Administração e Participações Ltda. realizada em 23 de dezembro de 2019 (“</w:t>
      </w:r>
      <w:r>
        <w:rPr>
          <w:rFonts w:ascii="Arial" w:hAnsi="Arial" w:cs="Arial"/>
          <w:sz w:val="22"/>
          <w:szCs w:val="22"/>
          <w:u w:val="single"/>
        </w:rPr>
        <w:t>Reunião de Sócios Quatroefe</w:t>
      </w:r>
      <w:r>
        <w:rPr>
          <w:rFonts w:ascii="Arial" w:hAnsi="Arial" w:cs="Arial"/>
          <w:sz w:val="22"/>
          <w:szCs w:val="22"/>
        </w:rPr>
        <w:t>”).</w:t>
      </w:r>
    </w:p>
    <w:p>
      <w:pPr>
        <w:pStyle w:val="PargrafodaLista"/>
        <w:rPr>
          <w:rFonts w:ascii="Arial" w:hAnsi="Arial" w:cs="Arial"/>
        </w:rPr>
      </w:pPr>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realizada em 31 de dezembro de 2019 (“</w:t>
      </w:r>
      <w:r>
        <w:rPr>
          <w:rFonts w:ascii="Arial" w:hAnsi="Arial" w:cs="Arial"/>
          <w:sz w:val="22"/>
          <w:szCs w:val="22"/>
          <w:u w:val="single"/>
        </w:rPr>
        <w:t>Reunião de Sócios IVN</w:t>
      </w:r>
      <w:r>
        <w:rPr>
          <w:rFonts w:ascii="Arial" w:hAnsi="Arial" w:cs="Arial"/>
          <w:sz w:val="22"/>
          <w:szCs w:val="22"/>
        </w:rPr>
        <w:t>”), foi registrada na Junta Comercial do Estado do Sergipe (“</w:t>
      </w:r>
      <w:r>
        <w:rPr>
          <w:rFonts w:ascii="Arial" w:hAnsi="Arial" w:cs="Arial"/>
          <w:sz w:val="22"/>
          <w:szCs w:val="22"/>
          <w:u w:val="single"/>
        </w:rPr>
        <w:t>JUCESE</w:t>
      </w:r>
      <w:r>
        <w:rPr>
          <w:rFonts w:ascii="Arial" w:hAnsi="Arial" w:cs="Arial"/>
          <w:sz w:val="22"/>
          <w:szCs w:val="22"/>
        </w:rPr>
        <w:t xml:space="preserve">”), em 12 de fevereiro de 2020 sob o n° 20200041916. </w:t>
      </w:r>
    </w:p>
    <w:p>
      <w:pPr>
        <w:spacing w:line="300" w:lineRule="exact"/>
        <w:jc w:val="both"/>
        <w:rPr>
          <w:rFonts w:ascii="Arial" w:hAnsi="Arial" w:cs="Arial"/>
          <w:b/>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pPr>
        <w:spacing w:line="300" w:lineRule="exact"/>
        <w:ind w:left="360"/>
        <w:jc w:val="both"/>
        <w:rPr>
          <w:rFonts w:ascii="Arial" w:hAnsi="Arial" w:cs="Arial"/>
          <w:b/>
          <w:sz w:val="22"/>
          <w:szCs w:val="22"/>
        </w:rPr>
      </w:pPr>
    </w:p>
    <w:p>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2" w:name="_DV_M17"/>
      <w:bookmarkStart w:id="3" w:name="_DV_M18"/>
      <w:bookmarkStart w:id="4" w:name="_DV_M19"/>
      <w:bookmarkStart w:id="5" w:name="_DV_M20"/>
      <w:bookmarkStart w:id="6" w:name="_DV_M21"/>
      <w:bookmarkEnd w:id="2"/>
      <w:bookmarkEnd w:id="3"/>
      <w:bookmarkEnd w:id="4"/>
      <w:bookmarkEnd w:id="5"/>
      <w:bookmarkEnd w:id="6"/>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pPr>
        <w:keepNext/>
        <w:spacing w:line="300" w:lineRule="exact"/>
        <w:jc w:val="both"/>
        <w:rPr>
          <w:rFonts w:ascii="Arial" w:hAnsi="Arial" w:cs="Arial"/>
          <w:b/>
          <w:sz w:val="22"/>
          <w:szCs w:val="22"/>
        </w:rPr>
      </w:pPr>
    </w:p>
    <w:p>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AGE de que trata a Cláusula 1.1 acima foi protocolada na JUCESP </w:t>
      </w:r>
      <w:r>
        <w:rPr>
          <w:rFonts w:ascii="Arial" w:hAnsi="Arial" w:cs="Arial"/>
          <w:sz w:val="22"/>
          <w:szCs w:val="22"/>
        </w:rPr>
        <w:lastRenderedPageBreak/>
        <w:t xml:space="preserve">e será publicada nos Jornais da Emissora, nos termos do artigo 62, inciso I, e artigo 289, parágrafo 1º, da Lei das Sociedades por Ações. </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Quatroefe deverá ser protocolada na JUCESP em até 5 (cinco) Dias Úteis contados da assinatura desta Escritura de Emissão. A Quatroefe compromete-se a enviar ao Agente Fiduciário 1 (uma) via original da ata da Reunião de Sócios Quatroefe devidamente registrada na JUCESP, em até 5 (cinco) dias contados da data de obtenção do referido registro.</w:t>
      </w:r>
    </w:p>
    <w:p>
      <w:pPr>
        <w:pStyle w:val="PargrafodaLista"/>
        <w:rPr>
          <w:rFonts w:ascii="Arial" w:hAnsi="Arial" w:cs="Arial"/>
          <w:b/>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JUCESE em até 5 (cinco) Dias Úteis contados da assinatura desta Escritura de Emissão. A IVN compromete-se a enviar ao Agente Fiduciário 1 (uma) via original da ata da Reunião de Sócios IVN devidamente registrada na JUCESE, em até 5 (cinco) dias contados da data de obtenção do referido registro.</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Esta Escritura de Emissão será protocolada para inscrição na JUCESP em até 5 (cinco) Dias Úteis data de assinatura, e seus eventuais aditamentos deverão ser protocolados para inscrição na JUCESP em até 5 (cinco) Dias Úteis 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JUCESP, em até 5 (cinco) Dias Úteis contados da data de obtenção dos referidos registros.</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(ii) da Cidade de Porto Ferreira, Estado de São Paulo (“</w:t>
      </w:r>
      <w:r>
        <w:rPr>
          <w:rFonts w:ascii="Arial" w:hAnsi="Arial" w:cs="Arial"/>
          <w:sz w:val="22"/>
          <w:szCs w:val="22"/>
          <w:u w:val="single"/>
        </w:rPr>
        <w:t>RTDs</w:t>
      </w:r>
      <w:r>
        <w:rPr>
          <w:rFonts w:ascii="Arial" w:hAnsi="Arial" w:cs="Arial"/>
          <w:sz w:val="22"/>
          <w:szCs w:val="22"/>
        </w:rPr>
        <w:t xml:space="preserve">”), bem como seus eventuais aditamentos, deverão ser protocolados para registro nos RTDs no prazo de 5 (cinco) Dias Úteis contatos da respectiva assinatura. A Emissora compromete-se a enviar ao Agente Fiduciário 1 (uma) via original desta Escritura de Emissão e dos seus eventuais aditamentos, devidamente registrados em tais cartórios, em até 5 (cinco) dias, contados da data de obtenção dos referidos registros.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Dispensa de Registro na CVM</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pPr>
        <w:spacing w:line="300" w:lineRule="exact"/>
        <w:jc w:val="both"/>
        <w:rPr>
          <w:rFonts w:ascii="Arial" w:hAnsi="Arial" w:cs="Arial"/>
          <w:color w:val="000000"/>
          <w:sz w:val="22"/>
          <w:szCs w:val="22"/>
        </w:rPr>
      </w:pPr>
    </w:p>
    <w:p>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a Oferta está sujeita ao registro na ANBIMA, no prazo de até 15 (quinze) dias contados do envio da comunicação de encerramento da Oferta à CVM.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regulamentares aplicáveis. </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xml:space="preserve">” aqueles investidores referidos no artigo 9º-B da Instrução da CVM nº 539, de 13 de </w:t>
      </w:r>
      <w:r>
        <w:rPr>
          <w:rFonts w:ascii="Arial" w:hAnsi="Arial" w:cs="Arial"/>
          <w:sz w:val="22"/>
          <w:szCs w:val="22"/>
        </w:rPr>
        <w:lastRenderedPageBreak/>
        <w:t>novembro de 2013, conforme alterada (“</w:t>
      </w:r>
      <w:r>
        <w:rPr>
          <w:rFonts w:ascii="Arial" w:hAnsi="Arial" w:cs="Arial"/>
          <w:sz w:val="22"/>
          <w:szCs w:val="22"/>
          <w:u w:val="single"/>
        </w:rPr>
        <w:t>Instrução CVM 539</w:t>
      </w:r>
      <w:r>
        <w:rPr>
          <w:rFonts w:ascii="Arial" w:hAnsi="Arial" w:cs="Arial"/>
          <w:sz w:val="22"/>
          <w:szCs w:val="22"/>
        </w:rPr>
        <w:t>”); e (ii)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(i) nos RTDs; (ii) no 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e (iii) </w:t>
      </w:r>
      <w:r>
        <w:rPr>
          <w:rFonts w:ascii="Arial" w:hAnsi="Arial" w:cs="Arial"/>
          <w:sz w:val="22"/>
          <w:szCs w:val="22"/>
        </w:rPr>
        <w:t xml:space="preserve">no Cartório de Registro de Títulos e Documentos </w:t>
      </w:r>
      <w:r>
        <w:rPr>
          <w:rFonts w:ascii="Arial" w:hAnsi="Arial" w:cs="Arial"/>
          <w:sz w:val="22"/>
          <w:szCs w:val="22"/>
          <w:lang w:val="pt-PT"/>
        </w:rPr>
        <w:t>da Cidade de Ribeirão Preto, Estado de São Paulo</w:t>
      </w:r>
      <w:r>
        <w:rPr>
          <w:rFonts w:ascii="Arial" w:hAnsi="Arial" w:cs="Arial"/>
          <w:sz w:val="22"/>
          <w:szCs w:val="22"/>
          <w:lang w:val="pt-PT"/>
        </w:rPr>
        <w:t>,</w:t>
      </w:r>
      <w:r>
        <w:rPr>
          <w:rFonts w:ascii="Arial" w:hAnsi="Arial" w:cs="Arial"/>
          <w:sz w:val="22"/>
          <w:szCs w:val="22"/>
        </w:rPr>
        <w:t xml:space="preserve">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xml:space="preserve">”),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 </w:t>
      </w:r>
    </w:p>
    <w:p>
      <w:pPr>
        <w:spacing w:line="300" w:lineRule="exact"/>
        <w:ind w:left="792"/>
        <w:jc w:val="both"/>
        <w:rPr>
          <w:rFonts w:ascii="Arial" w:hAnsi="Arial" w:cs="Arial"/>
          <w:color w:val="000000"/>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pPr>
        <w:spacing w:line="300" w:lineRule="exact"/>
        <w:jc w:val="both"/>
        <w:rPr>
          <w:rFonts w:ascii="Arial" w:hAnsi="Arial" w:cs="Arial"/>
          <w:b/>
          <w:sz w:val="22"/>
          <w:szCs w:val="22"/>
        </w:rPr>
      </w:pPr>
    </w:p>
    <w:p>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Montante da Emissão</w:t>
      </w:r>
    </w:p>
    <w:p>
      <w:pPr>
        <w:keepNext/>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7" w:name="_Ref265608573"/>
      <w:r>
        <w:rPr>
          <w:rFonts w:ascii="Arial" w:hAnsi="Arial" w:cs="Arial"/>
          <w:sz w:val="22"/>
          <w:szCs w:val="22"/>
        </w:rPr>
        <w:t>O montante total da Emissão será de R$100.000.000,00 (cem milhões de reais), na Data de Emissão (conforme definida abaixo)</w:t>
      </w:r>
      <w:bookmarkEnd w:id="7"/>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pPr>
        <w:spacing w:line="300" w:lineRule="exact"/>
        <w:jc w:val="both"/>
        <w:rPr>
          <w:rFonts w:ascii="Arial" w:hAnsi="Arial" w:cs="Arial"/>
          <w:b/>
          <w:sz w:val="22"/>
          <w:szCs w:val="22"/>
          <w:highlight w:val="yellow"/>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Banco Liquidante e Escriturador</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O Itaú Unibanco S.A., instituição financeira com sede na Cidade de São Paulo, Estado de São Paulo, na Praça Alfredo Egydio de Souza Aranha nº 100, Torre Olavo Setubal,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escriturador das Debêntures (“</w:t>
      </w:r>
      <w:r>
        <w:rPr>
          <w:rFonts w:ascii="Arial" w:hAnsi="Arial" w:cs="Arial"/>
          <w:sz w:val="22"/>
          <w:szCs w:val="22"/>
          <w:u w:val="single"/>
        </w:rPr>
        <w:t>Escriturador</w:t>
      </w:r>
      <w:r>
        <w:rPr>
          <w:rFonts w:ascii="Arial" w:hAnsi="Arial" w:cs="Arial"/>
          <w:sz w:val="22"/>
          <w:szCs w:val="22"/>
        </w:rPr>
        <w:t xml:space="preserve">”). </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eastAsia="Arial Unicode MS" w:hAnsi="Arial" w:cs="Arial"/>
          <w:sz w:val="22"/>
          <w:szCs w:val="22"/>
        </w:rPr>
      </w:pPr>
      <w:bookmarkStart w:id="8" w:name="_Ref264237462"/>
      <w:r>
        <w:rPr>
          <w:rFonts w:ascii="Arial" w:eastAsia="Arial Unicode MS" w:hAnsi="Arial" w:cs="Arial"/>
          <w:sz w:val="22"/>
          <w:szCs w:val="22"/>
        </w:rPr>
        <w:t>Os recursos oriundos da captação por meio da Emissão de Debêntures serão utilizados para realização de investimentos na ampliação da capacidade produtiva de sua subsidiária IVN, mediante a realização de aportes de capital, e reforço do capital de giro da Emissora</w:t>
      </w:r>
      <w:r>
        <w:rPr>
          <w:rFonts w:ascii="Arial" w:eastAsia="Arial Unicode MS" w:hAnsi="Arial" w:cs="Arial"/>
          <w:i/>
          <w:sz w:val="22"/>
          <w:szCs w:val="22"/>
        </w:rPr>
        <w:t>.</w:t>
      </w:r>
    </w:p>
    <w:bookmarkEnd w:id="8"/>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pPr>
        <w:spacing w:line="300" w:lineRule="exact"/>
        <w:jc w:val="both"/>
        <w:rPr>
          <w:rFonts w:ascii="Arial" w:hAnsi="Arial" w:cs="Arial"/>
          <w:b/>
          <w:sz w:val="22"/>
          <w:szCs w:val="22"/>
        </w:rPr>
      </w:pPr>
    </w:p>
    <w:p>
      <w:pPr>
        <w:numPr>
          <w:ilvl w:val="2"/>
          <w:numId w:val="3"/>
        </w:numPr>
        <w:suppressAutoHyphens/>
        <w:spacing w:line="300" w:lineRule="exact"/>
        <w:ind w:left="0" w:firstLine="0"/>
        <w:jc w:val="both"/>
        <w:rPr>
          <w:rFonts w:ascii="Arial" w:hAnsi="Arial" w:cs="Arial"/>
          <w:sz w:val="22"/>
          <w:szCs w:val="22"/>
        </w:rPr>
      </w:pPr>
      <w:bookmarkStart w:id="9" w:name="OLE_LINK5"/>
      <w:bookmarkStart w:id="10"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1" w:name="_DV_X82"/>
      <w:bookmarkStart w:id="12" w:name="_DV_C78"/>
      <w:r>
        <w:rPr>
          <w:rFonts w:ascii="Arial" w:hAnsi="Arial" w:cs="Arial"/>
          <w:sz w:val="22"/>
          <w:szCs w:val="22"/>
        </w:rPr>
        <w:t xml:space="preserve"> termos e condições do </w:t>
      </w:r>
      <w:bookmarkEnd w:id="11"/>
      <w:bookmarkEnd w:id="12"/>
      <w:r>
        <w:rPr>
          <w:rFonts w:ascii="Arial" w:hAnsi="Arial" w:cs="Arial"/>
          <w:sz w:val="22"/>
          <w:szCs w:val="22"/>
        </w:rPr>
        <w:t>“</w:t>
      </w:r>
      <w:bookmarkStart w:id="13" w:name="OLE_LINK7"/>
      <w:r>
        <w:rPr>
          <w:rFonts w:ascii="Arial" w:hAnsi="Arial" w:cs="Arial"/>
          <w:i/>
          <w:sz w:val="22"/>
          <w:szCs w:val="22"/>
        </w:rPr>
        <w:t xml:space="preserve">Instrumento Particular de Contrato de Coordenação, Colocação e Distribuição Pública com Esforços Restritos </w:t>
      </w:r>
      <w:bookmarkEnd w:id="13"/>
      <w:r>
        <w:rPr>
          <w:rFonts w:ascii="Arial" w:hAnsi="Arial" w:cs="Arial"/>
          <w:i/>
          <w:sz w:val="22"/>
          <w:szCs w:val="22"/>
        </w:rPr>
        <w:t>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Vidroporto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pPr>
        <w:spacing w:line="300" w:lineRule="exact"/>
        <w:jc w:val="both"/>
        <w:rPr>
          <w:rFonts w:ascii="Arial" w:hAnsi="Arial" w:cs="Arial"/>
          <w:sz w:val="22"/>
          <w:szCs w:val="22"/>
        </w:rPr>
      </w:pPr>
    </w:p>
    <w:p>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xml:space="preserve">”),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w:t>
      </w:r>
      <w:r>
        <w:rPr>
          <w:rFonts w:ascii="Arial" w:hAnsi="Arial" w:cs="Arial"/>
          <w:sz w:val="22"/>
          <w:szCs w:val="22"/>
        </w:rPr>
        <w:lastRenderedPageBreak/>
        <w:t>serão considerados como um único investidor para os fins dos limites previstos acima, conforme o parágrafo primeiro do artigo 3º da Instrução CVM 476.</w:t>
      </w:r>
    </w:p>
    <w:p>
      <w:pPr>
        <w:tabs>
          <w:tab w:val="left" w:pos="0"/>
        </w:tabs>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será registrada perante a ANBIMA, conforme cláusula 2.1.4 acima; (ii) as Debêntures estão sujeitas às restrições de negociação previstas na Instrução CVM 476 e nesta Escritura de Emissão; e (iii) efetuaram sua própria análise com relação à capacidade de pagamento da Emissora e sobre a constituição, suficiência e exequibilidade da Garantia Real (conforme abaixo definido).</w:t>
      </w: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pPr>
        <w:pStyle w:val="PargrafodaLista"/>
        <w:spacing w:line="300" w:lineRule="exact"/>
        <w:rPr>
          <w:rFonts w:ascii="Arial" w:hAnsi="Arial" w:cs="Arial"/>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pPr>
        <w:pStyle w:val="PargrafodaLista"/>
        <w:spacing w:line="300" w:lineRule="exact"/>
        <w:rPr>
          <w:rFonts w:ascii="Arial" w:hAnsi="Arial" w:cs="Arial"/>
          <w:b/>
        </w:rPr>
      </w:pPr>
    </w:p>
    <w:p>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pPr>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pPr>
        <w:keepNext/>
        <w:keepLines/>
        <w:spacing w:line="300" w:lineRule="exact"/>
        <w:jc w:val="both"/>
        <w:rPr>
          <w:rFonts w:ascii="Arial" w:hAnsi="Arial" w:cs="Arial"/>
          <w:b/>
          <w:sz w:val="22"/>
          <w:szCs w:val="22"/>
        </w:rPr>
      </w:pPr>
    </w:p>
    <w:p>
      <w:pPr>
        <w:keepNext/>
        <w:keepLines/>
        <w:numPr>
          <w:ilvl w:val="3"/>
          <w:numId w:val="3"/>
        </w:numPr>
        <w:spacing w:line="300" w:lineRule="exact"/>
        <w:ind w:left="0" w:firstLine="0"/>
        <w:jc w:val="both"/>
        <w:rPr>
          <w:rFonts w:ascii="Arial" w:hAnsi="Arial" w:cs="Arial"/>
          <w:sz w:val="22"/>
          <w:szCs w:val="22"/>
        </w:rPr>
      </w:pPr>
      <w:bookmarkStart w:id="14" w:name="_Ref264238542"/>
      <w:r>
        <w:rPr>
          <w:rFonts w:ascii="Arial" w:hAnsi="Arial" w:cs="Arial"/>
          <w:sz w:val="22"/>
          <w:szCs w:val="22"/>
        </w:rPr>
        <w:t>A Emissão será realizada em série única</w:t>
      </w:r>
      <w:bookmarkEnd w:id="14"/>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15" w:name="_Ref268856667"/>
      <w:r>
        <w:rPr>
          <w:rFonts w:ascii="Arial" w:hAnsi="Arial" w:cs="Arial"/>
          <w:i/>
          <w:sz w:val="22"/>
          <w:szCs w:val="22"/>
        </w:rPr>
        <w:lastRenderedPageBreak/>
        <w:t>Data de Emissão</w:t>
      </w:r>
      <w:bookmarkEnd w:id="15"/>
    </w:p>
    <w:p>
      <w:pPr>
        <w:keepNext/>
        <w:spacing w:line="300" w:lineRule="exact"/>
        <w:jc w:val="both"/>
        <w:rPr>
          <w:rFonts w:ascii="Arial" w:hAnsi="Arial" w:cs="Arial"/>
          <w:b/>
          <w:sz w:val="22"/>
          <w:szCs w:val="22"/>
        </w:rPr>
      </w:pPr>
    </w:p>
    <w:p>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e efeitos legais, a data de emissão das Debêntures será 1 de fevereiro de 2020 (“</w:t>
      </w:r>
      <w:r>
        <w:rPr>
          <w:rFonts w:ascii="Arial" w:hAnsi="Arial" w:cs="Arial"/>
          <w:sz w:val="22"/>
          <w:szCs w:val="22"/>
          <w:u w:val="single"/>
        </w:rPr>
        <w:t>Data de Emissão</w:t>
      </w:r>
      <w:r>
        <w:rPr>
          <w:rFonts w:ascii="Arial" w:hAnsi="Arial" w:cs="Arial"/>
          <w:sz w:val="22"/>
          <w:szCs w:val="22"/>
        </w:rPr>
        <w:t xml:space="preserve">”). </w:t>
      </w:r>
    </w:p>
    <w:p>
      <w:pPr>
        <w:spacing w:line="300" w:lineRule="exact"/>
        <w:jc w:val="both"/>
        <w:rPr>
          <w:rFonts w:ascii="Arial" w:hAnsi="Arial" w:cs="Arial"/>
          <w:b/>
          <w:sz w:val="22"/>
          <w:szCs w:val="22"/>
          <w:highlight w:val="yellow"/>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nesta Escritura de Emissão, o prazo de vencimento das Debêntures será de 66 (sessenta e seis) meses contados da Data de Emissão, vencendo-se, portanto, em 1 de agosto 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 Adicionalmente, será reconhecido como comprovante de titularidade das Debêntures o extrato expedido pela B3 em nome do Debenturista, quando estes títulos estiverem custodiados eletronicamente na B3.</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pPr>
        <w:spacing w:line="300" w:lineRule="exact"/>
        <w:jc w:val="both"/>
        <w:rPr>
          <w:rFonts w:ascii="Arial" w:hAnsi="Arial" w:cs="Arial"/>
          <w:b/>
          <w:sz w:val="22"/>
          <w:szCs w:val="22"/>
        </w:rPr>
      </w:pPr>
    </w:p>
    <w:p>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pPr>
        <w:spacing w:line="300" w:lineRule="exact"/>
        <w:jc w:val="both"/>
        <w:rPr>
          <w:rFonts w:ascii="Arial" w:hAnsi="Arial" w:cs="Arial"/>
          <w:b/>
          <w:sz w:val="22"/>
          <w:szCs w:val="22"/>
        </w:rPr>
      </w:pPr>
    </w:p>
    <w:bookmarkEnd w:id="9"/>
    <w:bookmarkEnd w:id="10"/>
    <w:p>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da espécie quirografária e com garantia fidejussória adicional e serão automaticamente convoladas em da espécie com garantia real no momento em que for constituída a Garantia Real prevista na cláusula 4.9.1 abaixo, nos termos do Instrumento de Garantia (conforme definido abaixo), com garantia real e com garantia fidejussória adicional, nos termos do artigo 58 da Lei das Sociedades por Ações.</w:t>
      </w:r>
    </w:p>
    <w:p>
      <w:pPr>
        <w:spacing w:line="300" w:lineRule="exact"/>
        <w:jc w:val="both"/>
        <w:rPr>
          <w:rFonts w:ascii="Arial" w:hAnsi="Arial" w:cs="Arial"/>
          <w:sz w:val="22"/>
          <w:szCs w:val="22"/>
        </w:rPr>
      </w:pPr>
      <w:r>
        <w:rPr>
          <w:rFonts w:ascii="Arial" w:hAnsi="Arial" w:cs="Arial"/>
          <w:sz w:val="22"/>
          <w:szCs w:val="22"/>
        </w:rPr>
        <w:t xml:space="preserve"> </w:t>
      </w: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e o Agente Fiduciário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pPr>
        <w:spacing w:line="300" w:lineRule="exact"/>
        <w:jc w:val="both"/>
        <w:rPr>
          <w:rFonts w:ascii="Arial" w:hAnsi="Arial" w:cs="Arial"/>
          <w:b/>
          <w:sz w:val="22"/>
          <w:szCs w:val="22"/>
        </w:rPr>
      </w:pPr>
    </w:p>
    <w:p>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pPr>
        <w:spacing w:line="300" w:lineRule="exact"/>
        <w:jc w:val="both"/>
        <w:rPr>
          <w:rFonts w:ascii="Arial" w:hAnsi="Arial" w:cs="Arial"/>
          <w:sz w:val="22"/>
          <w:szCs w:val="22"/>
        </w:rPr>
      </w:pPr>
    </w:p>
    <w:p>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pro rata temporis</w:t>
      </w:r>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pPr>
        <w:pStyle w:val="PargrafodaLista"/>
        <w:keepNext/>
        <w:keepLines/>
        <w:tabs>
          <w:tab w:val="left" w:pos="0"/>
        </w:tabs>
        <w:spacing w:line="300" w:lineRule="exact"/>
        <w:ind w:left="0"/>
        <w:jc w:val="both"/>
        <w:rPr>
          <w:rFonts w:ascii="Arial" w:hAnsi="Arial" w:cs="Arial"/>
        </w:rPr>
      </w:pPr>
    </w:p>
    <w:p>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pPr>
        <w:tabs>
          <w:tab w:val="left" w:pos="0"/>
        </w:tabs>
        <w:spacing w:line="300" w:lineRule="exact"/>
        <w:jc w:val="both"/>
        <w:rPr>
          <w:rFonts w:ascii="Arial" w:hAnsi="Arial" w:cs="Arial"/>
          <w:sz w:val="22"/>
          <w:szCs w:val="22"/>
        </w:rPr>
      </w:pPr>
    </w:p>
    <w:p>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pPr>
        <w:tabs>
          <w:tab w:val="left" w:pos="0"/>
        </w:tabs>
        <w:spacing w:line="300" w:lineRule="exact"/>
        <w:ind w:left="90"/>
        <w:jc w:val="both"/>
        <w:rPr>
          <w:rFonts w:ascii="Arial" w:hAnsi="Arial" w:cs="Arial"/>
          <w:b/>
          <w:sz w:val="22"/>
          <w:szCs w:val="22"/>
        </w:rPr>
      </w:pPr>
    </w:p>
    <w:p>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16" w:name="_Ref264223392"/>
      <w:r>
        <w:rPr>
          <w:rFonts w:ascii="Arial" w:hAnsi="Arial" w:cs="Arial"/>
          <w:sz w:val="22"/>
          <w:szCs w:val="22"/>
        </w:rPr>
        <w:t>.</w:t>
      </w:r>
    </w:p>
    <w:p>
      <w:pPr>
        <w:tabs>
          <w:tab w:val="left" w:pos="0"/>
        </w:tabs>
        <w:spacing w:line="300" w:lineRule="exact"/>
        <w:jc w:val="both"/>
        <w:rPr>
          <w:rFonts w:ascii="Arial" w:hAnsi="Arial" w:cs="Arial"/>
          <w:b/>
          <w:sz w:val="22"/>
          <w:szCs w:val="22"/>
        </w:rPr>
      </w:pPr>
    </w:p>
    <w:p>
      <w:pPr>
        <w:numPr>
          <w:ilvl w:val="1"/>
          <w:numId w:val="3"/>
        </w:numPr>
        <w:tabs>
          <w:tab w:val="left" w:pos="0"/>
        </w:tabs>
        <w:spacing w:line="300" w:lineRule="exact"/>
        <w:ind w:left="0" w:firstLine="0"/>
        <w:jc w:val="both"/>
        <w:rPr>
          <w:rFonts w:ascii="Arial" w:hAnsi="Arial" w:cs="Arial"/>
          <w:b/>
          <w:sz w:val="22"/>
          <w:szCs w:val="22"/>
        </w:rPr>
      </w:pPr>
      <w:bookmarkStart w:id="17" w:name="_Ref264374209"/>
      <w:bookmarkEnd w:id="16"/>
      <w:r>
        <w:rPr>
          <w:rFonts w:ascii="Arial" w:hAnsi="Arial" w:cs="Arial"/>
          <w:b/>
          <w:sz w:val="22"/>
          <w:szCs w:val="22"/>
        </w:rPr>
        <w:t>Remuneração</w:t>
      </w:r>
    </w:p>
    <w:p>
      <w:pPr>
        <w:tabs>
          <w:tab w:val="left" w:pos="0"/>
        </w:tabs>
        <w:spacing w:line="300" w:lineRule="exact"/>
        <w:jc w:val="both"/>
        <w:rPr>
          <w:rFonts w:ascii="Arial" w:hAnsi="Arial" w:cs="Arial"/>
          <w:b/>
          <w:sz w:val="22"/>
          <w:szCs w:val="22"/>
        </w:rPr>
      </w:pPr>
    </w:p>
    <w:bookmarkEnd w:id="17"/>
    <w:p>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pPr>
        <w:tabs>
          <w:tab w:val="left" w:pos="0"/>
        </w:tabs>
        <w:spacing w:line="300" w:lineRule="exact"/>
        <w:jc w:val="both"/>
        <w:rPr>
          <w:rFonts w:ascii="Arial" w:hAnsi="Arial" w:cs="Arial"/>
          <w:b/>
          <w:i/>
          <w:sz w:val="22"/>
          <w:szCs w:val="22"/>
        </w:rPr>
      </w:pPr>
    </w:p>
    <w:p>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pro rata temporis</w:t>
      </w:r>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pPr>
        <w:widowControl w:val="0"/>
        <w:suppressAutoHyphens/>
        <w:spacing w:line="300" w:lineRule="exact"/>
        <w:jc w:val="both"/>
        <w:rPr>
          <w:rFonts w:ascii="Arial" w:hAnsi="Arial" w:cs="Arial"/>
          <w:sz w:val="22"/>
          <w:szCs w:val="22"/>
        </w:rPr>
      </w:pPr>
    </w:p>
    <w:p>
      <w:pPr>
        <w:widowControl w:val="0"/>
        <w:suppressAutoHyphens/>
        <w:spacing w:line="300" w:lineRule="exact"/>
        <w:jc w:val="center"/>
        <w:outlineLvl w:val="0"/>
        <w:rPr>
          <w:rFonts w:ascii="Arial" w:hAnsi="Arial" w:cs="Arial"/>
          <w:sz w:val="22"/>
          <w:szCs w:val="22"/>
        </w:rPr>
      </w:pPr>
      <w:r>
        <w:rPr>
          <w:rFonts w:ascii="Arial" w:hAnsi="Arial" w:cs="Arial"/>
          <w:sz w:val="22"/>
          <w:szCs w:val="22"/>
        </w:rPr>
        <w:t>J = VNe x (Fator Juros - 1)</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lastRenderedPageBreak/>
        <w:t xml:space="preserve">VNe </w:t>
      </w:r>
      <w:r>
        <w:rPr>
          <w:rFonts w:ascii="Arial" w:hAnsi="Arial" w:cs="Arial"/>
          <w:sz w:val="22"/>
          <w:szCs w:val="22"/>
        </w:rPr>
        <w:tab/>
        <w:t>= Valor Nominal Unitário ou saldo do Valor Nominal Unitário, informado/calculado com 8 (oito) casas decimais, sem arredondamento;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pPr>
        <w:widowControl w:val="0"/>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FatorDI = produtório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7.1pt;margin-top:9.35pt;width:157pt;height:41.6pt;z-index:251658240" fillcolor="window">
            <v:fill color2="fill lighten(137)" angle="-135" method="linear sigma" focus="50%" type="gradient"/>
            <v:imagedata r:id="rId9" o:title=""/>
          </v:shape>
          <o:OLEObject Type="Embed" ProgID="Equation.3" ShapeID="_x0000_s1028" DrawAspect="Content" ObjectID="_1643544341" r:id="rId10"/>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26" type="#_x0000_t75" style="position:absolute;left:0;text-align:left;margin-left:168.55pt;margin-top:-20.85pt;width:125.35pt;height:45.25pt;z-index:251659264" fillcolor="window">
            <v:imagedata r:id="rId11" o:title=""/>
          </v:shape>
          <o:OLEObject Type="Embed" ProgID="Equation.3" ShapeID="_x0000_s1026" DrawAspect="Content" ObjectID="_1643544342" r:id="rId12"/>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FatorSpread = Sobretaxa, calculada com 9 (nove) casas decimais, com arredondamento, apurado da seguinte forma: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27" type="#_x0000_t75" style="position:absolute;left:0;text-align:left;margin-left:108.65pt;margin-top:-13.25pt;width:198.1pt;height:55.35pt;z-index:251660288" fillcolor="window">
            <v:imagedata r:id="rId13" o:title=""/>
          </v:shape>
          <o:OLEObject Type="Embed" ProgID="Equation.3" ShapeID="_x0000_s1027" DrawAspect="Content" ObjectID="_1643544343" r:id="rId14"/>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pPr>
        <w:tabs>
          <w:tab w:val="left" w:pos="709"/>
        </w:tabs>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lastRenderedPageBreak/>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e a data de cálculo, sendo “n” um número inteiro.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tc>
          <w:tcPr>
            <w:tcW w:w="8222" w:type="dxa"/>
          </w:tcPr>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1) O fator resultante da expressão (1+ TDI</w:t>
            </w:r>
            <w:r>
              <w:rPr>
                <w:rFonts w:ascii="Arial" w:hAnsi="Arial" w:cs="Arial"/>
                <w:color w:val="000000"/>
                <w:sz w:val="22"/>
                <w:szCs w:val="22"/>
                <w:vertAlign w:val="subscript"/>
              </w:rPr>
              <w:t>k</w:t>
            </w:r>
            <w:r>
              <w:rPr>
                <w:rFonts w:ascii="Arial" w:hAnsi="Arial" w:cs="Arial"/>
                <w:color w:val="000000"/>
                <w:sz w:val="22"/>
                <w:szCs w:val="22"/>
              </w:rPr>
              <w:t>) será considerado com 16 (dezesseis) casas decimais, sem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2) Efetua-se o produtório dos fatores (1 + TDI</w:t>
            </w:r>
            <w:r>
              <w:rPr>
                <w:rFonts w:ascii="Arial" w:hAnsi="Arial" w:cs="Arial"/>
                <w:color w:val="000000"/>
                <w:sz w:val="22"/>
                <w:szCs w:val="22"/>
                <w:vertAlign w:val="subscript"/>
              </w:rPr>
              <w:t>k</w:t>
            </w:r>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4) O fator resultante da expressão (Fator DI x FatorSpread) deve ser considerado com 9 (nove) casas decimais, com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6) Para efeito de produtório das taxas DI-Over no período de capitalização, a definição de “inclusive” e “exclusive” considera, respectivamente, a taxa DI-Over do dia de início de capitalização e a taxa DI-Over do dia útil anterior à data de cálculo. Desta forma, o produtório do primeiro dia do período de capitalização será apresentado no dia útil subsequente ao início de cada período de capitalização (“data do cálculo”) e assim sucessivamente até o seu encerramento.</w:t>
            </w:r>
          </w:p>
        </w:tc>
      </w:tr>
    </w:tbl>
    <w:p>
      <w:pPr>
        <w:widowControl w:val="0"/>
        <w:suppressAutoHyphens/>
        <w:spacing w:line="300" w:lineRule="exact"/>
        <w:ind w:left="72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Se, na data do cálculo de quaisquer obrigações pecuniárias da Emissora, não houver divulgação da Taxa DI pela B3, será aplicada na apuração de TDI</w:t>
      </w:r>
      <w:r>
        <w:rPr>
          <w:rFonts w:ascii="Arial" w:hAnsi="Arial" w:cs="Arial"/>
          <w:sz w:val="22"/>
          <w:szCs w:val="22"/>
          <w:vertAlign w:val="subscript"/>
        </w:rPr>
        <w:t>k</w:t>
      </w:r>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pPr>
        <w:pStyle w:val="Recuodecorpodetexto"/>
        <w:spacing w:after="0" w:line="300" w:lineRule="exact"/>
        <w:ind w:left="0" w:right="-516"/>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xml:space="preserve">”), o Agente Fiduciário deverá, no prazo máximo de 2 (dois) Dias Úteis contados do Evento de Ausência da Taxa DI, convocar a Assembleia Geral de Debenturistas (conforme definido </w:t>
      </w:r>
      <w:r>
        <w:rPr>
          <w:rFonts w:ascii="Arial" w:hAnsi="Arial" w:cs="Arial"/>
          <w:sz w:val="22"/>
          <w:szCs w:val="22"/>
        </w:rPr>
        <w:lastRenderedPageBreak/>
        <w:t>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pPr>
        <w:pStyle w:val="Corpodetexto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pro rata temporis</w:t>
      </w:r>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TDIk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 xml:space="preserve">Juros Remuneratórios; ou (ii)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(ii), aplicar-se-ão os procedimentos previstos no item (i) acima.</w:t>
      </w:r>
    </w:p>
    <w:p>
      <w:pPr>
        <w:pStyle w:val="Corpodetexto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w:t>
      </w:r>
      <w:r>
        <w:rPr>
          <w:rFonts w:ascii="Arial" w:hAnsi="Arial" w:cs="Arial"/>
          <w:sz w:val="22"/>
          <w:szCs w:val="22"/>
        </w:rPr>
        <w:lastRenderedPageBreak/>
        <w:t xml:space="preserve">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(ii)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pPr>
        <w:pStyle w:val="Recuodecorpodetexto"/>
        <w:tabs>
          <w:tab w:val="left" w:pos="0"/>
        </w:tabs>
        <w:spacing w:after="0" w:line="300" w:lineRule="exact"/>
        <w:ind w:left="0"/>
        <w:jc w:val="both"/>
        <w:rPr>
          <w:rFonts w:ascii="Arial" w:hAnsi="Arial" w:cs="Arial"/>
          <w:sz w:val="22"/>
          <w:szCs w:val="22"/>
        </w:rPr>
      </w:pPr>
      <w:bookmarkStart w:id="18" w:name="_DV_C91"/>
    </w:p>
    <w:p>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pPr>
        <w:spacing w:line="300" w:lineRule="exact"/>
        <w:jc w:val="both"/>
        <w:rPr>
          <w:rFonts w:ascii="Arial" w:eastAsia="Arial Unicode MS" w:hAnsi="Arial" w:cs="Arial"/>
          <w:b/>
          <w:sz w:val="22"/>
          <w:szCs w:val="22"/>
        </w:rPr>
      </w:pPr>
    </w:p>
    <w:p>
      <w:pPr>
        <w:numPr>
          <w:ilvl w:val="1"/>
          <w:numId w:val="3"/>
        </w:numPr>
        <w:spacing w:line="300" w:lineRule="exact"/>
        <w:ind w:left="0" w:firstLine="0"/>
        <w:jc w:val="both"/>
        <w:rPr>
          <w:rFonts w:ascii="Arial" w:eastAsia="Arial Unicode MS" w:hAnsi="Arial" w:cs="Arial"/>
          <w:b/>
          <w:sz w:val="22"/>
          <w:szCs w:val="22"/>
        </w:rPr>
      </w:pPr>
      <w:bookmarkStart w:id="19" w:name="_DV_M112"/>
      <w:bookmarkStart w:id="20" w:name="_DV_M126"/>
      <w:bookmarkStart w:id="21" w:name="_DV_M132"/>
      <w:bookmarkStart w:id="22" w:name="_DV_M138"/>
      <w:bookmarkEnd w:id="19"/>
      <w:bookmarkEnd w:id="20"/>
      <w:bookmarkEnd w:id="21"/>
      <w:bookmarkEnd w:id="22"/>
      <w:r>
        <w:rPr>
          <w:rFonts w:ascii="Arial" w:hAnsi="Arial" w:cs="Arial"/>
          <w:b/>
          <w:sz w:val="22"/>
          <w:szCs w:val="22"/>
        </w:rPr>
        <w:t>Amortização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bookmarkStart w:id="23" w:name="_Ref264227032"/>
      <w:r>
        <w:rPr>
          <w:rFonts w:ascii="Arial" w:hAnsi="Arial" w:cs="Arial"/>
          <w:sz w:val="22"/>
          <w:szCs w:val="22"/>
        </w:rPr>
        <w:t xml:space="preserve">O Valor Nominal Unitário das Debêntures será amortizado mensalmente, em </w:t>
      </w:r>
      <w:bookmarkEnd w:id="23"/>
      <w:r>
        <w:rPr>
          <w:rFonts w:ascii="Arial" w:hAnsi="Arial" w:cs="Arial"/>
          <w:sz w:val="22"/>
          <w:szCs w:val="22"/>
        </w:rPr>
        <w:t xml:space="preserve">48 </w:t>
      </w:r>
      <w:r>
        <w:rPr>
          <w:rFonts w:ascii="Arial" w:hAnsi="Arial" w:cs="Arial"/>
          <w:bCs/>
          <w:sz w:val="22"/>
          <w:szCs w:val="22"/>
        </w:rPr>
        <w:t xml:space="preserve">(quarenta e oito) parcelas, a partir do 19º (décimo nono) mês (inclusive) a contar da Data de Emissão, sendo a primeira em 1 de setembro 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pPr>
        <w:spacing w:line="300" w:lineRule="exact"/>
        <w:jc w:val="both"/>
        <w:rPr>
          <w:rFonts w:ascii="Arial" w:eastAsia="Arial Unicode MS" w:hAnsi="Arial" w:cs="Arial"/>
          <w:b/>
          <w:sz w:val="22"/>
          <w:szCs w:val="22"/>
        </w:rPr>
      </w:pPr>
    </w:p>
    <w:tbl>
      <w:tblPr>
        <w:tblW w:w="8921" w:type="dxa"/>
        <w:tblCellMar>
          <w:left w:w="70" w:type="dxa"/>
          <w:right w:w="70" w:type="dxa"/>
        </w:tblCellMar>
        <w:tblLook w:val="04A0" w:firstRow="1" w:lastRow="0" w:firstColumn="1" w:lastColumn="0" w:noHBand="0" w:noVBand="1"/>
      </w:tblPr>
      <w:tblGrid>
        <w:gridCol w:w="568"/>
        <w:gridCol w:w="3391"/>
        <w:gridCol w:w="4962"/>
      </w:tblGrid>
      <w:tr>
        <w:trPr>
          <w:trHeight w:val="315"/>
          <w:tblHeader/>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pPr>
              <w:jc w:val="center"/>
              <w:rPr>
                <w:rFonts w:ascii="Arial" w:hAnsi="Arial" w:cs="Arial"/>
                <w:b/>
                <w:bCs/>
                <w:color w:val="000000"/>
                <w:sz w:val="22"/>
                <w:szCs w:val="22"/>
              </w:rPr>
            </w:pPr>
            <w:r>
              <w:rPr>
                <w:rFonts w:ascii="Arial" w:hAnsi="Arial" w:cs="Arial"/>
                <w:b/>
                <w:bCs/>
                <w:color w:val="000000"/>
                <w:sz w:val="22"/>
                <w:szCs w:val="22"/>
              </w:rPr>
              <w:t>Mês</w:t>
            </w:r>
          </w:p>
        </w:tc>
        <w:tc>
          <w:tcPr>
            <w:tcW w:w="3391" w:type="dxa"/>
            <w:tcBorders>
              <w:top w:val="single" w:sz="8" w:space="0" w:color="auto"/>
              <w:left w:val="nil"/>
              <w:bottom w:val="single" w:sz="8" w:space="0" w:color="auto"/>
              <w:right w:val="single" w:sz="8" w:space="0" w:color="auto"/>
            </w:tcBorders>
            <w:shd w:val="clear" w:color="auto" w:fill="auto"/>
            <w:noWrap/>
            <w:vAlign w:val="center"/>
            <w:hideMark/>
          </w:tcPr>
          <w:p>
            <w:pPr>
              <w:jc w:val="center"/>
              <w:rPr>
                <w:rFonts w:ascii="Arial" w:hAnsi="Arial" w:cs="Arial"/>
                <w:b/>
                <w:bCs/>
                <w:color w:val="000000"/>
                <w:sz w:val="22"/>
                <w:szCs w:val="22"/>
              </w:rPr>
            </w:pPr>
            <w:r>
              <w:rPr>
                <w:rFonts w:ascii="Arial" w:hAnsi="Arial" w:cs="Arial"/>
                <w:b/>
                <w:bCs/>
                <w:color w:val="000000"/>
                <w:sz w:val="22"/>
                <w:szCs w:val="22"/>
              </w:rPr>
              <w:t>Data de Amortização</w:t>
            </w:r>
          </w:p>
        </w:tc>
        <w:tc>
          <w:tcPr>
            <w:tcW w:w="4962" w:type="dxa"/>
            <w:tcBorders>
              <w:top w:val="single" w:sz="8" w:space="0" w:color="auto"/>
              <w:left w:val="nil"/>
              <w:bottom w:val="single" w:sz="8" w:space="0" w:color="auto"/>
              <w:right w:val="single" w:sz="8" w:space="0" w:color="auto"/>
            </w:tcBorders>
            <w:shd w:val="clear" w:color="auto" w:fill="auto"/>
            <w:noWrap/>
            <w:vAlign w:val="center"/>
            <w:hideMark/>
          </w:tcPr>
          <w:p>
            <w:pPr>
              <w:jc w:val="center"/>
              <w:rPr>
                <w:rFonts w:ascii="Arial" w:hAnsi="Arial" w:cs="Arial"/>
                <w:b/>
                <w:bCs/>
                <w:color w:val="000000"/>
                <w:sz w:val="22"/>
                <w:szCs w:val="22"/>
              </w:rPr>
            </w:pPr>
            <w:r>
              <w:rPr>
                <w:rFonts w:ascii="Arial" w:hAnsi="Arial" w:cs="Arial"/>
                <w:b/>
                <w:bCs/>
                <w:color w:val="000000"/>
                <w:sz w:val="22"/>
                <w:szCs w:val="22"/>
              </w:rPr>
              <w:t>Percentual de Amortização do Saldo do Valor Nominal Unitário das Debêntures</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19º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 de 2021</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0,7500%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 de 2021</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0,7557%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 de 2021</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0,7614%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 de 2021</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0,7673%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0,7732%</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0,7792%</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0,7853%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0,7916%</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27º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0,7979%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28º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0,8043%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0,8108%</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agosto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0,8174%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0,8242%</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0,8310%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lastRenderedPageBreak/>
              <w:t>33º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0,8380%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0,8451%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 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0,8523%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 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0,8596%</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37º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 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1,7341%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38º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 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1,7647%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 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1,7964%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 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1,8293%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 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1,8634%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agosto 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1,8987%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 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1,9355%</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 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1,9737%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 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2,0134%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 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2,0548%</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47º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 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2,0979%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48º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 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2,1429%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 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5,2311%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 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5,5199%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 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5,8424%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 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6,2049%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 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6,6154%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agosto 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7,0840%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 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7,6241%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 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8,2534%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57º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 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8,9958%</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58º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 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9,8851%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 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10,9694%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 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12,3209%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 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16,6667%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 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20,0000%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 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25,0000%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 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33,3333%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 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50,0000%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Data de Vencimento</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100,0000%</w:t>
            </w:r>
          </w:p>
        </w:tc>
      </w:tr>
    </w:tbl>
    <w:p>
      <w:pPr>
        <w:spacing w:line="300" w:lineRule="exact"/>
        <w:jc w:val="both"/>
        <w:rPr>
          <w:rFonts w:ascii="Arial" w:eastAsia="Arial Unicode MS"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pPr>
        <w:spacing w:line="300" w:lineRule="exact"/>
        <w:jc w:val="both"/>
        <w:rPr>
          <w:rFonts w:ascii="Arial" w:hAnsi="Arial" w:cs="Arial"/>
          <w:bCs/>
          <w:sz w:val="22"/>
          <w:szCs w:val="22"/>
        </w:rPr>
      </w:pPr>
    </w:p>
    <w:p>
      <w:pPr>
        <w:pStyle w:val="PargrafodaLista"/>
        <w:numPr>
          <w:ilvl w:val="2"/>
          <w:numId w:val="3"/>
        </w:numPr>
        <w:spacing w:line="300" w:lineRule="exact"/>
        <w:ind w:left="0" w:firstLine="0"/>
        <w:jc w:val="both"/>
        <w:rPr>
          <w:rFonts w:ascii="Arial" w:hAnsi="Arial" w:cs="Arial"/>
          <w:b/>
        </w:rPr>
      </w:pPr>
      <w:r>
        <w:rPr>
          <w:rFonts w:ascii="Arial" w:hAnsi="Arial" w:cs="Arial"/>
          <w:bCs/>
        </w:rPr>
        <w:lastRenderedPageBreak/>
        <w:t>Os Juros Remuneratórios das Debêntures serão pagos mensalmente, a partir da Data de Emissão, sendo os pagamentos devidos no dia 1º (primeiro) de cada mês até a Data de Vencimento ou na data de eventual resgate antecipado facultativo, aquisição facultativa ou vencimento antecipado, sendo o primeiro pagamento em 1 de março 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pPr>
        <w:pStyle w:val="PargrafodaLista"/>
        <w:spacing w:line="300" w:lineRule="exact"/>
        <w:ind w:left="774"/>
        <w:jc w:val="both"/>
        <w:rPr>
          <w:rFonts w:ascii="Arial" w:hAnsi="Arial" w:cs="Arial"/>
          <w:b/>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Condições de Pagamento</w:t>
      </w:r>
      <w:bookmarkStart w:id="24" w:name="_DV_M139"/>
      <w:bookmarkEnd w:id="24"/>
    </w:p>
    <w:p>
      <w:pPr>
        <w:keepNext/>
        <w:keepLines/>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25" w:name="_DV_M140"/>
      <w:bookmarkEnd w:id="25"/>
    </w:p>
    <w:p>
      <w:pPr>
        <w:keepNext/>
        <w:keepLines/>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26" w:name="_DV_M143"/>
      <w:bookmarkEnd w:id="26"/>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pPr>
        <w:spacing w:line="300" w:lineRule="exact"/>
        <w:jc w:val="both"/>
        <w:rPr>
          <w:rFonts w:ascii="Arial" w:eastAsia="Arial Unicode MS" w:hAnsi="Arial" w:cs="Arial"/>
          <w:w w:val="0"/>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27" w:name="_DV_M144"/>
      <w:bookmarkEnd w:id="27"/>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lastRenderedPageBreak/>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28" w:name="_Ref264230319"/>
      <w:r>
        <w:rPr>
          <w:rFonts w:ascii="Arial" w:hAnsi="Arial" w:cs="Arial"/>
          <w:i/>
          <w:w w:val="0"/>
          <w:sz w:val="22"/>
          <w:szCs w:val="22"/>
        </w:rPr>
        <w:t>Encargos Moratórios</w:t>
      </w:r>
      <w:bookmarkStart w:id="29" w:name="_DV_M150"/>
      <w:bookmarkEnd w:id="28"/>
      <w:bookmarkEnd w:id="29"/>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bookmarkStart w:id="30"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30"/>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31" w:name="_DV_M154"/>
      <w:bookmarkStart w:id="32" w:name="_DV_M155"/>
      <w:bookmarkEnd w:id="31"/>
      <w:bookmarkEnd w:id="32"/>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33" w:name="_DV_M156"/>
      <w:bookmarkEnd w:id="33"/>
      <w:r>
        <w:rPr>
          <w:rFonts w:ascii="Arial" w:eastAsia="Arial Unicode MS" w:hAnsi="Arial" w:cs="Arial"/>
          <w:w w:val="0"/>
          <w:sz w:val="22"/>
          <w:szCs w:val="22"/>
        </w:rPr>
        <w:t xml:space="preserve"> correspondente a quaisquer das obrigações pecuniárias da Emissora</w:t>
      </w:r>
      <w:bookmarkStart w:id="34" w:name="_DV_M157"/>
      <w:bookmarkEnd w:id="34"/>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35" w:name="_DV_M158"/>
      <w:bookmarkEnd w:id="35"/>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36" w:name="_DV_M159"/>
      <w:bookmarkEnd w:id="18"/>
      <w:bookmarkEnd w:id="36"/>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37" w:name="_DV_M161"/>
      <w:bookmarkEnd w:id="37"/>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38" w:name="_Ref264236084"/>
      <w:r>
        <w:rPr>
          <w:rFonts w:ascii="Arial" w:eastAsia="Arial Unicode MS" w:hAnsi="Arial" w:cs="Arial"/>
          <w:w w:val="0"/>
          <w:sz w:val="22"/>
          <w:szCs w:val="22"/>
        </w:rPr>
        <w:t>Todos os anúncios, avisos e demais atos e decisões decorrentes desta Emissão que, de qualquer forma, envolvam os interesses dos Debenturistas serão publicados, na forma de aviso, na página da Companhia na rede mundial de computadores (www.vidroporto.com.br) e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39" w:name="_DV_M164"/>
      <w:bookmarkStart w:id="40" w:name="_DV_M184"/>
      <w:bookmarkStart w:id="41" w:name="_DV_M115"/>
      <w:bookmarkStart w:id="42" w:name="_DV_M186"/>
      <w:bookmarkStart w:id="43" w:name="_DV_M187"/>
      <w:bookmarkEnd w:id="38"/>
      <w:bookmarkEnd w:id="39"/>
      <w:bookmarkEnd w:id="40"/>
      <w:bookmarkEnd w:id="41"/>
      <w:bookmarkEnd w:id="42"/>
      <w:bookmarkEnd w:id="43"/>
    </w:p>
    <w:p>
      <w:pPr>
        <w:spacing w:line="300" w:lineRule="exact"/>
        <w:jc w:val="both"/>
        <w:rPr>
          <w:rFonts w:ascii="Arial" w:hAnsi="Arial" w:cs="Arial"/>
          <w:b/>
          <w:sz w:val="22"/>
          <w:szCs w:val="22"/>
        </w:rPr>
      </w:pPr>
    </w:p>
    <w:p>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do Instrumento de Garantia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dos seguintes bens e direitos de titularidade da IVN:</w:t>
      </w:r>
    </w:p>
    <w:p>
      <w:pPr>
        <w:spacing w:line="300" w:lineRule="exact"/>
        <w:ind w:left="851" w:hanging="142"/>
        <w:jc w:val="both"/>
        <w:rPr>
          <w:rFonts w:ascii="Arial" w:hAnsi="Arial" w:cs="Arial"/>
          <w:b/>
          <w:bCs/>
          <w:sz w:val="22"/>
          <w:szCs w:val="22"/>
        </w:rPr>
      </w:pPr>
    </w:p>
    <w:p>
      <w:pPr>
        <w:pStyle w:val="PargrafodaLista"/>
        <w:numPr>
          <w:ilvl w:val="0"/>
          <w:numId w:val="50"/>
        </w:numPr>
        <w:tabs>
          <w:tab w:val="left" w:pos="709"/>
        </w:tabs>
        <w:spacing w:line="300" w:lineRule="exact"/>
        <w:ind w:left="709" w:hanging="425"/>
        <w:jc w:val="both"/>
        <w:rPr>
          <w:rFonts w:ascii="Arial" w:hAnsi="Arial" w:cs="Arial"/>
          <w:bCs/>
          <w:lang w:val="pt-PT" w:eastAsia="ar-SA"/>
        </w:rPr>
      </w:pPr>
      <w:r>
        <w:rPr>
          <w:rFonts w:ascii="Arial" w:hAnsi="Arial" w:cs="Arial"/>
          <w:bCs/>
          <w:lang w:val="pt-PT" w:eastAsia="ar-SA"/>
        </w:rPr>
        <w:t>a totalidade dos direitos creditórios, presentes e futuros, oriundos do “Contrato de Fornecimento de Garrafas de Vidro”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u w:val="single"/>
          <w:lang w:val="pt-PT" w:eastAsia="ar-SA"/>
        </w:rPr>
        <w:t>Grupo Heineken</w:t>
      </w:r>
      <w:r>
        <w:rPr>
          <w:rFonts w:ascii="Arial" w:hAnsi="Arial" w:cs="Arial"/>
          <w:bCs/>
          <w:lang w:val="pt-PT" w:eastAsia="ar-SA"/>
        </w:rPr>
        <w:t>”), em 1 de dezembro de 2018, conforme aditado em 2 de setembro de 2019 (“</w:t>
      </w:r>
      <w:r>
        <w:rPr>
          <w:rFonts w:ascii="Arial" w:hAnsi="Arial" w:cs="Arial"/>
          <w:bCs/>
          <w:u w:val="single"/>
          <w:lang w:val="pt-PT" w:eastAsia="ar-SA"/>
        </w:rPr>
        <w:t>Contrato Fornecimento IVN</w:t>
      </w:r>
      <w:r>
        <w:rPr>
          <w:rFonts w:ascii="Arial" w:hAnsi="Arial" w:cs="Arial"/>
          <w:bCs/>
          <w:lang w:val="pt-PT" w:eastAsia="ar-SA"/>
        </w:rPr>
        <w:t>” e “</w:t>
      </w:r>
      <w:r>
        <w:rPr>
          <w:rFonts w:ascii="Arial" w:hAnsi="Arial" w:cs="Arial"/>
          <w:bCs/>
          <w:u w:val="single"/>
          <w:lang w:val="pt-PT" w:eastAsia="ar-SA"/>
        </w:rPr>
        <w:t>Direitos Creditórios</w:t>
      </w:r>
      <w:r>
        <w:rPr>
          <w:rFonts w:ascii="Arial" w:hAnsi="Arial" w:cs="Arial"/>
          <w:bCs/>
          <w:lang w:val="pt-PT" w:eastAsia="ar-SA"/>
        </w:rPr>
        <w:t>”);</w:t>
      </w:r>
    </w:p>
    <w:p>
      <w:pPr>
        <w:pStyle w:val="PargrafodaLista"/>
        <w:tabs>
          <w:tab w:val="left" w:pos="709"/>
        </w:tabs>
        <w:spacing w:line="300" w:lineRule="exact"/>
        <w:ind w:left="709"/>
        <w:jc w:val="both"/>
        <w:rPr>
          <w:rFonts w:ascii="Arial" w:hAnsi="Arial" w:cs="Arial"/>
          <w:bCs/>
          <w:lang w:val="pt-PT" w:eastAsia="ar-SA"/>
        </w:rPr>
      </w:pPr>
    </w:p>
    <w:p>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(conforme definido no Instrumento de Garantia), decorrentes da conta corrente nº 9.996.164-4, agência 3370-7,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e </w:t>
      </w:r>
    </w:p>
    <w:p>
      <w:pPr>
        <w:tabs>
          <w:tab w:val="left" w:pos="709"/>
        </w:tabs>
        <w:spacing w:line="300" w:lineRule="exact"/>
        <w:ind w:left="709" w:hanging="425"/>
        <w:jc w:val="both"/>
        <w:rPr>
          <w:rFonts w:ascii="Arial" w:hAnsi="Arial" w:cs="Arial"/>
          <w:sz w:val="22"/>
          <w:szCs w:val="22"/>
          <w:lang w:val="pt-PT" w:eastAsia="ar-SA"/>
        </w:rPr>
      </w:pPr>
    </w:p>
    <w:p>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a ser celebrado entre a IVN, o Agente Fiduciário, o Banco Administrador e a Companhia (“</w:t>
      </w:r>
      <w:r>
        <w:rPr>
          <w:rFonts w:ascii="Arial" w:hAnsi="Arial" w:cs="Arial"/>
          <w:bCs/>
          <w:sz w:val="22"/>
          <w:szCs w:val="22"/>
          <w:u w:val="single"/>
        </w:rPr>
        <w:t>Instrumento de Garantia</w:t>
      </w:r>
      <w:r>
        <w:rPr>
          <w:rFonts w:ascii="Arial" w:hAnsi="Arial" w:cs="Arial"/>
          <w:bCs/>
          <w:sz w:val="22"/>
          <w:szCs w:val="22"/>
        </w:rPr>
        <w:t>”).</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sz w:val="22"/>
          <w:szCs w:val="22"/>
        </w:rPr>
        <w:t>A Garantia Real será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w:t>
      </w:r>
      <w:r>
        <w:rPr>
          <w:rFonts w:ascii="Arial" w:hAnsi="Arial" w:cs="Arial"/>
          <w:sz w:val="22"/>
          <w:szCs w:val="22"/>
          <w:u w:val="single"/>
        </w:rPr>
        <w:t>Debêntures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xml:space="preserve">”), mediante aprovação em Assembleia Geral dos Debenturistas da 2ª Emissão e desde que respeitada a proporção e demais </w:t>
      </w:r>
      <w:r>
        <w:rPr>
          <w:rFonts w:ascii="Arial" w:hAnsi="Arial" w:cs="Arial"/>
          <w:sz w:val="22"/>
          <w:szCs w:val="22"/>
        </w:rPr>
        <w:lastRenderedPageBreak/>
        <w:t>condições de compartilhamento previstas no Instrumento de Garantia (“</w:t>
      </w:r>
      <w:r>
        <w:rPr>
          <w:rFonts w:ascii="Arial" w:hAnsi="Arial" w:cs="Arial"/>
          <w:sz w:val="22"/>
          <w:szCs w:val="22"/>
          <w:u w:val="single"/>
        </w:rPr>
        <w:t>Compartilhamento da Garantia</w:t>
      </w:r>
      <w:r>
        <w:rPr>
          <w:rFonts w:ascii="Arial" w:hAnsi="Arial" w:cs="Arial"/>
          <w:sz w:val="22"/>
          <w:szCs w:val="22"/>
        </w:rPr>
        <w:t xml:space="preserve">”).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xml:space="preserve">, para adequar a espécie das Debêntures, devendo a Emissora realizar sua inscrição na JUCESP, ficando desde já estabelecido que não será necessária a realização de Assembleia Geral de Acionistas da Emissora ou de Assembleia Geral de Debenturistas para aprovação do Aditamento, restando claro que o Aditamento tem caráter meramente formal e que, uma vez verificada a aprovação do Compartilhamento da Garantia pelos Debenturistas da 2ª Emissão e a constituição da Garantia Real, a convolação das Debêntures ocorrerá de forma automática. </w:t>
      </w:r>
    </w:p>
    <w:p>
      <w:pPr>
        <w:pStyle w:val="PargrafodaLista"/>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(i) nos RTDs; (ii) no Cartório de Registro de Títulos e Documentos </w:t>
      </w:r>
      <w:r>
        <w:rPr>
          <w:rFonts w:ascii="Arial" w:hAnsi="Arial" w:cs="Arial"/>
          <w:sz w:val="22"/>
          <w:szCs w:val="22"/>
          <w:lang w:val="pt-PT"/>
        </w:rPr>
        <w:t xml:space="preserve">da Cidade de Estância, Estado de Sergipe; e (iii) </w:t>
      </w:r>
      <w:r>
        <w:rPr>
          <w:rFonts w:ascii="Arial" w:hAnsi="Arial" w:cs="Arial"/>
          <w:sz w:val="22"/>
          <w:szCs w:val="22"/>
        </w:rPr>
        <w:t xml:space="preserve">no Cartório de Registro de Títulos e Documentos </w:t>
      </w:r>
      <w:r>
        <w:rPr>
          <w:rFonts w:ascii="Arial" w:hAnsi="Arial" w:cs="Arial"/>
          <w:sz w:val="22"/>
          <w:szCs w:val="22"/>
          <w:lang w:val="pt-PT"/>
        </w:rPr>
        <w:t>da Cidade de Ribeirão Preto, Estado de São Paulo</w:t>
      </w:r>
      <w:r>
        <w:rPr>
          <w:rFonts w:ascii="Arial" w:hAnsi="Arial" w:cs="Arial"/>
          <w:sz w:val="22"/>
          <w:szCs w:val="22"/>
          <w:lang w:val="pt-PT"/>
        </w:rPr>
        <w:t>.</w:t>
      </w:r>
      <w:r>
        <w:rPr>
          <w:rFonts w:ascii="Arial" w:hAnsi="Arial" w:cs="Arial"/>
          <w:sz w:val="22"/>
          <w:szCs w:val="22"/>
        </w:rPr>
        <w:t xml:space="preserve">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xml:space="preserve">” significam os seguintes documentos em conjunto (i) esta Escritura de Emissão; (ii) o Contrato de Distribuição, e (iii) o Instrumento de Garantia; (iv) Boletim de Subscrição das Debêntures; e (iv) o contrato a a ser celebrado com o </w:t>
      </w:r>
      <w:r>
        <w:rPr>
          <w:rFonts w:ascii="Arial" w:hAnsi="Arial" w:cs="Arial"/>
          <w:b/>
          <w:sz w:val="22"/>
          <w:szCs w:val="22"/>
        </w:rPr>
        <w:t>Banco do Brasil S.A.</w:t>
      </w:r>
      <w:r>
        <w:rPr>
          <w:rFonts w:ascii="Arial" w:hAnsi="Arial" w:cs="Arial"/>
          <w:sz w:val="22"/>
          <w:szCs w:val="22"/>
        </w:rPr>
        <w:t xml:space="preserve">, sociedade de economia mista com sede em Brasília, Distrito Federal, na SBS Quadra 01, Lote 32, Bloco C – Edifício Sede III, Setor Bancário Sul, CEP 70073-901, por sua Agência Empresarial Ribeirão Preto, Prefixo 3370-7, localizada na cidade de Ribeirão Preto, Estado de São Paulo, na Av. Maurílio Biagi, nº 800 – 15º andar, Edifício Spasse Corporate, Sta. C. J. Jacques, CEP 14020-750, inscrita no CNPJ/ME sob o nº 00.000.000/5065-24, na qualidade de banco administrador, nos termos do Instrumento de Garantia.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 (“</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inadimplemento total ou parcial da obrigação de pagamento de </w:t>
      </w:r>
      <w:r>
        <w:rPr>
          <w:rFonts w:ascii="Arial" w:hAnsi="Arial" w:cs="Arial"/>
        </w:rPr>
        <w:lastRenderedPageBreak/>
        <w:t xml:space="preserve">quaisquer valores, principais ou acessórios, devidos pela Companhia nos termos das Debêntures e/ou desta Escritura de Emissão e/ou do Instrumento de Garantia. </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 xml:space="preserve">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(ii)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repassar, no prazo de 1 (um) Dia Útil contado da data de seu recebimento, e informar tal valor ao Agente Fiduciário, para que este efetue confirme o valor do pagamento </w:t>
      </w:r>
      <w:r>
        <w:rPr>
          <w:rFonts w:ascii="Arial" w:hAnsi="Arial" w:cs="Arial"/>
          <w:i/>
        </w:rPr>
        <w:t>pro-rata</w:t>
      </w:r>
      <w:r>
        <w:rPr>
          <w:rFonts w:ascii="Arial" w:hAnsi="Arial" w:cs="Arial"/>
        </w:rPr>
        <w:t xml:space="preserve"> a ser realizado aos Debenturistas.</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pPr>
        <w:spacing w:line="300" w:lineRule="exact"/>
        <w:ind w:right="-1"/>
        <w:jc w:val="both"/>
        <w:rPr>
          <w:rFonts w:ascii="Arial" w:eastAsia="Arial Unicode MS" w:hAnsi="Arial" w:cs="Arial"/>
          <w:bCs/>
          <w:w w:val="0"/>
          <w:sz w:val="22"/>
          <w:szCs w:val="22"/>
        </w:rPr>
      </w:pPr>
    </w:p>
    <w:p>
      <w:pPr>
        <w:pStyle w:val="PargrafodaLista"/>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 honrado pelo Fiador nos termos da Fiança somente após os Debenturistas terem recebido todos os valores a eles devidos nos termos desta Escritura.</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t xml:space="preserve">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w:t>
      </w:r>
      <w:r>
        <w:rPr>
          <w:rFonts w:ascii="Arial" w:hAnsi="Arial" w:cs="Arial"/>
        </w:rPr>
        <w:lastRenderedPageBreak/>
        <w:t>extrajudicialmente, quantas vezes forem necessárias até o integral cumprimento das Obrigações Garantidas</w:t>
      </w:r>
      <w:r>
        <w:rPr>
          <w:rFonts w:ascii="Arial" w:eastAsia="Arial Unicode MS" w:hAnsi="Arial" w:cs="Arial"/>
          <w:bCs/>
          <w:w w:val="0"/>
        </w:rPr>
        <w:t>.</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pPr>
        <w:spacing w:line="300" w:lineRule="exact"/>
        <w:rPr>
          <w:rFonts w:ascii="Arial" w:hAnsi="Arial" w:cs="Arial"/>
          <w:sz w:val="22"/>
          <w:szCs w:val="22"/>
        </w:rPr>
      </w:pPr>
    </w:p>
    <w:p>
      <w:pPr>
        <w:pStyle w:val="PargrafodaLista"/>
        <w:numPr>
          <w:ilvl w:val="3"/>
          <w:numId w:val="3"/>
        </w:numPr>
        <w:spacing w:line="300" w:lineRule="exact"/>
        <w:ind w:left="0" w:firstLine="0"/>
        <w:jc w:val="both"/>
        <w:rPr>
          <w:rFonts w:ascii="Arial" w:hAnsi="Arial" w:cs="Arial"/>
        </w:rPr>
      </w:pPr>
      <w:r>
        <w:rPr>
          <w:rFonts w:ascii="Arial" w:hAnsi="Arial" w:cs="Arial"/>
        </w:rPr>
        <w:t>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fora do âmbito da B3.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pPr>
        <w:spacing w:line="300" w:lineRule="exact"/>
        <w:jc w:val="both"/>
        <w:rPr>
          <w:rFonts w:ascii="Arial" w:hAnsi="Arial" w:cs="Arial"/>
          <w:b/>
          <w:sz w:val="22"/>
          <w:szCs w:val="22"/>
        </w:rPr>
      </w:pPr>
    </w:p>
    <w:p>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AMORTIZAÇÃO EXTRAORDINÁRIA, OFERTA DE RESGATE ANTECIPADO E VENCIMENTO ANTECIPADO.</w:t>
      </w:r>
    </w:p>
    <w:p>
      <w:pPr>
        <w:keepNext/>
        <w:keepLines/>
        <w:spacing w:line="300" w:lineRule="exact"/>
        <w:jc w:val="both"/>
        <w:rPr>
          <w:rFonts w:ascii="Arial"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bookmarkStart w:id="44"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44"/>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45" w:name="_Ref264227752"/>
      <w:r>
        <w:rPr>
          <w:rFonts w:ascii="Arial" w:hAnsi="Arial" w:cs="Arial"/>
          <w:sz w:val="22"/>
          <w:szCs w:val="22"/>
        </w:rPr>
        <w:t>A Emissora poderá, a qualquer tempo, adquirir as Debêntures, observado o disposto no parágrafo 3º do artigo 55 da Lei das Sociedades por Ações, e ainda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aos Juros Remuneratórios das demais Debêntures.</w:t>
      </w:r>
      <w:bookmarkEnd w:id="45"/>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46" w:name="_DV_C265"/>
      <w:r>
        <w:rPr>
          <w:rFonts w:ascii="Arial" w:hAnsi="Arial" w:cs="Arial"/>
          <w:b/>
          <w:sz w:val="22"/>
          <w:szCs w:val="22"/>
        </w:rPr>
        <w:t>Resgate Antecipado Facultativo, Amortização Extraordinária e Oferta de Resgate Antecipado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A Emissora poderá, a seu exclusivo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xml:space="preserve">, isto é, a partir de </w:t>
      </w:r>
      <w:r>
        <w:rPr>
          <w:rFonts w:ascii="Arial" w:eastAsia="Arial Unicode MS" w:hAnsi="Arial" w:cs="Arial"/>
          <w:bCs/>
          <w:sz w:val="22"/>
          <w:szCs w:val="22"/>
        </w:rPr>
        <w:t>1</w:t>
      </w:r>
      <w:r>
        <w:rPr>
          <w:rFonts w:ascii="Arial" w:eastAsia="Arial Unicode MS" w:hAnsi="Arial" w:cs="Arial"/>
          <w:sz w:val="22"/>
          <w:szCs w:val="22"/>
        </w:rPr>
        <w:t xml:space="preserve"> de março de 2022,</w:t>
      </w:r>
      <w:r>
        <w:rPr>
          <w:rFonts w:ascii="Arial" w:hAnsi="Arial" w:cs="Arial"/>
          <w:sz w:val="22"/>
          <w:szCs w:val="22"/>
        </w:rPr>
        <w:t xml:space="preserve"> mediante notificação prévia individual ao todos os Debenturistas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observada a legislação pertinente, bem como os termos e condições estabelecidos nesta Escritura de Emissão; (b) menção ao valor do pagamento devido aos Debenturistas conforme disposto na Cláusula 5.2.3 abaixo; e (c) as demais informações consideradas relevantes pela Emissora para conhecimento dos Debenturistas.</w:t>
      </w:r>
    </w:p>
    <w:p>
      <w:pPr>
        <w:pStyle w:val="PargrafodaLista"/>
        <w:spacing w:line="300" w:lineRule="exact"/>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r>
        <w:rPr>
          <w:rFonts w:ascii="Arial" w:hAnsi="Arial" w:cs="Arial"/>
          <w:i/>
          <w:iCs/>
          <w:color w:val="000000"/>
          <w:sz w:val="22"/>
          <w:szCs w:val="22"/>
        </w:rPr>
        <w:t>temporis</w:t>
      </w:r>
      <w:r>
        <w:rPr>
          <w:rFonts w:ascii="Arial" w:hAnsi="Arial" w:cs="Arial"/>
          <w:sz w:val="22"/>
          <w:szCs w:val="22"/>
        </w:rPr>
        <w:t xml:space="preserve"> desde a Data da Primeira Integralização ou a Data de Pagamento de Remuneração das Debêntures imediatamente anterior, conforme o caso, até a data do efetivo resgate, e (ii) eventuais encargos devidos e não pagos até a data do Resgate Antecipado </w:t>
      </w:r>
      <w:bookmarkStart w:id="47" w:name="_DV_M153"/>
      <w:bookmarkStart w:id="48" w:name="OLE_LINK8"/>
      <w:bookmarkStart w:id="49" w:name="OLE_LINK9"/>
      <w:bookmarkEnd w:id="47"/>
      <w:r>
        <w:rPr>
          <w:rFonts w:ascii="Arial" w:hAnsi="Arial" w:cs="Arial"/>
          <w:sz w:val="22"/>
          <w:szCs w:val="22"/>
        </w:rPr>
        <w:t xml:space="preserve">Facultativo, acrescidos (iii) de um prêmio </w:t>
      </w:r>
      <w:r>
        <w:rPr>
          <w:rFonts w:ascii="Arial" w:hAnsi="Arial" w:cs="Arial"/>
          <w:i/>
          <w:sz w:val="22"/>
          <w:szCs w:val="22"/>
        </w:rPr>
        <w:t>flat</w:t>
      </w:r>
      <w:bookmarkEnd w:id="48"/>
      <w:bookmarkEnd w:id="49"/>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pPr>
        <w:spacing w:line="300" w:lineRule="exact"/>
        <w:jc w:val="both"/>
        <w:rPr>
          <w:rFonts w:ascii="Arial" w:hAnsi="Arial" w:cs="Arial"/>
          <w:sz w:val="22"/>
          <w:szCs w:val="22"/>
          <w:highlight w:val="yellow"/>
        </w:rPr>
      </w:pPr>
      <w:bookmarkStart w:id="50" w:name="_DV_M160"/>
      <w:bookmarkEnd w:id="50"/>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Escriturador deverão ser comunicados da realização do Resgate Antecipado Facultativo com, no mínimo, 3 (três) Dias Úteis de antecedência da data do Resgate Antecipado Facultativo. A data do Resgate Antecipado Facultativo deverá, obrigatoriamente, ser um Dia Útil.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evitar quaisquer dúvidas, caso o pagamento do Resgate Antecipado Facultativo ocorra em data que coincida com qualquer data de Amortização das Debêntures, nos termos da Cláusula 4.5 acima, e/ou Pagamento dos Juros Remuneratórios, nos termos da Cláusula 4.6 acima, o prêmio previsto na presente cláusula incidirá sobre o valor do Resgate Antecipado Facultativo, líquido de tais pagamentos de Amortização das Debêntures e/ou Pagamento dos Juros Remuneratórios, se devidamente realizados, nos termos desta Escritura de Emissão.</w:t>
      </w: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Amortização Extraordinária Facultativa</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u w:val="single"/>
        </w:rPr>
        <w:t>Amortização Extraordinária Facultativa</w:t>
      </w:r>
      <w:r>
        <w:rPr>
          <w:rFonts w:ascii="Arial" w:eastAsia="Calibri" w:hAnsi="Arial" w:cs="Arial"/>
          <w:sz w:val="22"/>
          <w:szCs w:val="22"/>
        </w:rPr>
        <w:t>. Sujeito ao atendimento das condições abaixo, a Emissora poderá realizar a amortização extraordinária facultativa limitada a 98% (noventa e oito por cento) do Valor Nominal Unitário das Debêntures ou saldo do Valor Nominal Unitário, conforme o caso, que deverá abranger, proporcionalmente, todas as Debêntures, a seu exclusivo critério e independentemente da anuência dos Debenturistas, a qualquer tempo a partir do 25º (vigésimo quinto) mês (inclusive) contado da Data de Emissão, mediante o envio da Comunicação de Amortização Extraordinária Facultativa (conforme definido no item 5.5.2.2. abaixo), com antecedência mínima de 10 (dez) Dias Úteis contados da data prevista para realização da referida amortização (“</w:t>
      </w:r>
      <w:r>
        <w:rPr>
          <w:rFonts w:ascii="Arial" w:eastAsia="Calibri" w:hAnsi="Arial" w:cs="Arial"/>
          <w:sz w:val="22"/>
          <w:szCs w:val="22"/>
          <w:u w:val="single"/>
        </w:rPr>
        <w:t>Amortização Extraordinária Facultativa</w:t>
      </w:r>
      <w:r>
        <w:rPr>
          <w:rFonts w:ascii="Arial" w:eastAsia="Calibri" w:hAnsi="Arial" w:cs="Arial"/>
          <w:sz w:val="22"/>
          <w:szCs w:val="22"/>
        </w:rPr>
        <w:t xml:space="preserve">”). </w:t>
      </w:r>
    </w:p>
    <w:p>
      <w:pPr>
        <w:spacing w:line="300" w:lineRule="exact"/>
        <w:jc w:val="both"/>
        <w:rPr>
          <w:rFonts w:ascii="Arial" w:hAnsi="Arial" w:cs="Arial"/>
          <w:sz w:val="22"/>
          <w:szCs w:val="22"/>
        </w:rPr>
      </w:pPr>
      <w:r>
        <w:rPr>
          <w:rFonts w:ascii="Arial" w:eastAsia="Calibri" w:hAnsi="Arial" w:cs="Arial"/>
          <w:sz w:val="22"/>
          <w:szCs w:val="22"/>
        </w:rPr>
        <w:t xml:space="preserve"> </w:t>
      </w: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Amortização Extraordinária Facultativa será realizada mediante o pagamento de parcela do Valor Nominal Unitário ou saldo do Valor Nominal Unitário, conforme o caso, acrescido (i) da Remuneração, calculada </w:t>
      </w:r>
      <w:r>
        <w:rPr>
          <w:rFonts w:ascii="Arial" w:hAnsi="Arial" w:cs="Arial"/>
          <w:i/>
          <w:sz w:val="22"/>
          <w:szCs w:val="22"/>
        </w:rPr>
        <w:t>pro rata temporis</w:t>
      </w:r>
      <w:r>
        <w:rPr>
          <w:rFonts w:ascii="Arial" w:hAnsi="Arial" w:cs="Arial"/>
          <w:sz w:val="22"/>
          <w:szCs w:val="22"/>
        </w:rPr>
        <w:t xml:space="preserve"> desde a Data da Primeira Integralização ou desde a última Data de Pagamento da Remuneração, conforme o caso até a data da efetiva Amortização Extraordinária Facultativa, (ii) de eventuais Encargos Moratórios (se houver) e (iii) de um prêmio </w:t>
      </w:r>
      <w:r>
        <w:rPr>
          <w:rFonts w:ascii="Arial" w:hAnsi="Arial" w:cs="Arial"/>
          <w:i/>
          <w:sz w:val="22"/>
          <w:szCs w:val="22"/>
        </w:rPr>
        <w:t>flat</w:t>
      </w:r>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Amortização</w:t>
      </w:r>
      <w:r>
        <w:rPr>
          <w:rFonts w:ascii="Arial" w:hAnsi="Arial" w:cs="Arial"/>
          <w:sz w:val="22"/>
          <w:szCs w:val="22"/>
        </w:rPr>
        <w:t>”). O Prêmio de Amortização incidirá sobre o Valor Nominal Unitário ou saldo do Valor Nominal Unitário, conforme o caso, acrescido da Remuneração e de eventuais encargos não pagos (“</w:t>
      </w:r>
      <w:r>
        <w:rPr>
          <w:rFonts w:ascii="Arial" w:hAnsi="Arial" w:cs="Arial"/>
          <w:sz w:val="22"/>
          <w:szCs w:val="22"/>
          <w:u w:val="single"/>
        </w:rPr>
        <w:t>Valor da Amortização Extraordinária Facultativa</w:t>
      </w:r>
      <w:r>
        <w:rPr>
          <w:rFonts w:ascii="Arial" w:hAnsi="Arial" w:cs="Arial"/>
          <w:sz w:val="22"/>
          <w:szCs w:val="22"/>
        </w:rPr>
        <w:t xml:space="preserve">”): </w:t>
      </w:r>
    </w:p>
    <w:p>
      <w:pPr>
        <w:spacing w:line="300" w:lineRule="exact"/>
        <w:jc w:val="both"/>
        <w:rPr>
          <w:rFonts w:ascii="Verdana" w:hAnsi="Verdana"/>
          <w:sz w:val="20"/>
          <w:szCs w:val="20"/>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nos itens 5.2.2.1. e 5.2.2.2. acima, a Amortização Extraordinária Facultativa somente poderá ocorrer mediante o envio de comunicação individual a todos os Debenturistas, com cópia para o Agente Fiduciário, ou publicação de Anúncio da Emissora dirigida aos Debenturistas (“</w:t>
      </w:r>
      <w:r>
        <w:rPr>
          <w:rFonts w:ascii="Arial" w:hAnsi="Arial" w:cs="Arial"/>
          <w:sz w:val="22"/>
          <w:szCs w:val="22"/>
          <w:u w:val="single"/>
        </w:rPr>
        <w:t>Comunicação de Amortização Extraordinária Facultativa</w:t>
      </w:r>
      <w:r>
        <w:rPr>
          <w:rFonts w:ascii="Arial" w:hAnsi="Arial" w:cs="Arial"/>
          <w:sz w:val="22"/>
          <w:szCs w:val="22"/>
        </w:rPr>
        <w:t>”), com antecedência mínima de 10 (dez) Dias Úteis contados da data prevista para realização da efetiva Amortização Extraordinária Facultativa (“</w:t>
      </w:r>
      <w:r>
        <w:rPr>
          <w:rFonts w:ascii="Arial" w:hAnsi="Arial" w:cs="Arial"/>
          <w:sz w:val="22"/>
          <w:szCs w:val="22"/>
          <w:u w:val="single"/>
        </w:rPr>
        <w:t>Data da Amortização Extraordinária Facultativa</w:t>
      </w:r>
      <w:r>
        <w:rPr>
          <w:rFonts w:ascii="Arial" w:hAnsi="Arial" w:cs="Arial"/>
          <w:sz w:val="22"/>
          <w:szCs w:val="22"/>
        </w:rPr>
        <w:t>”) que deverá, necessariamente, ser um Dia Útil. Na Comunicação de Amortização Extraordinária Facultativa deverão constar (i) a Data da Amortização Extraordinária Facultativa; (ii) parcela do saldo do Valor Nominal Unitário objeto da Amortização Extraordinária Facultativa; e (iii) quaisquer outras informações necessárias à operacionalização da Amortização Extraordinária Facultativa.</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Amortização Extraordinária Facultativa deverá ser comunicada à B3, ao Banco Liquidante e ao Escriturador com antecedência mínima de 3 (três) Dias Úteis da Data da Amortização Extraordinária Facultativa.</w:t>
      </w:r>
    </w:p>
    <w:p>
      <w:pPr>
        <w:pStyle w:val="PargrafodaLista"/>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lastRenderedPageBreak/>
        <w:t>O pagamento da Amortização Extraordinária Facultativa será feito (i) por meio dos procedimentos adotados pela B3 para as Debêntures custodiadas eletronicamente na B3; e/ou (ii) mediante depósito em contas correntes indicadas pelos Debenturistas a ser realizado pelo Banco Liquidante e/ou pelo Escriturador, no caso de Debêntures que não estejam custodiadas eletronicamente na B3.</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evitar quaisquer dúvidas, caso o pagamento da Amortização Extraordinária Facultativa ocorra em data que coincida com qualquer data de Amortização das Debêntures, nos termos da Cláusula 4.5 acima, e/ou Pagamento dos Juros Remuneratórios, nos termos da Cláusula 4.6 acima, o prêmio previsto na presente cláusula incidirá sobre o valor da Amortização Extraordinária Facultativa, líquido de tais pagamentos de Amortização das Debêntures e/ou Pagamento dos Juros Remuneratórios, se devidamente realizados, nos termos desta Escritura de Emissão.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51" w:name="_Ref500321360"/>
      <w:r>
        <w:rPr>
          <w:rFonts w:ascii="Arial" w:hAnsi="Arial" w:cs="Arial"/>
          <w:b/>
          <w:sz w:val="22"/>
          <w:szCs w:val="22"/>
        </w:rPr>
        <w:t>Oferta de Resgate Antecipado</w:t>
      </w:r>
      <w:bookmarkEnd w:id="51"/>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rPr>
        <w:t>A Emissora poderá, a qualquer momento, realizar oferta de resgate antecipado total das Debêntures endereçada a todos os titulares de Debêntures, sem distinção, sendo assegurado a todos os titulares de Debêntures igualdade de condições para aceitar a oferta de resgate antecipado das Debêntures de sua titularidade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pPr>
        <w:spacing w:line="300" w:lineRule="exact"/>
        <w:ind w:left="50"/>
        <w:jc w:val="both"/>
        <w:rPr>
          <w:rFonts w:ascii="Arial"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o qual deverá descrever os termos e condições da Oferta de Resgate, incluindo: (i) o valor do prêmio de resgate, caso exista, que em nenhum caso poderá ser negativo; (ii) a data efetiva para o resgate e pagamento das Debêntures a serem resgatadas, observado o item (b) abaixo; (iii) a forma e prazo de manifestação à Emissora dos Debenturistas que optarem pela adesão à Oferta de Resgate; e (iv) demais informações necessárias para tomada de decisão pelos Debenturistas e à operacionalização do resgate das Debêntures;</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w:t>
      </w:r>
      <w:r>
        <w:rPr>
          <w:rFonts w:ascii="Arial" w:eastAsia="Calibri" w:hAnsi="Arial" w:cs="Arial"/>
          <w:sz w:val="22"/>
          <w:szCs w:val="22"/>
        </w:rPr>
        <w:lastRenderedPageBreak/>
        <w:t xml:space="preserve">(i) da Remuneração, calculada </w:t>
      </w:r>
      <w:r>
        <w:rPr>
          <w:rFonts w:ascii="Arial" w:eastAsia="Calibri" w:hAnsi="Arial" w:cs="Arial"/>
          <w:i/>
          <w:sz w:val="22"/>
          <w:szCs w:val="22"/>
        </w:rPr>
        <w:t>pro rata temporis</w:t>
      </w:r>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(ii) de eventuais encargos moratórios, se houver; e (iii) de eventual prêmio de resgate a ser oferecido aos Debenturistas, a exclusivo critério da Emissora, o qual não poderá ser negativo.</w:t>
      </w:r>
    </w:p>
    <w:p>
      <w:pPr>
        <w:tabs>
          <w:tab w:val="left" w:pos="709"/>
        </w:tabs>
        <w:spacing w:line="300" w:lineRule="exact"/>
        <w:ind w:left="720"/>
        <w:jc w:val="both"/>
        <w:rPr>
          <w:rFonts w:ascii="Arial" w:eastAsia="Calibri" w:hAnsi="Arial" w:cs="Arial"/>
          <w:sz w:val="22"/>
          <w:szCs w:val="22"/>
        </w:rPr>
      </w:pPr>
    </w:p>
    <w:p>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Escriturador.</w:t>
      </w:r>
    </w:p>
    <w:p>
      <w:pPr>
        <w:spacing w:line="300" w:lineRule="exact"/>
        <w:ind w:left="5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pPr>
        <w:spacing w:line="300" w:lineRule="exact"/>
        <w:jc w:val="both"/>
        <w:rPr>
          <w:rFonts w:ascii="Arial" w:hAnsi="Arial" w:cs="Arial"/>
          <w:sz w:val="22"/>
          <w:szCs w:val="22"/>
        </w:rPr>
      </w:pPr>
    </w:p>
    <w:p>
      <w:pPr>
        <w:numPr>
          <w:ilvl w:val="1"/>
          <w:numId w:val="3"/>
        </w:numPr>
        <w:spacing w:line="300" w:lineRule="exact"/>
        <w:ind w:left="0" w:firstLine="0"/>
        <w:jc w:val="both"/>
        <w:rPr>
          <w:rFonts w:ascii="Arial" w:hAnsi="Arial" w:cs="Arial"/>
          <w:b/>
          <w:sz w:val="22"/>
          <w:szCs w:val="22"/>
        </w:rPr>
      </w:pPr>
      <w:bookmarkStart w:id="52" w:name="_Ref264230355"/>
      <w:bookmarkEnd w:id="46"/>
      <w:r>
        <w:rPr>
          <w:rFonts w:ascii="Arial" w:eastAsia="Arial Unicode MS" w:hAnsi="Arial" w:cs="Arial"/>
          <w:b/>
          <w:w w:val="0"/>
          <w:sz w:val="22"/>
          <w:szCs w:val="22"/>
        </w:rPr>
        <w:t>Vencimento Antecipado</w:t>
      </w:r>
      <w:bookmarkStart w:id="53" w:name="_DV_M268"/>
      <w:bookmarkStart w:id="54" w:name="_DV_C317"/>
      <w:bookmarkEnd w:id="52"/>
      <w:bookmarkEnd w:id="53"/>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napToGrid w:val="0"/>
          <w:sz w:val="22"/>
          <w:szCs w:val="22"/>
        </w:rPr>
      </w:pPr>
      <w:bookmarkStart w:id="55" w:name="_Ref264557941"/>
      <w:r>
        <w:rPr>
          <w:rFonts w:ascii="Arial" w:hAnsi="Arial" w:cs="Arial"/>
          <w:sz w:val="22"/>
          <w:szCs w:val="22"/>
        </w:rPr>
        <w:t>Vencimento Antecipado Automático.</w:t>
      </w:r>
    </w:p>
    <w:p>
      <w:pPr>
        <w:spacing w:line="300" w:lineRule="exact"/>
        <w:jc w:val="both"/>
        <w:rPr>
          <w:rFonts w:ascii="Arial" w:hAnsi="Arial" w:cs="Arial"/>
          <w:snapToGrid w:val="0"/>
          <w:sz w:val="22"/>
          <w:szCs w:val="22"/>
        </w:rPr>
      </w:pPr>
    </w:p>
    <w:p>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56" w:name="_Ref265619587"/>
      <w:bookmarkEnd w:id="55"/>
    </w:p>
    <w:p>
      <w:pPr>
        <w:spacing w:line="300" w:lineRule="exact"/>
        <w:jc w:val="both"/>
        <w:rPr>
          <w:rFonts w:ascii="Arial" w:hAnsi="Arial" w:cs="Arial"/>
          <w:snapToGrid w:val="0"/>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descumprimento pela Emissora de qualquer obrigação pecuniária prevista nesta Escritura de Emissão e/ou em qualquer Instrumento de Garantia relacionada às Debêntures, não sanado no prazo de até 2 (dois) dias contados da respectiva data de vencimento;</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de falência da Emissora, da IVN e/ou da Quatroefe, pedido de autofalência pela Emissora e/ou da Quatroefe, pedido de falência da Emissora, da IVN e/ou da Quatroefe formulado por terceiros não elidido no prazo legal, pedido de recuperação judicial, extrajudicial ou submissão a qualquer credor ou classe de credores de plano </w:t>
      </w:r>
      <w:r>
        <w:rPr>
          <w:rFonts w:ascii="Arial" w:hAnsi="Arial" w:cs="Arial"/>
        </w:rPr>
        <w:lastRenderedPageBreak/>
        <w:t xml:space="preserve">de recuperação extrajudicial, formulado pela Emissora, pela IVN e/ou pela Quatroefe, independentemente do deferimento do respectivo pedido; </w:t>
      </w:r>
    </w:p>
    <w:p>
      <w:pPr>
        <w:pStyle w:val="PargrafodaLista"/>
        <w:autoSpaceDE w:val="0"/>
        <w:autoSpaceDN w:val="0"/>
        <w:adjustRightInd w:val="0"/>
        <w:spacing w:line="300" w:lineRule="exact"/>
        <w:ind w:left="567"/>
        <w:jc w:val="both"/>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extinção, liquidação ou dissolução da Emissora, da IVN e/ou Quatroefe;</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mudança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pPr>
        <w:pStyle w:val="PargrafodaLista"/>
        <w:spacing w:line="300" w:lineRule="exact"/>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Ações;</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lastRenderedPageBreak/>
        <w:t xml:space="preserve">aplicação dos recursos oriundos das Debêntures em destinação diversa da descrita nesta Escritura; </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pPr>
        <w:pStyle w:val="PargrafodaLista"/>
        <w:autoSpaceDE w:val="0"/>
        <w:autoSpaceDN w:val="0"/>
        <w:adjustRightInd w:val="0"/>
        <w:spacing w:line="300" w:lineRule="exact"/>
        <w:ind w:left="567" w:hanging="567"/>
        <w:jc w:val="both"/>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pela IVN e/ou pelo Fiador, bem como por sua controladora, suas controladas e/ou suas coligadas, da validade e/ou exequibilidade (i) desta Escritura de Emissão; (ii) da Cessão Fiduciária e do Instrumento de Garantia; e/ou (iii) da Fiança.</w:t>
      </w:r>
    </w:p>
    <w:p>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pPr>
        <w:spacing w:line="300" w:lineRule="exact"/>
        <w:ind w:left="792"/>
        <w:jc w:val="both"/>
        <w:rPr>
          <w:rFonts w:ascii="Arial" w:hAnsi="Arial" w:cs="Arial"/>
          <w:b/>
          <w:sz w:val="22"/>
          <w:szCs w:val="22"/>
        </w:rPr>
      </w:pPr>
    </w:p>
    <w:p>
      <w:pPr>
        <w:pStyle w:val="PargrafodaLista"/>
        <w:numPr>
          <w:ilvl w:val="3"/>
          <w:numId w:val="3"/>
        </w:numPr>
        <w:spacing w:line="300" w:lineRule="exact"/>
        <w:ind w:left="0" w:firstLine="0"/>
        <w:jc w:val="both"/>
        <w:rPr>
          <w:rFonts w:ascii="Arial" w:hAnsi="Arial" w:cs="Arial"/>
        </w:rPr>
      </w:pPr>
      <w:bookmarkStart w:id="57" w:name="_DV_M227"/>
      <w:bookmarkStart w:id="58" w:name="_Ref264550335"/>
      <w:bookmarkEnd w:id="56"/>
      <w:bookmarkEnd w:id="57"/>
      <w:r>
        <w:rPr>
          <w:rFonts w:ascii="Arial" w:hAnsi="Arial" w:cs="Arial"/>
        </w:rPr>
        <w:t>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ou do Fiador o imediato pagamento pela Emissora</w:t>
      </w:r>
      <w:r>
        <w:rPr>
          <w:rFonts w:ascii="Arial" w:eastAsia="Times New Roman" w:hAnsi="Arial" w:cs="Arial"/>
          <w:sz w:val="24"/>
          <w:szCs w:val="24"/>
        </w:rPr>
        <w:t xml:space="preserve"> </w:t>
      </w:r>
      <w:r>
        <w:rPr>
          <w:rFonts w:ascii="Arial" w:hAnsi="Arial" w:cs="Arial"/>
        </w:rPr>
        <w:t xml:space="preserve">ou pelo Fiador 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pPr>
        <w:spacing w:line="300" w:lineRule="exact"/>
        <w:jc w:val="both"/>
        <w:rPr>
          <w:rFonts w:ascii="Arial" w:hAnsi="Arial" w:cs="Arial"/>
          <w:sz w:val="22"/>
          <w:szCs w:val="22"/>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ocorrência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 Emissora efetuar investimento, direto ou indireto, em outras sociedades, aquisição e alienação de participações societárias, ou criação de subsidiárias, sem o prévio consentimento de titulares das Debêntures representando 75% (setenta e </w:t>
      </w:r>
      <w:r>
        <w:rPr>
          <w:rFonts w:ascii="Arial" w:hAnsi="Arial" w:cs="Arial"/>
        </w:rPr>
        <w:lastRenderedPageBreak/>
        <w:t>cinco por cento) das Debêntures em Circulação reunidos em Assembleia Geral de Debenturistas especialmente convocada para esse fim;</w:t>
      </w:r>
    </w:p>
    <w:p>
      <w:pPr>
        <w:pStyle w:val="PargrafodaLista"/>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a IVN; </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Quatroefe por outra companhia, sem a prévia e expressa autorização de titulares das Debêntures representando 75% (setenta e cinco por cento) das Debêntures em Circulação reunidos em Assembleia Geral de Debenturistas especialmente convocada para esse fim; </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redução do capital social da Emissora e/ou da IVN sem a prévia e expressa autorização de titulares das Debêntures representando 75% (setenta e cinco por cento) das Debêntures em Circulação reunidos em Assembleia Geral de Debenturistas especialmente convocada para esse fim;</w:t>
      </w:r>
    </w:p>
    <w:p>
      <w:pPr>
        <w:pStyle w:val="PargrafodaLista"/>
        <w:rPr>
          <w:rFonts w:ascii="Arial" w:hAnsi="Arial" w:cs="Arial"/>
        </w:rPr>
      </w:pPr>
    </w:p>
    <w:p>
      <w:pPr>
        <w:pStyle w:val="PargrafodaLista"/>
        <w:spacing w:line="300" w:lineRule="exact"/>
        <w:ind w:hanging="567"/>
        <w:rPr>
          <w:rFonts w:ascii="Arial" w:hAnsi="Arial" w:cs="Arial"/>
        </w:rPr>
      </w:pPr>
    </w:p>
    <w:p>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descumprimento pela Emissora e/ou pelo Fiador de quaisquer obrigações não pecuniárias relacionadas às Debêntures previstas nesta Escritura de Emissão e/ou no Instrumento de Garantia, que não sejam sanadas no prazo de 10 (dez) Dias Úteis contados da data do respectivo descumprimento;</w:t>
      </w:r>
    </w:p>
    <w:p>
      <w:pPr>
        <w:spacing w:line="300" w:lineRule="exact"/>
        <w:ind w:hanging="720"/>
        <w:jc w:val="both"/>
        <w:rPr>
          <w:rFonts w:ascii="Arial" w:hAnsi="Arial" w:cs="Arial"/>
          <w:sz w:val="22"/>
          <w:szCs w:val="22"/>
        </w:rPr>
      </w:pPr>
    </w:p>
    <w:p>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 xml:space="preserve">se as declarações e garantias prestadas pela Emissora, conforme abaixo previstas, forem descumpridas e/ou provarem-se falsas, incorretas, inconsistentes ou insuficientes; </w:t>
      </w:r>
    </w:p>
    <w:p>
      <w:pPr>
        <w:pStyle w:val="PargrafodaLista"/>
        <w:autoSpaceDE w:val="0"/>
        <w:autoSpaceDN w:val="0"/>
        <w:adjustRightInd w:val="0"/>
        <w:spacing w:line="300" w:lineRule="exact"/>
        <w:ind w:left="567" w:hanging="720"/>
        <w:jc w:val="both"/>
        <w:rPr>
          <w:rFonts w:ascii="Arial" w:hAnsi="Arial" w:cs="Arial"/>
        </w:rPr>
      </w:pPr>
    </w:p>
    <w:p>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 Debêntures, seja em uma única transação ou em uma série de transações, relacionadas ou não;</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questionamento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dias contados da data em que a Companhia tomar ciência do ajuizamento de tal questionamento judicial;</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lastRenderedPageBreak/>
        <w:t xml:space="preserve">caso o Instrumento de Garantia ou seu objeto, integral ou parcialmente, por qualquer fato, seja objeto de decisões judiciais ou arbitrais e/ou administrativas que prejudiquem ou impactem o Instrumento de Garantia; </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durante o prazo de vigência das Debêntures, do índice e limite financeiro (“</w:t>
      </w:r>
      <w:r>
        <w:rPr>
          <w:rFonts w:ascii="Arial" w:hAnsi="Arial" w:cs="Arial"/>
          <w:i/>
          <w:iCs/>
          <w:u w:val="single"/>
        </w:rPr>
        <w:t>Covenant Financeiro</w:t>
      </w:r>
      <w:r>
        <w:rPr>
          <w:rFonts w:ascii="Arial" w:hAnsi="Arial" w:cs="Arial"/>
        </w:rPr>
        <w:t>”) indicado na Cláusula 5.3.5. abaixo, observado o disposto na referida cláusula;</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não manutenção da Deloitte, KPMG, Ernst &amp; Young, PwC ou BDO como auditora das demonstrações financeiras da Emissora;</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comprovadamente efetuado indevidamente, por erro ou má-fé de terceiro, ou ainda que tenha sido contestados, sustados, sanados ou cancelados tempestivamente;</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dias, prejudicando a capacidade da Emissora de pagar suas dívidas, exceto nos casos em que a eventual paralisação decorra de manutenções necessárias no curso normal dos negócios; </w:t>
      </w:r>
    </w:p>
    <w:p>
      <w:pPr>
        <w:autoSpaceDE w:val="0"/>
        <w:autoSpaceDN w:val="0"/>
        <w:adjustRightInd w:val="0"/>
        <w:spacing w:line="300" w:lineRule="exact"/>
        <w:jc w:val="both"/>
        <w:rPr>
          <w:rFonts w:ascii="Arial" w:hAnsi="Arial" w:cs="Arial"/>
          <w:sz w:val="22"/>
          <w:szCs w:val="22"/>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existência de qualquer decisão arbitral definitiva ou decisão judicial cujos efeitos não sejam suspensos no prazo de 30 (trinta) dias, em valor, individual ou agregado, igual ou superior a R$15.000.000,00 (quinze milhões de reais) atualizado mensalmente, a partir da Data de Emissão, pela variação positiva do IPCA, apurado e divulgado pelo IBGE, ou seu equivalente em outras moedas; e</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pPr>
        <w:pStyle w:val="PargrafodaLista"/>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w:t>
      </w:r>
      <w:r>
        <w:rPr>
          <w:rFonts w:ascii="Arial" w:hAnsi="Arial" w:cs="Arial"/>
        </w:rPr>
        <w:lastRenderedPageBreak/>
        <w:t>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pPr>
        <w:pStyle w:val="PargrafodaLista"/>
        <w:autoSpaceDE w:val="0"/>
        <w:autoSpaceDN w:val="0"/>
        <w:adjustRightInd w:val="0"/>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Debêntures em Circulação para aprovar a não declaração do vencimento antecipado das Debêntures.</w:t>
      </w:r>
    </w:p>
    <w:p>
      <w:pPr>
        <w:pStyle w:val="PargrafodaLista"/>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59"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e ao Fiador,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ou o Fiador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ou o Fiador 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59"/>
    </w:p>
    <w:p>
      <w:pPr>
        <w:pStyle w:val="PargrafodaLista"/>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60" w:name="_DV_M301"/>
      <w:bookmarkEnd w:id="54"/>
      <w:bookmarkEnd w:id="58"/>
      <w:bookmarkEnd w:id="60"/>
      <w:r>
        <w:rPr>
          <w:rFonts w:ascii="Arial" w:hAnsi="Arial" w:cs="Arial"/>
          <w:sz w:val="22"/>
          <w:szCs w:val="22"/>
        </w:rPr>
        <w:t xml:space="preserve">Para os fins da alínea (f) da Cláusula 5.3.2.1. acima, o </w:t>
      </w:r>
      <w:r>
        <w:rPr>
          <w:rFonts w:ascii="Arial" w:hAnsi="Arial" w:cs="Arial"/>
          <w:i/>
          <w:iCs/>
          <w:sz w:val="22"/>
          <w:szCs w:val="22"/>
        </w:rPr>
        <w:t>Covenant Financeiro</w:t>
      </w:r>
      <w:bookmarkStart w:id="61"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62" w:name="_DV_M228"/>
      <w:bookmarkEnd w:id="61"/>
      <w:bookmarkEnd w:id="62"/>
      <w:r>
        <w:rPr>
          <w:rStyle w:val="DeltaViewInsertion"/>
          <w:rFonts w:ascii="Arial" w:hAnsi="Arial" w:cs="Arial"/>
          <w:color w:val="auto"/>
          <w:sz w:val="22"/>
          <w:szCs w:val="22"/>
          <w:u w:val="none"/>
        </w:rPr>
        <w:t xml:space="preserve"> encerradas em 31 de dezembro </w:t>
      </w:r>
      <w:r>
        <w:rPr>
          <w:rFonts w:ascii="Arial" w:hAnsi="Arial" w:cs="Arial"/>
          <w:sz w:val="22"/>
          <w:szCs w:val="22"/>
        </w:rPr>
        <w:t xml:space="preserve">será o índice Dívida Líquida / EBITDA, calculado com base no EBITDA consolidado dos últimos 12 (doze) meses, conforme tabela abaixo, sendo certo que a primeira verificação será referente ao exercício findo em 31 de dezembro de 2020: </w:t>
      </w:r>
    </w:p>
    <w:p>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trPr>
          <w:jc w:val="center"/>
        </w:trPr>
        <w:tc>
          <w:tcPr>
            <w:tcW w:w="1815" w:type="dxa"/>
          </w:tcPr>
          <w:p>
            <w:pPr>
              <w:pStyle w:val="PargrafodaLista"/>
              <w:suppressAutoHyphens/>
              <w:spacing w:line="300" w:lineRule="exact"/>
              <w:ind w:left="0"/>
              <w:jc w:val="center"/>
              <w:rPr>
                <w:rFonts w:ascii="Arial" w:hAnsi="Arial" w:cs="Arial"/>
                <w:b/>
              </w:rPr>
            </w:pPr>
            <w:bookmarkStart w:id="63" w:name="_DV_M236"/>
            <w:bookmarkEnd w:id="63"/>
            <w:r>
              <w:rPr>
                <w:rFonts w:ascii="Arial" w:hAnsi="Arial" w:cs="Arial"/>
                <w:b/>
              </w:rPr>
              <w:t>Ano do Exercício</w:t>
            </w:r>
          </w:p>
        </w:tc>
        <w:tc>
          <w:tcPr>
            <w:tcW w:w="3263" w:type="dxa"/>
          </w:tcPr>
          <w:p>
            <w:pPr>
              <w:pStyle w:val="PargrafodaLista"/>
              <w:suppressAutoHyphens/>
              <w:spacing w:line="300" w:lineRule="exact"/>
              <w:ind w:left="0"/>
              <w:jc w:val="center"/>
              <w:rPr>
                <w:rFonts w:ascii="Arial" w:hAnsi="Arial" w:cs="Arial"/>
                <w:b/>
              </w:rPr>
            </w:pPr>
            <w:r>
              <w:rPr>
                <w:rFonts w:ascii="Arial" w:hAnsi="Arial" w:cs="Arial"/>
                <w:b/>
              </w:rPr>
              <w:t>Dívida Líquida / EBITDA</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2020</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3,00x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2021</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2,80x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2022</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2,50x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2023</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2,00x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2024</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2,00x</w:t>
            </w:r>
          </w:p>
        </w:tc>
      </w:tr>
    </w:tbl>
    <w:p>
      <w:pPr>
        <w:pStyle w:val="PargrafodaLista"/>
        <w:suppressAutoHyphens/>
        <w:spacing w:line="300" w:lineRule="exact"/>
        <w:ind w:left="1134"/>
        <w:rPr>
          <w:rFonts w:ascii="Arial" w:hAnsi="Arial" w:cs="Arial"/>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pPr>
        <w:suppressAutoHyphens/>
        <w:spacing w:line="300" w:lineRule="exact"/>
        <w:ind w:left="1418"/>
        <w:rPr>
          <w:rFonts w:ascii="Arial" w:hAnsi="Arial" w:cs="Arial"/>
          <w:sz w:val="22"/>
          <w:szCs w:val="22"/>
        </w:rPr>
      </w:pPr>
    </w:p>
    <w:p>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pPr>
        <w:pStyle w:val="PargrafodaLista"/>
        <w:suppressAutoHyphens/>
        <w:spacing w:line="300" w:lineRule="exact"/>
        <w:ind w:left="567" w:right="618"/>
        <w:rPr>
          <w:rFonts w:ascii="Arial" w:hAnsi="Arial" w:cs="Arial"/>
        </w:rPr>
      </w:pPr>
    </w:p>
    <w:p>
      <w:pPr>
        <w:pStyle w:val="PargrafodaLista"/>
        <w:widowControl/>
        <w:numPr>
          <w:ilvl w:val="0"/>
          <w:numId w:val="13"/>
        </w:numPr>
        <w:suppressAutoHyphens/>
        <w:spacing w:line="300" w:lineRule="exact"/>
        <w:ind w:left="567" w:right="618" w:firstLine="0"/>
        <w:rPr>
          <w:rFonts w:ascii="Arial" w:hAnsi="Arial" w:cs="Arial"/>
        </w:rPr>
      </w:pPr>
      <w:bookmarkStart w:id="64" w:name="_DV_M253"/>
      <w:bookmarkEnd w:id="64"/>
      <w:r>
        <w:rPr>
          <w:rFonts w:ascii="Arial" w:hAnsi="Arial" w:cs="Arial"/>
        </w:rPr>
        <w:t>“</w:t>
      </w:r>
      <w:r>
        <w:rPr>
          <w:rFonts w:ascii="Arial" w:hAnsi="Arial" w:cs="Arial"/>
          <w:u w:val="single"/>
        </w:rPr>
        <w:t>Dívida Líquida</w:t>
      </w:r>
      <w:r>
        <w:rPr>
          <w:rFonts w:ascii="Arial" w:hAnsi="Arial" w:cs="Arial"/>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pPr>
        <w:spacing w:line="300" w:lineRule="exact"/>
        <w:jc w:val="both"/>
        <w:rPr>
          <w:rFonts w:ascii="Arial" w:hAnsi="Arial" w:cs="Arial"/>
          <w:sz w:val="22"/>
          <w:szCs w:val="22"/>
        </w:rPr>
      </w:pPr>
    </w:p>
    <w:p>
      <w:pPr>
        <w:keepNext/>
        <w:keepLines/>
        <w:numPr>
          <w:ilvl w:val="0"/>
          <w:numId w:val="3"/>
        </w:numPr>
        <w:spacing w:line="300" w:lineRule="exact"/>
        <w:ind w:left="0" w:firstLine="0"/>
        <w:jc w:val="both"/>
        <w:rPr>
          <w:rFonts w:ascii="Arial" w:hAnsi="Arial" w:cs="Arial"/>
          <w:sz w:val="22"/>
          <w:szCs w:val="22"/>
        </w:rPr>
      </w:pPr>
      <w:bookmarkStart w:id="65" w:name="_Ref264363915"/>
      <w:r>
        <w:rPr>
          <w:rFonts w:ascii="Arial" w:eastAsia="Arial Unicode MS" w:hAnsi="Arial" w:cs="Arial"/>
          <w:b/>
          <w:w w:val="0"/>
          <w:sz w:val="22"/>
          <w:szCs w:val="22"/>
        </w:rPr>
        <w:t>DAS OBRIGAÇÕES ADICIONAIS DA EMISSORA</w:t>
      </w:r>
      <w:bookmarkStart w:id="66" w:name="_DV_M188"/>
      <w:bookmarkEnd w:id="65"/>
      <w:bookmarkEnd w:id="66"/>
    </w:p>
    <w:p>
      <w:pPr>
        <w:keepNext/>
        <w:keepLines/>
        <w:spacing w:line="300" w:lineRule="exact"/>
        <w:ind w:left="360"/>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bookmarkStart w:id="67" w:name="_Ref264554260"/>
      <w:r>
        <w:rPr>
          <w:rFonts w:ascii="Arial" w:eastAsia="Arial Unicode MS" w:hAnsi="Arial" w:cs="Arial"/>
          <w:w w:val="0"/>
          <w:sz w:val="22"/>
          <w:szCs w:val="22"/>
        </w:rPr>
        <w:t>A Emissora, até a liquidação de todas as obrigações previstas nesta Escritura de Emissão, adicionalmente se obriga a:</w:t>
      </w:r>
      <w:bookmarkEnd w:id="67"/>
    </w:p>
    <w:p>
      <w:pPr>
        <w:spacing w:line="300" w:lineRule="exact"/>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lastRenderedPageBreak/>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 seguintes documentos e informações:</w:t>
      </w:r>
    </w:p>
    <w:p>
      <w:pPr>
        <w:tabs>
          <w:tab w:val="left" w:pos="142"/>
          <w:tab w:val="left" w:pos="1800"/>
        </w:tabs>
        <w:spacing w:line="300" w:lineRule="exact"/>
        <w:jc w:val="both"/>
        <w:rPr>
          <w:rFonts w:ascii="Arial" w:eastAsia="Arial Unicode MS" w:hAnsi="Arial" w:cs="Arial"/>
          <w:w w:val="0"/>
          <w:sz w:val="22"/>
          <w:szCs w:val="22"/>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68" w:name="_DV_M190"/>
      <w:bookmarkStart w:id="69" w:name="_DV_M191"/>
      <w:bookmarkEnd w:id="68"/>
      <w:bookmarkEnd w:id="69"/>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Pr>
          <w:rFonts w:ascii="Arial" w:hAnsi="Arial" w:cs="Arial"/>
          <w:i/>
          <w:iCs/>
        </w:rPr>
        <w:t>Covenant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dentro de 5 (cinco) Dias Úteis após o efetivo registro na JUCESP, prontamente fornecer cópias de todas as atas de todas as assembleias gerais de acionistas;</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70" w:name="_DV_M199"/>
      <w:bookmarkStart w:id="71" w:name="_DV_M203"/>
      <w:bookmarkStart w:id="72" w:name="_DV_M205"/>
      <w:bookmarkStart w:id="73" w:name="_DV_M206"/>
      <w:bookmarkStart w:id="74" w:name="_DV_M207"/>
      <w:bookmarkStart w:id="75" w:name="_DV_M208"/>
      <w:bookmarkEnd w:id="70"/>
      <w:bookmarkEnd w:id="71"/>
      <w:bookmarkEnd w:id="72"/>
      <w:bookmarkEnd w:id="73"/>
      <w:bookmarkEnd w:id="74"/>
      <w:bookmarkEnd w:id="75"/>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 Úteis sobre a ocorrência de qualquer irregularidade ou evento que possa levar os órgãos competentes a considerar descumprida qualquer norma de proteção ambiental; e</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socioambiental.</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lastRenderedPageBreak/>
        <w:t>proceder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76" w:name="_DV_M211"/>
      <w:bookmarkStart w:id="77" w:name="_DV_M76"/>
      <w:bookmarkStart w:id="78" w:name="_DV_M77"/>
      <w:bookmarkStart w:id="79" w:name="_DV_M78"/>
      <w:bookmarkStart w:id="80" w:name="_DV_M75"/>
      <w:bookmarkStart w:id="81" w:name="_DV_M79"/>
      <w:bookmarkStart w:id="82" w:name="_DV_M80"/>
      <w:bookmarkEnd w:id="76"/>
      <w:bookmarkEnd w:id="77"/>
      <w:bookmarkEnd w:id="78"/>
      <w:bookmarkEnd w:id="79"/>
      <w:bookmarkEnd w:id="80"/>
      <w:bookmarkEnd w:id="81"/>
      <w:bookmarkEnd w:id="82"/>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preparar as demonstrações financeiras de encerramento de exercício e, se for o caso, demonstrações financeiras consolidadas, em conformidade com a Lei das Sociedades por Ações e com as regras emitidas pela CVM;</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relativas a cada exercício social a auditoria, por auditor independente registrado na CVM;</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até o dia anterior ao início das negociações das Debêntures, as Demonstrações Financeiras da Companhia, acompanhadas de notas explicativas e do relatório dos auditores independentes, relativas aos 3 (três) últimos exercícios sociais encerrados;</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contados do encerramento do exercício social;</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 ocorrência de qualquer fato relevante, conforme definido no artigo 2º da Instrução CVM 358, de 03 de janeiro de 2002; ;</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e demais comunicações enviadas pelo Agente Fiduciário na mesma data do seu recebimento, observado, ainda, o disposto item (iv) acima</w:t>
      </w:r>
      <w:r>
        <w:rPr>
          <w:rFonts w:ascii="Arial" w:hAnsi="Arial" w:cs="Arial"/>
          <w:sz w:val="22"/>
          <w:szCs w:val="22"/>
        </w:rPr>
        <w:t>; e</w:t>
      </w:r>
    </w:p>
    <w:p>
      <w:pPr>
        <w:pStyle w:val="PargrafodaLista"/>
        <w:rPr>
          <w:rFonts w:ascii="Arial" w:eastAsia="Arial Unicode MS" w:hAnsi="Arial" w:cs="Arial"/>
          <w:w w:val="0"/>
        </w:rPr>
      </w:pPr>
    </w:p>
    <w:p>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eastAsia="Arial Unicode MS" w:hAnsi="Arial" w:cs="Arial"/>
          <w:w w:val="0"/>
          <w:sz w:val="22"/>
          <w:szCs w:val="22"/>
        </w:rPr>
        <w:t xml:space="preserve">divulgar as informações referidas nos incisos (iii), (iv) e (vi): (A) em sua página na rede mundial de computadores, mantendo-as disponíveis pelo período de 3 (três) anos; e (B) em sistema disponibilizado pela entidade </w:t>
      </w:r>
      <w:r>
        <w:rPr>
          <w:rFonts w:ascii="Arial" w:eastAsia="Arial Unicode MS" w:hAnsi="Arial" w:cs="Arial"/>
          <w:w w:val="0"/>
          <w:sz w:val="22"/>
          <w:szCs w:val="22"/>
        </w:rPr>
        <w:lastRenderedPageBreak/>
        <w:t>administradora de mercados organizados onde os valores mobiliários estão admitidos à negociação.</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convocar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83" w:name="_DV_M213"/>
      <w:bookmarkEnd w:id="83"/>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tempestivamente todas as determinações da CVM, com o envio de documentos e das informações que lhe forem solicitadas;</w:t>
      </w:r>
      <w:bookmarkStart w:id="84" w:name="_DV_M214"/>
      <w:bookmarkStart w:id="85" w:name="_DV_M215"/>
      <w:bookmarkStart w:id="86" w:name="_DV_M216"/>
      <w:bookmarkEnd w:id="84"/>
      <w:bookmarkEnd w:id="85"/>
      <w:bookmarkEnd w:id="86"/>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não realizar operações que não tenham como objetivo final a execução de seu objeto social, observadas as disposições estatutárias, legais e regulamentares em vigor;</w:t>
      </w:r>
      <w:bookmarkStart w:id="87" w:name="_DV_M218"/>
      <w:bookmarkStart w:id="88" w:name="_DV_M219"/>
      <w:bookmarkStart w:id="89" w:name="_DV_M223"/>
      <w:bookmarkEnd w:id="87"/>
      <w:bookmarkEnd w:id="88"/>
      <w:bookmarkEnd w:id="89"/>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notificar em até 1 (um) Dia Útil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desse dever pela Emissora não impedirá o Agente Fiduciário ou os titulares das Debêntures de, a seu exclusivo critério, exercer suas faculdades, pretensões e poderes, previstos nesta Escritura de Emissão, inclusive o de declarar o vencimento antecipado;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efetuar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 de Emissão;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pPr>
        <w:tabs>
          <w:tab w:val="left" w:pos="142"/>
          <w:tab w:val="left" w:pos="720"/>
        </w:tabs>
        <w:autoSpaceDE w:val="0"/>
        <w:autoSpaceDN w:val="0"/>
        <w:adjustRightInd w:val="0"/>
        <w:spacing w:line="300" w:lineRule="exact"/>
        <w:ind w:left="720"/>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efetuar pontualmente o pagamento dos serviços relacionados ao registro das Debêntures custodiadas eletronicamente na B3;</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responsabilidade da Emissora;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pPr>
        <w:pStyle w:val="PargrafodaLista"/>
        <w:spacing w:line="300" w:lineRule="exact"/>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adotando as medidas e ações preventivas ou reparatórias, destinadas a evitar e corrigir eventuais danos ambientais, decorrentes da atividade descrita em seu objeto social.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pPr>
        <w:tabs>
          <w:tab w:val="left" w:pos="142"/>
          <w:tab w:val="left" w:pos="720"/>
        </w:tabs>
        <w:spacing w:line="300" w:lineRule="exact"/>
        <w:ind w:left="720"/>
        <w:jc w:val="both"/>
        <w:rPr>
          <w:rFonts w:ascii="Arial" w:eastAsia="Arial Unicode MS" w:hAnsi="Arial" w:cs="Arial"/>
          <w:sz w:val="22"/>
          <w:szCs w:val="22"/>
        </w:rPr>
      </w:pPr>
    </w:p>
    <w:p>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US Foreign Corrupt Practices</w:t>
      </w:r>
      <w:r>
        <w:rPr>
          <w:rFonts w:ascii="Arial" w:hAnsi="Arial" w:cs="Arial"/>
          <w:sz w:val="22"/>
          <w:szCs w:val="22"/>
        </w:rPr>
        <w:t xml:space="preserve"> </w:t>
      </w:r>
      <w:r>
        <w:rPr>
          <w:rFonts w:ascii="Arial" w:hAnsi="Arial" w:cs="Arial"/>
          <w:i/>
          <w:sz w:val="22"/>
          <w:szCs w:val="22"/>
        </w:rPr>
        <w:t>Act</w:t>
      </w:r>
      <w:r>
        <w:rPr>
          <w:rFonts w:ascii="Arial" w:hAnsi="Arial" w:cs="Arial"/>
          <w:sz w:val="22"/>
          <w:szCs w:val="22"/>
        </w:rPr>
        <w:t xml:space="preserve"> (FCPA) e pelo </w:t>
      </w:r>
      <w:r>
        <w:rPr>
          <w:rFonts w:ascii="Arial" w:hAnsi="Arial" w:cs="Arial"/>
          <w:i/>
          <w:sz w:val="22"/>
          <w:szCs w:val="22"/>
        </w:rPr>
        <w:t>UK Bribery Act</w:t>
      </w:r>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xml:space="preserve">”), devendo (a) manter políticas e procedimentos internos que assegurem o integral cumprimento das Normas Anticorrupção; (b) dar pleno conhecimento das Normas Anticorrupção a todos os profissionais que venham a se relacionar, previamente ao início de sua atuação no </w:t>
      </w:r>
      <w:r>
        <w:rPr>
          <w:rFonts w:ascii="Arial" w:hAnsi="Arial" w:cs="Arial"/>
          <w:sz w:val="22"/>
          <w:szCs w:val="22"/>
        </w:rPr>
        <w:lastRenderedPageBreak/>
        <w:t>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pPr>
        <w:tabs>
          <w:tab w:val="left" w:pos="142"/>
          <w:tab w:val="left" w:pos="709"/>
        </w:tabs>
        <w:spacing w:line="300" w:lineRule="exact"/>
        <w:ind w:left="720"/>
        <w:jc w:val="both"/>
        <w:rPr>
          <w:rFonts w:ascii="Arial" w:hAnsi="Arial" w:cs="Arial"/>
          <w:sz w:val="22"/>
          <w:szCs w:val="22"/>
        </w:rPr>
      </w:pPr>
    </w:p>
    <w:p>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 xml:space="preserve">constituir a Garantia Real na forma e prazos previstos no Instrumento de Garantia. </w:t>
      </w:r>
    </w:p>
    <w:p>
      <w:pPr>
        <w:tabs>
          <w:tab w:val="left" w:pos="142"/>
          <w:tab w:val="left" w:pos="720"/>
        </w:tabs>
        <w:spacing w:line="300" w:lineRule="exact"/>
        <w:ind w:left="720"/>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90" w:name="_DV_M225"/>
      <w:bookmarkStart w:id="91" w:name="_DV_M230"/>
      <w:bookmarkEnd w:id="90"/>
      <w:bookmarkEnd w:id="91"/>
      <w:r>
        <w:rPr>
          <w:rFonts w:ascii="Arial" w:eastAsia="Arial Unicode MS" w:hAnsi="Arial" w:cs="Arial"/>
          <w:b/>
          <w:w w:val="0"/>
          <w:sz w:val="22"/>
          <w:szCs w:val="22"/>
        </w:rPr>
        <w:t>DO AGENTE FIDUCIÁRIO</w:t>
      </w:r>
      <w:bookmarkStart w:id="92" w:name="_DV_M231"/>
      <w:bookmarkStart w:id="93" w:name="_DV_M232"/>
      <w:bookmarkEnd w:id="92"/>
      <w:bookmarkEnd w:id="93"/>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pPr>
        <w:spacing w:line="300" w:lineRule="exact"/>
        <w:jc w:val="both"/>
        <w:rPr>
          <w:rFonts w:ascii="Arial" w:hAnsi="Arial" w:cs="Arial"/>
          <w:spacing w:val="-2"/>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foi nomeado, assumindo integralmente os deveres e atribuições previstas na legislação específica e nesta Escritura de Emissão;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pPr>
        <w:tabs>
          <w:tab w:val="left" w:pos="709"/>
        </w:tabs>
        <w:suppressAutoHyphens/>
        <w:spacing w:line="300" w:lineRule="exact"/>
        <w:jc w:val="both"/>
        <w:rPr>
          <w:rFonts w:ascii="Arial" w:hAnsi="Arial" w:cs="Arial"/>
          <w:w w:val="0"/>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todos os requisitos legais e estatutários necessários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conflito de interesse previstas no artigo 6º da Instrução CVM 583;</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lastRenderedPageBreak/>
        <w:t>não tem qualquer ligação com a Emissora e/ou com o Fiador que o impeça de exercer suas funções;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verificou a veracidade das informações relativas às Garantias e a consistência das demais informações contidas nesta Escritura de Emissão, na Data de Emissão</w:t>
      </w:r>
      <w:r>
        <w:rPr>
          <w:rFonts w:ascii="Arial" w:hAnsi="Arial" w:cs="Arial"/>
          <w:w w:val="0"/>
          <w:sz w:val="22"/>
          <w:szCs w:val="22"/>
        </w:rPr>
        <w:t>, tendo diligenciado para que fossem sanadas as omissões, falhas ou defeitos de que tenha tido conhecimento;</w:t>
      </w:r>
    </w:p>
    <w:p>
      <w:pPr>
        <w:pStyle w:val="PargrafodaLista"/>
        <w:rPr>
          <w:rFonts w:ascii="Arial" w:hAnsi="Arial" w:cs="Arial"/>
        </w:rPr>
      </w:pP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forma prevista no inciso X do artigo 11 da Instrução CVM 583, a regularidade da constituição das Garantias, bem como sua suficiência e exequibilidade;</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 Agente Fiduciário identificou que presta serviços de agente fiduciário nas seguintes emissões da Emissora ou de empresas de seu grupo econômico:</w:t>
      </w:r>
    </w:p>
    <w:p>
      <w:pPr>
        <w:tabs>
          <w:tab w:val="left" w:pos="709"/>
        </w:tabs>
        <w:suppressAutoHyphens/>
        <w:spacing w:line="300" w:lineRule="exact"/>
        <w:jc w:val="both"/>
        <w:rPr>
          <w:rFonts w:ascii="Arial" w:hAnsi="Arial" w:cs="Arial"/>
          <w:sz w:val="22"/>
          <w:szCs w:val="22"/>
        </w:rPr>
      </w:pPr>
    </w:p>
    <w:p>
      <w:pPr>
        <w:tabs>
          <w:tab w:val="left" w:pos="709"/>
        </w:tabs>
        <w:suppressAutoHyphens/>
        <w:spacing w:line="300" w:lineRule="exact"/>
        <w:jc w:val="both"/>
        <w:rPr>
          <w:rFonts w:ascii="Arial" w:hAnsi="Arial" w:cs="Arial"/>
          <w:sz w:val="22"/>
          <w:szCs w:val="22"/>
        </w:rPr>
      </w:pPr>
    </w:p>
    <w:p>
      <w:pPr>
        <w:tabs>
          <w:tab w:val="left" w:pos="709"/>
        </w:tabs>
        <w:suppressAutoHyphens/>
        <w:spacing w:line="300" w:lineRule="exact"/>
        <w:jc w:val="both"/>
        <w:rPr>
          <w:rFonts w:ascii="Arial" w:hAnsi="Arial" w:cs="Arial"/>
          <w:sz w:val="22"/>
          <w:szCs w:val="22"/>
        </w:rPr>
      </w:pPr>
      <w:bookmarkStart w:id="94" w:name="_DV_M270"/>
      <w:bookmarkEnd w:id="94"/>
    </w:p>
    <w:tbl>
      <w:tblPr>
        <w:tblW w:w="5000" w:type="pct"/>
        <w:tblCellMar>
          <w:left w:w="0" w:type="dxa"/>
          <w:right w:w="0" w:type="dxa"/>
        </w:tblCellMar>
        <w:tblLook w:val="04A0" w:firstRow="1" w:lastRow="0" w:firstColumn="1" w:lastColumn="0" w:noHBand="0" w:noVBand="1"/>
      </w:tblPr>
      <w:tblGrid>
        <w:gridCol w:w="4455"/>
        <w:gridCol w:w="4456"/>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Vidroporto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2ª</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R$ 200.000.000,00</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200.000</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Garantia Real de Alienação Fiduciária de Quotas, Alienação Fiduciária de Imóveis e Cessão Fiduciária de Direitos Creditórios, com Garantia Fidejussória Adicional</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01/10/2018</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01/04/2024</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DI + 2,60%</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Não houve</w:t>
            </w:r>
          </w:p>
        </w:tc>
      </w:tr>
    </w:tbl>
    <w:p>
      <w:pPr>
        <w:tabs>
          <w:tab w:val="left" w:pos="709"/>
        </w:tabs>
        <w:suppressAutoHyphens/>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95" w:name="_DV_M237"/>
      <w:bookmarkEnd w:id="95"/>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R$15.000,00 (quinze mil reais) (“</w:t>
      </w:r>
      <w:r>
        <w:rPr>
          <w:rFonts w:ascii="Arial" w:hAnsi="Arial" w:cs="Arial"/>
          <w:spacing w:val="-2"/>
          <w:sz w:val="22"/>
          <w:szCs w:val="22"/>
          <w:u w:val="single"/>
        </w:rPr>
        <w:t>Remuneração do Agente Fiduciário</w:t>
      </w:r>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 dos anos seguintes no dia 15 do mês subsequente à data de pagamento da primeira parcela. A primeira parcela será devida ainda que a operação não seja integralizada, a título de estruturação e implantação.</w:t>
      </w:r>
    </w:p>
    <w:p>
      <w:pPr>
        <w:pStyle w:val="PargrafodaLista"/>
        <w:spacing w:line="300" w:lineRule="exact"/>
        <w:rPr>
          <w:rFonts w:ascii="Arial" w:hAnsi="Arial" w:cs="Arial"/>
          <w:spacing w:val="-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pPr>
        <w:spacing w:line="300" w:lineRule="exact"/>
        <w:jc w:val="both"/>
        <w:rPr>
          <w:rFonts w:ascii="Arial" w:hAnsi="Arial" w:cs="Arial"/>
          <w:spacing w:val="-2"/>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hAnsi="Arial" w:cs="Arial"/>
          <w:i/>
          <w:sz w:val="22"/>
          <w:szCs w:val="22"/>
        </w:rPr>
        <w:t>pro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(“Despesas do Agente Fiduciário”).</w:t>
      </w:r>
    </w:p>
    <w:p>
      <w:pPr>
        <w:keepNext/>
        <w:keepLines/>
        <w:spacing w:line="300" w:lineRule="exact"/>
        <w:jc w:val="both"/>
        <w:rPr>
          <w:rFonts w:ascii="Arial" w:hAnsi="Arial" w:cs="Arial"/>
          <w:sz w:val="22"/>
          <w:szCs w:val="22"/>
        </w:rPr>
      </w:pPr>
    </w:p>
    <w:p>
      <w:pPr>
        <w:keepNext/>
        <w:keepLines/>
        <w:numPr>
          <w:ilvl w:val="3"/>
          <w:numId w:val="3"/>
        </w:numPr>
        <w:spacing w:line="300" w:lineRule="exact"/>
        <w:ind w:left="0" w:firstLine="0"/>
        <w:jc w:val="both"/>
        <w:rPr>
          <w:rFonts w:ascii="Arial" w:hAnsi="Arial" w:cs="Arial"/>
          <w:sz w:val="22"/>
          <w:szCs w:val="22"/>
        </w:rPr>
      </w:pPr>
      <w:r>
        <w:rPr>
          <w:rFonts w:ascii="Arial" w:hAnsi="Arial" w:cs="Arial"/>
          <w:sz w:val="22"/>
          <w:szCs w:val="22"/>
        </w:rPr>
        <w:t>As Despesas do Agente Fiduciário deverão ser pagas no prazo de 5 (cinco) Dias Úteis após a entrega da fatura correspondente, pelo Agente Fiduciário à Emissora.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Além de outros previstos em lei, em ato normativo da CVM, em especial a Instrução CVM 583, e nesta Escritura de Emissão, constituem deveres e atribuições do Agente Fiduciário:</w:t>
      </w:r>
    </w:p>
    <w:p>
      <w:pPr>
        <w:spacing w:line="300" w:lineRule="exact"/>
        <w:jc w:val="both"/>
        <w:rPr>
          <w:rFonts w:ascii="Arial" w:hAnsi="Arial" w:cs="Arial"/>
          <w:spacing w:val="-2"/>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6" w:name="_DV_M276"/>
      <w:bookmarkEnd w:id="96"/>
      <w:r>
        <w:rPr>
          <w:rFonts w:ascii="Arial" w:hAnsi="Arial" w:cs="Arial"/>
          <w:sz w:val="22"/>
          <w:szCs w:val="22"/>
        </w:rPr>
        <w:t>proteger os direitos e interesses dos Debenturistas, empregando, no exercício da função, o cuidado e a diligência que todo homem ativo e probo costuma empregar na administração dos seus próprios bens;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renunciar à função na hipótese de superveniência de conflitos de interesse ou de qualquer outra modalidade de inaptidão;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verificar, no momento de aceitar a função, a veracidade das informações relativa às Garantias e a consistência das demais informações contidas nesta Escritura de Emissão, diligenciando para que sejam sanadas as omissões, falhas ou defeitos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diligenciar junto à Emissora para que a Escritura de Emissão de e seus aditamentos sejam registrados (i) na </w:t>
      </w:r>
      <w:r>
        <w:rPr>
          <w:rFonts w:ascii="Arial" w:hAnsi="Arial" w:cs="Arial"/>
          <w:bCs/>
          <w:color w:val="000000"/>
          <w:sz w:val="22"/>
          <w:szCs w:val="22"/>
        </w:rPr>
        <w:t>JUCESP</w:t>
      </w:r>
      <w:r>
        <w:rPr>
          <w:rFonts w:ascii="Arial" w:hAnsi="Arial" w:cs="Arial"/>
          <w:sz w:val="22"/>
          <w:szCs w:val="22"/>
        </w:rPr>
        <w:t>; e (ii) nos competentes Cartórios de Registro de Títulos e Documentos, adotando, no caso da omissão da Emissora, as medidas eventualmente previstas em lei;</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das informações obrigatórias, alertando os Debenturistas, no relatório anual de que trata o artigo 15 da Instrução CVM 583, acerca de inconsistências ou omissões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lastRenderedPageBreak/>
        <w:t>convocar, quando necessário, a Assembleia Geral de Debenturistas, mediante anúncio publicado, pelo menos três vezes, nos órgãos de imprensa nos quais a Emissora deve efetuar suas publicações, às expensas desta;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solicitadas;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pPr>
        <w:tabs>
          <w:tab w:val="left" w:pos="567"/>
          <w:tab w:val="left" w:pos="709"/>
        </w:tabs>
        <w:suppressAutoHyphens/>
        <w:spacing w:line="300" w:lineRule="exact"/>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pela Emissora de suas obrigações de prestação de informações periódicas, indicando as inconsistências ou omissões de que tenha conhecimento;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alterações estatutárias ocorridas no período com efeitos relevantes para os Debenturistas;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pela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realizados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quando houver;</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existência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pPr>
        <w:tabs>
          <w:tab w:val="left" w:pos="709"/>
        </w:tabs>
        <w:suppressAutoHyphens/>
        <w:spacing w:line="300" w:lineRule="exact"/>
        <w:ind w:left="1440"/>
        <w:jc w:val="both"/>
        <w:rPr>
          <w:rFonts w:ascii="Arial" w:hAnsi="Arial" w:cs="Arial"/>
          <w:sz w:val="22"/>
          <w:szCs w:val="22"/>
        </w:rPr>
      </w:pP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pPr>
        <w:tabs>
          <w:tab w:val="left" w:pos="709"/>
        </w:tabs>
        <w:suppressAutoHyphens/>
        <w:spacing w:line="300" w:lineRule="exact"/>
        <w:ind w:left="216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declaração sobre sua aptidão para continuar exercendo a função de agente fiduciário da Emissão;</w:t>
      </w:r>
    </w:p>
    <w:p>
      <w:pPr>
        <w:tabs>
          <w:tab w:val="left" w:pos="709"/>
        </w:tabs>
        <w:suppressAutoHyphens/>
        <w:spacing w:line="300" w:lineRule="exact"/>
        <w:ind w:left="1440"/>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7" w:name="_Ref264235710"/>
      <w:r>
        <w:rPr>
          <w:rFonts w:ascii="Arial" w:hAnsi="Arial" w:cs="Arial"/>
          <w:sz w:val="22"/>
          <w:szCs w:val="22"/>
        </w:rPr>
        <w:t>disponibilizar o relatório de que trata a alínea “(l)” acima em sua página na rede mundial de computadores, no prazo máximo de 4 (quatro) meses a contar do encerramento do exercício social da Emissora;</w:t>
      </w:r>
      <w:bookmarkEnd w:id="97"/>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 Debênture;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fiscalizar o cumprimento das cláusulas constantes desta Escritura de Emissão e todas aquelas impositivas de obrigações de fazer e não fazer;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disponibilizar aos Debenturistas e demais participantes do mercado, em sua central de atendimento e/ou website, o cálculo do valor unitário das Debêntures, a ser calculado pela Emissora em conjunto pelo Agente Fiduciário;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integral e pontual pagamento dos valores devidos, conforme estipulado na presente Escritura de Emissão; 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o </w:t>
      </w:r>
      <w:r>
        <w:rPr>
          <w:rFonts w:ascii="Arial" w:eastAsia="Arial Unicode MS" w:hAnsi="Arial" w:cs="Arial"/>
          <w:i/>
          <w:w w:val="0"/>
          <w:sz w:val="22"/>
          <w:szCs w:val="22"/>
        </w:rPr>
        <w:t>Covenant Financeiro</w:t>
      </w:r>
      <w:r>
        <w:rPr>
          <w:rFonts w:ascii="Arial" w:hAnsi="Arial" w:cs="Arial"/>
          <w:sz w:val="22"/>
          <w:szCs w:val="22"/>
        </w:rPr>
        <w:t>, podendo o Agente Fiduciário solicitar à Emissora ou à Fiadora todos os eventuais esclarecimentos adicionais que se façam necessários.</w:t>
      </w:r>
    </w:p>
    <w:p>
      <w:pPr>
        <w:tabs>
          <w:tab w:val="left" w:pos="567"/>
          <w:tab w:val="left" w:pos="709"/>
        </w:tabs>
        <w:suppressAutoHyphens/>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pro rata temporis</w:t>
      </w:r>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caráter permanente deverá ser objeto de aditamento à Escritura de Emissão, que deverá ser registrado nos termos do item 2.3. acima.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termos do item 4.12. acima.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Aplicam-se às hipóteses de substituição do Agente Fiduciário as normas e preceitos a este respeito promulgados por atos da CVM.</w:t>
      </w:r>
    </w:p>
    <w:p>
      <w:pPr>
        <w:spacing w:line="300" w:lineRule="exact"/>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98" w:name="_Ref264238347"/>
      <w:r>
        <w:rPr>
          <w:rFonts w:ascii="Arial" w:hAnsi="Arial" w:cs="Arial"/>
          <w:b/>
          <w:w w:val="0"/>
          <w:sz w:val="22"/>
          <w:szCs w:val="22"/>
        </w:rPr>
        <w:t>DA ASSEMBLEIA GERAL DE DEBENTURISTAS</w:t>
      </w:r>
      <w:bookmarkStart w:id="99" w:name="_DV_C607"/>
      <w:bookmarkEnd w:id="98"/>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99"/>
    </w:p>
    <w:p>
      <w:pPr>
        <w:spacing w:line="300" w:lineRule="exact"/>
        <w:jc w:val="both"/>
        <w:rPr>
          <w:rStyle w:val="DeltaViewInsertion"/>
          <w:rFonts w:ascii="Arial" w:eastAsia="Arial Unicode MS" w:hAnsi="Arial" w:cs="Arial"/>
          <w:b/>
          <w:color w:val="auto"/>
          <w:w w:val="0"/>
          <w:sz w:val="22"/>
          <w:szCs w:val="22"/>
          <w:u w:val="none"/>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100" w:name="_DV_M375"/>
      <w:bookmarkEnd w:id="100"/>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101" w:name="_DV_M376"/>
      <w:bookmarkEnd w:id="101"/>
      <w:r>
        <w:rPr>
          <w:rFonts w:ascii="Arial" w:eastAsia="Arial Unicode MS" w:hAnsi="Arial" w:cs="Arial"/>
          <w:w w:val="0"/>
          <w:sz w:val="22"/>
          <w:szCs w:val="22"/>
        </w:rPr>
        <w:t xml:space="preserve"> pelo Agente Fiduciário</w:t>
      </w:r>
      <w:bookmarkStart w:id="102" w:name="_DV_C615"/>
      <w:r>
        <w:rPr>
          <w:rFonts w:ascii="Arial" w:eastAsia="Arial Unicode MS" w:hAnsi="Arial" w:cs="Arial"/>
          <w:w w:val="0"/>
          <w:sz w:val="22"/>
          <w:szCs w:val="22"/>
        </w:rPr>
        <w:t xml:space="preserve">; </w:t>
      </w:r>
      <w:bookmarkStart w:id="103" w:name="_DV_M377"/>
      <w:bookmarkEnd w:id="102"/>
      <w:bookmarkEnd w:id="103"/>
      <w:r>
        <w:rPr>
          <w:rFonts w:ascii="Arial" w:eastAsia="Arial Unicode MS" w:hAnsi="Arial" w:cs="Arial"/>
          <w:w w:val="0"/>
          <w:sz w:val="22"/>
          <w:szCs w:val="22"/>
        </w:rPr>
        <w:t>(ii) pela Emissora</w:t>
      </w:r>
      <w:bookmarkStart w:id="104" w:name="_DV_M378"/>
      <w:bookmarkEnd w:id="104"/>
      <w:r>
        <w:rPr>
          <w:rFonts w:ascii="Arial" w:eastAsia="Arial Unicode MS" w:hAnsi="Arial" w:cs="Arial"/>
          <w:w w:val="0"/>
          <w:sz w:val="22"/>
          <w:szCs w:val="22"/>
        </w:rPr>
        <w:t xml:space="preserve">; (iii)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105" w:name="_DV_C619"/>
      <w:r>
        <w:rPr>
          <w:rFonts w:ascii="Arial" w:eastAsia="Arial Unicode MS" w:hAnsi="Arial" w:cs="Arial"/>
          <w:w w:val="0"/>
          <w:sz w:val="22"/>
          <w:szCs w:val="22"/>
        </w:rPr>
        <w:t>; ou</w:t>
      </w:r>
      <w:bookmarkStart w:id="106" w:name="_DV_M379"/>
      <w:bookmarkStart w:id="107" w:name="_DV_M380"/>
      <w:bookmarkEnd w:id="105"/>
      <w:bookmarkEnd w:id="106"/>
      <w:bookmarkEnd w:id="107"/>
      <w:r>
        <w:rPr>
          <w:rFonts w:ascii="Arial" w:eastAsia="Arial Unicode MS" w:hAnsi="Arial" w:cs="Arial"/>
          <w:w w:val="0"/>
          <w:sz w:val="22"/>
          <w:szCs w:val="22"/>
        </w:rPr>
        <w:t xml:space="preserve"> (iv) pela CVM.</w:t>
      </w:r>
      <w:bookmarkStart w:id="108" w:name="_DV_M382"/>
      <w:bookmarkEnd w:id="108"/>
    </w:p>
    <w:p>
      <w:pPr>
        <w:pStyle w:val="PargrafodaLista"/>
        <w:spacing w:line="300" w:lineRule="exact"/>
        <w:rPr>
          <w:rFonts w:ascii="Arial" w:eastAsia="Arial Unicode MS" w:hAnsi="Arial" w:cs="Arial"/>
          <w:b/>
          <w:w w:val="0"/>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corridos,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corridos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 salvo quando expressamente convocado, hipótese em que será obrigatória.</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109" w:name="_DV_M384"/>
      <w:bookmarkEnd w:id="109"/>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 salvo nas hipóteses do item 8.11 abaixo.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seguintes deliberações dependerão de aprovação de Debenturistas que representem, no mínimo, 90% (noventa por cento) das Debêntures em Circulação: (i) liberação ou substituição de quaisquer garantias previstas nesta Escritura de Emissão; (ii) a exclusão de hipótese de vencimento antecipado ou alteração nas cláusulas ou condições de vencimento antecipado das Debêntures; (iii) alteração de quórum previsto nesta Escritura de Emissão; (iv) alteração dos Juros Remuneratórios; (v) alteração de quaisquer datas de pagamento de quaisquer valores previstos nesta Escritura de Emissão devidos aos Debenturistas; (vi) alteração do prazo de vigência das Debêntures; (vii) criação de evento de repactuação; (viii) alteração das disposições relativas a aquisição antecipada facultativa; (ix) alteração das disposições relativas à Amortização Extraordinária e Resgate Antecipado Facultativo; (x) das Garantias; e (xi) das disposições desta Cláusula; </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r>
        <w:rPr>
          <w:rFonts w:ascii="Arial" w:eastAsia="Arial Unicode MS" w:hAnsi="Arial" w:cs="Arial"/>
          <w:i/>
          <w:w w:val="0"/>
          <w:sz w:val="22"/>
          <w:szCs w:val="22"/>
        </w:rPr>
        <w:t xml:space="preserve">quoruns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pPr>
        <w:spacing w:line="300" w:lineRule="exact"/>
        <w:jc w:val="both"/>
        <w:rPr>
          <w:rFonts w:ascii="Arial" w:eastAsia="Arial Unicode MS" w:hAnsi="Arial" w:cs="Arial"/>
          <w:b/>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110" w:name="_DV_M394"/>
      <w:bookmarkEnd w:id="110"/>
      <w:r>
        <w:rPr>
          <w:rFonts w:ascii="Arial" w:hAnsi="Arial" w:cs="Arial"/>
          <w:b/>
          <w:w w:val="0"/>
          <w:sz w:val="22"/>
          <w:szCs w:val="22"/>
        </w:rPr>
        <w:t xml:space="preserve"> E DO FIADOR</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pPr>
        <w:pStyle w:val="p0"/>
        <w:tabs>
          <w:tab w:val="clear" w:pos="720"/>
          <w:tab w:val="left" w:pos="90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é sociedade por ações devidamente constituída, com existência válida e em situação regular segundo as leis do Brasil</w:t>
      </w:r>
      <w:bookmarkStart w:id="111" w:name="_DV_C328"/>
      <w:r>
        <w:rPr>
          <w:rFonts w:ascii="Arial" w:eastAsia="Arial Unicode MS" w:hAnsi="Arial" w:cs="Arial"/>
          <w:szCs w:val="22"/>
        </w:rPr>
        <w:t>, bem como está devidamente autorizada a desempenhar as atividades descritas em seu objeto socia</w:t>
      </w:r>
      <w:bookmarkEnd w:id="111"/>
      <w:r>
        <w:rPr>
          <w:rFonts w:ascii="Arial" w:eastAsia="Arial Unicode MS" w:hAnsi="Arial" w:cs="Arial"/>
          <w:szCs w:val="22"/>
        </w:rPr>
        <w:t>l;</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pPr>
        <w:pStyle w:val="p0"/>
        <w:widowControl/>
        <w:tabs>
          <w:tab w:val="clear" w:pos="720"/>
        </w:tabs>
        <w:spacing w:line="300" w:lineRule="exact"/>
        <w:rPr>
          <w:rFonts w:ascii="Arial" w:eastAsia="Arial Unicode MS" w:hAnsi="Arial" w:cs="Arial"/>
          <w:szCs w:val="22"/>
        </w:rPr>
      </w:pPr>
      <w:bookmarkStart w:id="112" w:name="_DV_M398"/>
      <w:bookmarkStart w:id="113" w:name="_DV_M400"/>
      <w:bookmarkStart w:id="114" w:name="_DV_M401"/>
      <w:bookmarkEnd w:id="112"/>
      <w:bookmarkEnd w:id="113"/>
      <w:bookmarkEnd w:id="114"/>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lastRenderedPageBreak/>
        <w:t>as pessoas que a representam na assinatura desta Escritura de Emissão e no Instrumento de Garantia têm poderes bastantes para tanto;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pPr>
        <w:pStyle w:val="p0"/>
        <w:widowControl/>
        <w:tabs>
          <w:tab w:val="clear" w:pos="720"/>
        </w:tabs>
        <w:spacing w:line="300" w:lineRule="exact"/>
        <w:ind w:left="720"/>
        <w:rPr>
          <w:rFonts w:ascii="Arial" w:eastAsia="Arial Unicode MS" w:hAnsi="Arial" w:cs="Arial"/>
          <w:szCs w:val="22"/>
        </w:rPr>
      </w:pPr>
      <w:bookmarkStart w:id="115" w:name="_DV_M402"/>
      <w:bookmarkStart w:id="116" w:name="_DV_M403"/>
      <w:bookmarkStart w:id="117" w:name="_DV_M404"/>
      <w:bookmarkStart w:id="118" w:name="_DV_M405"/>
      <w:bookmarkEnd w:id="115"/>
      <w:bookmarkEnd w:id="116"/>
      <w:bookmarkEnd w:id="117"/>
      <w:bookmarkEnd w:id="118"/>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nenhum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JUCESP e do registro das Debêntures na B3;</w:t>
      </w:r>
    </w:p>
    <w:p>
      <w:pPr>
        <w:pStyle w:val="p0"/>
        <w:widowControl/>
        <w:tabs>
          <w:tab w:val="clear" w:pos="720"/>
        </w:tabs>
        <w:spacing w:line="300" w:lineRule="exact"/>
        <w:ind w:left="720"/>
        <w:rPr>
          <w:rFonts w:ascii="Arial" w:eastAsia="Arial Unicode MS" w:hAnsi="Arial" w:cs="Arial"/>
          <w:szCs w:val="22"/>
        </w:rPr>
      </w:pPr>
      <w:bookmarkStart w:id="119" w:name="_DV_M409"/>
      <w:bookmarkEnd w:id="119"/>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 xml:space="preserve">exceto por </w:t>
      </w:r>
      <w:r>
        <w:rPr>
          <w:rFonts w:ascii="Arial" w:hAnsi="Arial" w:cs="Arial"/>
          <w:szCs w:val="22"/>
        </w:rPr>
        <w:lastRenderedPageBreak/>
        <w:t>aqueles questionados de boa fé nas esferas administrativa e/ou judicial, e desde que tal questionamento tenha efeito suspensivo, se aplicável</w:t>
      </w:r>
      <w:r>
        <w:rPr>
          <w:rFonts w:ascii="Arial" w:eastAsia="Arial Unicode MS" w:hAnsi="Arial" w:cs="Arial"/>
          <w:szCs w:val="22"/>
        </w:rPr>
        <w:t xml:space="preserve">; </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espécie dentro do prazo de 4 (quatro) meses contados da data do encerramento da oferta das Debêntures, a menos que a nova oferta seja submetida a registro na CVM.</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 xml:space="preserve">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w:t>
      </w:r>
      <w:r>
        <w:rPr>
          <w:rFonts w:ascii="Arial" w:hAnsi="Arial" w:cs="Arial"/>
          <w:szCs w:val="22"/>
        </w:rPr>
        <w:lastRenderedPageBreak/>
        <w:t>comprometam a observar o aqui disposto, devendo, ainda, dar conhecimento pleno de tais normas a todos os seus profissionais que venham a se relacionar com a Emissora, previamente ao início de sua atuação no âmbito desta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pPr>
        <w:pStyle w:val="p0"/>
        <w:widowControl/>
        <w:tabs>
          <w:tab w:val="clear" w:pos="720"/>
        </w:tabs>
        <w:spacing w:line="300" w:lineRule="exact"/>
        <w:ind w:left="720"/>
        <w:rPr>
          <w:rFonts w:ascii="Arial" w:eastAsia="Arial Unicode MS" w:hAnsi="Arial" w:cs="Arial"/>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pPr>
        <w:spacing w:line="300" w:lineRule="exact"/>
        <w:ind w:left="709" w:hanging="709"/>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Fidejussória constituem obrigação legal, válida e vinculativa do Fiador, exequível de acordo com os seus termos e condições, nos termos do artigo 784 do Código de Processo Civil;</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 outro tipo de investigação governamental, contra o Fiador, que seja de conhecimento do mesmo;</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pPr>
        <w:spacing w:line="300" w:lineRule="exact"/>
        <w:jc w:val="both"/>
        <w:rPr>
          <w:rFonts w:ascii="Arial" w:eastAsia="Arial Unicode MS" w:hAnsi="Arial" w:cs="Arial"/>
          <w:b/>
          <w:smallCaps/>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está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pPr>
        <w:spacing w:line="300" w:lineRule="exac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w:t>
      </w:r>
      <w:r>
        <w:rPr>
          <w:rFonts w:ascii="Arial" w:hAnsi="Arial" w:cs="Arial"/>
        </w:rPr>
        <w:lastRenderedPageBreak/>
        <w:t xml:space="preserve">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pPr>
        <w:widowControl w:val="0"/>
        <w:spacing w:line="300" w:lineRule="exac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spacing w:line="300" w:lineRule="exact"/>
        <w:jc w:val="righ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w:t>
      </w:r>
    </w:p>
    <w:p>
      <w:pPr>
        <w:pStyle w:val="PargrafodaLista"/>
        <w:spacing w:line="300" w:lineRule="exact"/>
        <w:rPr>
          <w:rFonts w:ascii="Arial" w:hAnsi="Arial" w:cs="Arial"/>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pPr>
        <w:spacing w:line="300" w:lineRule="exact"/>
        <w:jc w:val="both"/>
        <w:rPr>
          <w:rFonts w:ascii="Arial" w:eastAsia="Calibri" w:hAnsi="Arial" w:cs="Arial"/>
          <w:sz w:val="22"/>
          <w:szCs w:val="22"/>
        </w:rPr>
      </w:pPr>
    </w:p>
    <w:p>
      <w:pPr>
        <w:pStyle w:val="PargrafodaLista"/>
        <w:numPr>
          <w:ilvl w:val="0"/>
          <w:numId w:val="15"/>
        </w:numPr>
        <w:spacing w:line="300" w:lineRule="exact"/>
        <w:ind w:hanging="720"/>
        <w:jc w:val="both"/>
        <w:rPr>
          <w:rFonts w:ascii="Arial" w:eastAsia="Arial Unicode MS" w:hAnsi="Arial" w:cs="Arial"/>
        </w:rPr>
      </w:pPr>
      <w:r>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pPr>
        <w:pStyle w:val="PargrafodaLista"/>
        <w:spacing w:line="300" w:lineRule="exact"/>
        <w:rPr>
          <w:rFonts w:ascii="Arial" w:eastAsia="Arial Unicode MS" w:hAnsi="Arial" w:cs="Arial"/>
        </w:rPr>
      </w:pPr>
    </w:p>
    <w:p>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pPr>
        <w:pStyle w:val="PargrafodaLista"/>
        <w:spacing w:line="300" w:lineRule="exact"/>
        <w:rPr>
          <w:rFonts w:ascii="Arial" w:eastAsia="Arial Unicode MS" w:hAnsi="Arial" w:cs="Arial"/>
        </w:rPr>
      </w:pPr>
    </w:p>
    <w:p>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120" w:name="_DV_M165"/>
      <w:bookmarkEnd w:id="120"/>
    </w:p>
    <w:p>
      <w:pPr>
        <w:spacing w:line="300" w:lineRule="exact"/>
        <w:jc w:val="both"/>
        <w:rPr>
          <w:rFonts w:ascii="Arial" w:hAnsi="Arial" w:cs="Arial"/>
          <w:b/>
          <w:w w:val="0"/>
          <w:sz w:val="22"/>
          <w:szCs w:val="22"/>
        </w:rPr>
      </w:pPr>
    </w:p>
    <w:p>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pPr>
        <w:pStyle w:val="p0"/>
        <w:spacing w:line="300" w:lineRule="exact"/>
        <w:rPr>
          <w:rFonts w:ascii="Arial" w:eastAsia="Arial Unicode MS" w:hAnsi="Arial" w:cs="Arial"/>
          <w:snapToGrid/>
          <w:szCs w:val="22"/>
        </w:rPr>
      </w:pPr>
      <w:bookmarkStart w:id="121" w:name="_DV_M166"/>
      <w:bookmarkEnd w:id="121"/>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122" w:name="_DV_M167"/>
      <w:bookmarkEnd w:id="122"/>
    </w:p>
    <w:p>
      <w:pPr>
        <w:spacing w:line="300" w:lineRule="exact"/>
        <w:rPr>
          <w:rFonts w:ascii="Arial" w:hAnsi="Arial" w:cs="Arial"/>
          <w:b/>
          <w:snapToGrid w:val="0"/>
          <w:sz w:val="22"/>
          <w:szCs w:val="22"/>
        </w:rPr>
      </w:pPr>
      <w:bookmarkStart w:id="123" w:name="_DV_M168"/>
      <w:bookmarkStart w:id="124" w:name="_DV_M170"/>
      <w:bookmarkStart w:id="125" w:name="_DV_M171"/>
      <w:bookmarkStart w:id="126" w:name="_DV_M172"/>
      <w:bookmarkStart w:id="127" w:name="_DV_M173"/>
      <w:bookmarkEnd w:id="123"/>
      <w:bookmarkEnd w:id="124"/>
      <w:bookmarkEnd w:id="125"/>
      <w:bookmarkEnd w:id="126"/>
      <w:bookmarkEnd w:id="127"/>
      <w:r>
        <w:rPr>
          <w:rFonts w:ascii="Arial" w:hAnsi="Arial" w:cs="Arial"/>
          <w:b/>
          <w:sz w:val="22"/>
          <w:szCs w:val="22"/>
        </w:rPr>
        <w:t>VIDROPORTO S.A.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Rodovia Anhangüera, Km 226,8, S/N, Caixa Postal 61</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CEP 13.660-970</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pPr>
        <w:pStyle w:val="p0"/>
        <w:spacing w:line="300" w:lineRule="exact"/>
        <w:rPr>
          <w:rFonts w:ascii="Arial" w:eastAsia="Arial Unicode MS" w:hAnsi="Arial" w:cs="Arial"/>
          <w:b/>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pPr>
        <w:pStyle w:val="p0"/>
        <w:spacing w:line="300" w:lineRule="exact"/>
        <w:ind w:left="720"/>
        <w:rPr>
          <w:rFonts w:ascii="Arial" w:eastAsia="Arial Unicode MS" w:hAnsi="Arial" w:cs="Arial"/>
          <w:szCs w:val="22"/>
        </w:rPr>
      </w:pPr>
    </w:p>
    <w:p>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pPr>
        <w:spacing w:line="300" w:lineRule="exact"/>
        <w:jc w:val="both"/>
        <w:rPr>
          <w:rFonts w:ascii="Arial" w:hAnsi="Arial" w:cs="Arial"/>
          <w:bCs/>
          <w:sz w:val="22"/>
          <w:szCs w:val="22"/>
        </w:rPr>
      </w:pPr>
      <w:r>
        <w:rPr>
          <w:rFonts w:ascii="Arial" w:hAnsi="Arial" w:cs="Arial"/>
          <w:bCs/>
          <w:sz w:val="22"/>
          <w:szCs w:val="22"/>
        </w:rPr>
        <w:t>São Paulo, SP</w:t>
      </w:r>
    </w:p>
    <w:p>
      <w:pPr>
        <w:spacing w:line="300" w:lineRule="exact"/>
        <w:jc w:val="both"/>
        <w:rPr>
          <w:rFonts w:ascii="Arial" w:hAnsi="Arial" w:cs="Arial"/>
          <w:b/>
          <w:smallCaps/>
          <w:sz w:val="22"/>
          <w:szCs w:val="22"/>
        </w:rPr>
      </w:pPr>
      <w:r>
        <w:rPr>
          <w:rFonts w:ascii="Arial" w:hAnsi="Arial" w:cs="Arial"/>
          <w:bCs/>
          <w:sz w:val="22"/>
          <w:szCs w:val="22"/>
        </w:rPr>
        <w:t>CEP 04004-030</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pPr>
        <w:pStyle w:val="p0"/>
        <w:spacing w:line="300" w:lineRule="exact"/>
        <w:rPr>
          <w:rFonts w:ascii="Arial" w:eastAsia="Arial Unicode MS" w:hAnsi="Arial" w:cs="Arial"/>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128" w:name="_DV_M174"/>
      <w:bookmarkEnd w:id="128"/>
    </w:p>
    <w:p>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pPr>
        <w:pStyle w:val="p0"/>
        <w:suppressAutoHyphens/>
        <w:spacing w:line="300" w:lineRule="exact"/>
        <w:rPr>
          <w:rFonts w:ascii="Arial" w:hAnsi="Arial" w:cs="Arial"/>
          <w:szCs w:val="22"/>
        </w:rPr>
      </w:pPr>
      <w:r>
        <w:rPr>
          <w:rFonts w:ascii="Arial" w:hAnsi="Arial" w:cs="Arial"/>
          <w:szCs w:val="22"/>
        </w:rPr>
        <w:t>CEP 04534-002 – São Paulo, SP</w:t>
      </w:r>
    </w:p>
    <w:p>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5"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pPr>
        <w:spacing w:line="300" w:lineRule="exact"/>
        <w:jc w:val="both"/>
        <w:rPr>
          <w:rFonts w:ascii="Arial" w:hAnsi="Arial" w:cs="Arial"/>
          <w:b/>
          <w:sz w:val="22"/>
          <w:szCs w:val="22"/>
        </w:rPr>
      </w:pPr>
      <w:r>
        <w:rPr>
          <w:rFonts w:ascii="Arial" w:hAnsi="Arial" w:cs="Arial"/>
          <w:b/>
          <w:sz w:val="22"/>
          <w:szCs w:val="22"/>
        </w:rPr>
        <w:t>Itaú Unibanco S.A.</w:t>
      </w:r>
    </w:p>
    <w:p>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pPr>
        <w:pStyle w:val="p0"/>
        <w:suppressAutoHyphens/>
        <w:spacing w:line="300" w:lineRule="exact"/>
        <w:rPr>
          <w:rFonts w:ascii="Arial" w:hAnsi="Arial" w:cs="Arial"/>
          <w:szCs w:val="22"/>
          <w:lang w:val="en-US"/>
        </w:rPr>
      </w:pPr>
      <w:r>
        <w:rPr>
          <w:rFonts w:ascii="Arial" w:hAnsi="Arial" w:cs="Arial"/>
          <w:szCs w:val="22"/>
          <w:lang w:val="en-US"/>
        </w:rPr>
        <w:t>Tel: (11) 2740-2568</w:t>
      </w:r>
    </w:p>
    <w:p>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16"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pPr>
        <w:pStyle w:val="p0"/>
        <w:suppressAutoHyphens/>
        <w:spacing w:line="300" w:lineRule="exact"/>
        <w:rPr>
          <w:rFonts w:ascii="Arial" w:hAnsi="Arial" w:cs="Arial"/>
          <w:szCs w:val="22"/>
          <w:lang w:val="en-US"/>
        </w:rPr>
      </w:pPr>
    </w:p>
    <w:p>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t>At.: André Sales</w:t>
      </w:r>
      <w:r>
        <w:rPr>
          <w:rFonts w:ascii="Arial" w:hAnsi="Arial" w:cs="Arial"/>
          <w:szCs w:val="22"/>
        </w:rPr>
        <w:tab/>
      </w:r>
    </w:p>
    <w:p>
      <w:pPr>
        <w:pStyle w:val="p0"/>
        <w:suppressAutoHyphens/>
        <w:spacing w:line="300" w:lineRule="exact"/>
        <w:rPr>
          <w:rFonts w:ascii="Arial" w:hAnsi="Arial" w:cs="Arial"/>
          <w:szCs w:val="22"/>
        </w:rPr>
      </w:pPr>
      <w:r>
        <w:rPr>
          <w:rFonts w:ascii="Arial" w:hAnsi="Arial" w:cs="Arial"/>
          <w:szCs w:val="22"/>
        </w:rPr>
        <w:t>Tel: (11) 2740-2568</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spacing w:line="300" w:lineRule="exact"/>
        <w:jc w:val="both"/>
        <w:rPr>
          <w:rFonts w:ascii="Arial" w:hAnsi="Arial" w:cs="Arial"/>
          <w:b/>
          <w:sz w:val="22"/>
          <w:szCs w:val="22"/>
        </w:rPr>
      </w:pPr>
      <w:r>
        <w:rPr>
          <w:rFonts w:ascii="Arial" w:hAnsi="Arial" w:cs="Arial"/>
          <w:b/>
          <w:sz w:val="22"/>
          <w:szCs w:val="22"/>
        </w:rPr>
        <w:t xml:space="preserve">B3 S.A. – Brasil, Bolsa, Balcão </w:t>
      </w:r>
    </w:p>
    <w:p>
      <w:pPr>
        <w:spacing w:line="300" w:lineRule="exact"/>
        <w:jc w:val="both"/>
        <w:rPr>
          <w:rFonts w:ascii="Arial" w:hAnsi="Arial" w:cs="Arial"/>
          <w:b/>
          <w:sz w:val="22"/>
          <w:szCs w:val="22"/>
        </w:rPr>
      </w:pPr>
      <w:r>
        <w:rPr>
          <w:rFonts w:ascii="Arial" w:hAnsi="Arial" w:cs="Arial"/>
          <w:sz w:val="22"/>
          <w:szCs w:val="22"/>
        </w:rPr>
        <w:t xml:space="preserve">Segmento CETIP UTVM </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 Fixa</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r>
        <w:rPr>
          <w:rStyle w:val="Hyperlink"/>
          <w:rFonts w:ascii="Arial" w:hAnsi="Arial" w:cs="Arial"/>
          <w:bCs/>
          <w:sz w:val="22"/>
          <w:szCs w:val="22"/>
        </w:rPr>
        <w:t>valores.mobiliarios@b3.com.br</w:t>
      </w:r>
      <w:r>
        <w:rPr>
          <w:rFonts w:ascii="Arial" w:hAnsi="Arial" w:cs="Arial"/>
          <w:bCs/>
          <w:sz w:val="22"/>
          <w:szCs w:val="22"/>
        </w:rPr>
        <w:t xml:space="preserve"> </w:t>
      </w:r>
    </w:p>
    <w:p>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129" w:name="_DV_M182"/>
      <w:bookmarkEnd w:id="129"/>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130" w:name="_DV_M183"/>
      <w:bookmarkEnd w:id="130"/>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pPr>
        <w:tabs>
          <w:tab w:val="left" w:pos="0"/>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 xml:space="preserve">em razão de qualquer inadimplemento da Emissora prejudicará o exercício de tal direito ou faculdade, ou será interpretado como </w:t>
      </w:r>
      <w:r>
        <w:rPr>
          <w:rFonts w:ascii="Arial" w:eastAsia="Arial Unicode MS" w:hAnsi="Arial" w:cs="Arial"/>
          <w:w w:val="0"/>
          <w:sz w:val="22"/>
          <w:szCs w:val="22"/>
        </w:rPr>
        <w:lastRenderedPageBreak/>
        <w:t>renúncia ao mesmo, nem constituirá novação ou precedente no tocante a qualquer outro inadimplemento ou atraso.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131" w:name="_DV_M413"/>
      <w:bookmarkEnd w:id="131"/>
    </w:p>
    <w:p>
      <w:pPr>
        <w:tabs>
          <w:tab w:val="left" w:pos="24"/>
          <w:tab w:val="left" w:pos="360"/>
        </w:tabs>
        <w:spacing w:line="300" w:lineRule="exact"/>
        <w:jc w:val="both"/>
        <w:rPr>
          <w:rFonts w:ascii="Arial" w:hAnsi="Arial" w:cs="Arial"/>
          <w:sz w:val="22"/>
          <w:szCs w:val="22"/>
        </w:rPr>
      </w:pPr>
    </w:p>
    <w:p>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pPr>
        <w:pStyle w:val="p0"/>
        <w:spacing w:line="300" w:lineRule="exact"/>
        <w:rPr>
          <w:rFonts w:ascii="Arial" w:eastAsia="Arial Unicode MS" w:hAnsi="Arial" w:cs="Arial"/>
          <w:szCs w:val="22"/>
        </w:rPr>
      </w:pPr>
      <w:bookmarkStart w:id="132" w:name="_DV_M416"/>
      <w:bookmarkEnd w:id="132"/>
    </w:p>
    <w:p>
      <w:pPr>
        <w:pStyle w:val="p0"/>
        <w:spacing w:line="300" w:lineRule="exact"/>
        <w:jc w:val="center"/>
        <w:rPr>
          <w:rFonts w:ascii="Arial" w:eastAsia="Arial Unicode MS" w:hAnsi="Arial" w:cs="Arial"/>
          <w:szCs w:val="22"/>
        </w:rPr>
      </w:pPr>
      <w:r>
        <w:rPr>
          <w:rFonts w:ascii="Arial" w:eastAsia="Arial Unicode MS" w:hAnsi="Arial" w:cs="Arial"/>
          <w:szCs w:val="22"/>
        </w:rPr>
        <w:t>Porto Ferreira, SP, [</w:t>
      </w:r>
      <w:r>
        <w:rPr>
          <w:rFonts w:ascii="Symbol" w:eastAsia="Arial Unicode MS" w:hAnsi="Symbol" w:cs="Arial"/>
          <w:szCs w:val="22"/>
        </w:rPr>
        <w:sym w:font="Symbol" w:char="F0B7"/>
      </w:r>
      <w:r>
        <w:rPr>
          <w:rFonts w:ascii="Arial" w:eastAsia="Arial Unicode MS" w:hAnsi="Arial" w:cs="Arial"/>
          <w:szCs w:val="22"/>
        </w:rPr>
        <w:t>] de janeiro de 2020.</w:t>
      </w:r>
    </w:p>
    <w:p>
      <w:pPr>
        <w:pStyle w:val="p0"/>
        <w:spacing w:line="300" w:lineRule="exact"/>
        <w:rPr>
          <w:rFonts w:ascii="Arial" w:eastAsia="Arial Unicode MS" w:hAnsi="Arial" w:cs="Arial"/>
          <w:szCs w:val="22"/>
        </w:rPr>
      </w:pPr>
    </w:p>
    <w:p>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pPr>
        <w:spacing w:line="300" w:lineRule="exact"/>
        <w:jc w:val="both"/>
        <w:rPr>
          <w:rFonts w:ascii="Arial" w:eastAsia="Arial Unicode MS" w:hAnsi="Arial" w:cs="Arial"/>
          <w:i/>
          <w:w w:val="0"/>
          <w:sz w:val="22"/>
          <w:szCs w:val="22"/>
        </w:rPr>
        <w:sectPr>
          <w:footerReference w:type="even" r:id="rId17"/>
          <w:footerReference w:type="default" r:id="rId18"/>
          <w:headerReference w:type="first" r:id="rId19"/>
          <w:footerReference w:type="first" r:id="rId20"/>
          <w:pgSz w:w="12242" w:h="15842" w:code="1"/>
          <w:pgMar w:top="1417" w:right="1610" w:bottom="1417" w:left="1701" w:header="720" w:footer="720" w:gutter="0"/>
          <w:cols w:space="708"/>
          <w:titlePg/>
          <w:docGrid w:linePitch="360"/>
        </w:sectPr>
      </w:pPr>
      <w:bookmarkStart w:id="133" w:name="_DV_X0"/>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lastRenderedPageBreak/>
        <w:t>(Página de Assinaturas 1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bookmarkEnd w:id="133"/>
    <w:p>
      <w:pPr>
        <w:suppressAutoHyphens/>
        <w:spacing w:line="300" w:lineRule="exact"/>
        <w:jc w:val="center"/>
        <w:rPr>
          <w:rFonts w:ascii="Arial" w:hAnsi="Arial" w:cs="Arial"/>
          <w:b/>
          <w:caps/>
          <w:sz w:val="22"/>
          <w:szCs w:val="22"/>
        </w:rPr>
      </w:pPr>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(Página de Assinaturas 4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both"/>
        <w:rPr>
          <w:rFonts w:ascii="Arial" w:hAnsi="Arial" w:cs="Arial"/>
          <w:sz w:val="22"/>
          <w:szCs w:val="22"/>
        </w:rPr>
      </w:pPr>
    </w:p>
    <w:p>
      <w:pPr>
        <w:spacing w:line="300" w:lineRule="exact"/>
        <w:rPr>
          <w:rFonts w:ascii="Arial" w:hAnsi="Arial" w:cs="Arial"/>
          <w:sz w:val="22"/>
          <w:szCs w:val="22"/>
        </w:rPr>
        <w:sectPr>
          <w:pgSz w:w="12242" w:h="15842" w:code="1"/>
          <w:pgMar w:top="1417" w:right="1701" w:bottom="1417" w:left="1701" w:header="720" w:footer="720" w:gutter="0"/>
          <w:cols w:space="708"/>
          <w:titlePg/>
          <w:docGrid w:linePitch="360"/>
        </w:sectPr>
      </w:pPr>
    </w:p>
    <w:p>
      <w:pPr>
        <w:spacing w:line="300" w:lineRule="exact"/>
        <w:jc w:val="center"/>
        <w:rPr>
          <w:rFonts w:ascii="Arial" w:hAnsi="Arial" w:cs="Arial"/>
          <w:b/>
          <w:sz w:val="22"/>
          <w:szCs w:val="22"/>
          <w:u w:val="single"/>
        </w:rPr>
      </w:pPr>
      <w:r>
        <w:rPr>
          <w:rFonts w:ascii="Arial" w:hAnsi="Arial" w:cs="Arial"/>
          <w:b/>
          <w:sz w:val="22"/>
          <w:szCs w:val="22"/>
          <w:u w:val="single"/>
        </w:rPr>
        <w:lastRenderedPageBreak/>
        <w:t>ANEXO I</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pPr>
        <w:spacing w:line="300" w:lineRule="exact"/>
        <w:jc w:val="center"/>
        <w:rPr>
          <w:rFonts w:ascii="Arial" w:hAnsi="Arial" w:cs="Arial"/>
          <w:b/>
          <w:sz w:val="22"/>
          <w:szCs w:val="22"/>
        </w:rPr>
      </w:pPr>
    </w:p>
    <w:p>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Entre</w:t>
      </w:r>
    </w:p>
    <w:p>
      <w:pPr>
        <w:spacing w:line="300" w:lineRule="exact"/>
        <w:jc w:val="center"/>
        <w:rPr>
          <w:rFonts w:ascii="Arial" w:hAnsi="Arial" w:cs="Arial"/>
          <w:b/>
          <w:sz w:val="22"/>
          <w:szCs w:val="22"/>
        </w:rPr>
      </w:pPr>
    </w:p>
    <w:p>
      <w:pPr>
        <w:spacing w:line="300" w:lineRule="exact"/>
        <w:jc w:val="center"/>
        <w:rPr>
          <w:rFonts w:ascii="Arial" w:hAnsi="Arial" w:cs="Arial"/>
          <w:b/>
          <w:smallCaps/>
          <w:sz w:val="22"/>
          <w:szCs w:val="22"/>
        </w:rPr>
      </w:pPr>
      <w:r>
        <w:rPr>
          <w:rFonts w:ascii="Arial" w:hAnsi="Arial" w:cs="Arial"/>
          <w:b/>
          <w:caps/>
          <w:sz w:val="22"/>
          <w:szCs w:val="22"/>
        </w:rPr>
        <w:t>Vidroporto S.A.</w:t>
      </w:r>
    </w:p>
    <w:p>
      <w:pPr>
        <w:spacing w:line="300" w:lineRule="exact"/>
        <w:jc w:val="center"/>
        <w:rPr>
          <w:rFonts w:ascii="Arial" w:hAnsi="Arial" w:cs="Arial"/>
          <w:bCs/>
          <w:i/>
          <w:sz w:val="22"/>
          <w:szCs w:val="22"/>
        </w:rPr>
      </w:pPr>
      <w:r>
        <w:rPr>
          <w:rFonts w:ascii="Arial" w:hAnsi="Arial" w:cs="Arial"/>
          <w:bCs/>
          <w:i/>
          <w:sz w:val="22"/>
          <w:szCs w:val="22"/>
        </w:rPr>
        <w:t>como Emissora,</w:t>
      </w:r>
    </w:p>
    <w:p>
      <w:pPr>
        <w:spacing w:line="300" w:lineRule="exact"/>
        <w:jc w:val="center"/>
        <w:rPr>
          <w:rFonts w:ascii="Arial" w:hAnsi="Arial" w:cs="Arial"/>
          <w:b/>
          <w:bCs/>
          <w:sz w:val="22"/>
          <w:szCs w:val="22"/>
        </w:rPr>
      </w:pPr>
    </w:p>
    <w:p>
      <w:pPr>
        <w:tabs>
          <w:tab w:val="left" w:pos="6930"/>
        </w:tabs>
        <w:spacing w:line="300" w:lineRule="exact"/>
        <w:jc w:val="center"/>
        <w:rPr>
          <w:rFonts w:ascii="Arial" w:hAnsi="Arial" w:cs="Arial"/>
          <w:b/>
          <w:bCs/>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pacing w:line="300" w:lineRule="exact"/>
        <w:jc w:val="center"/>
        <w:rPr>
          <w:rFonts w:ascii="Arial" w:hAnsi="Arial" w:cs="Arial"/>
          <w:i/>
          <w:sz w:val="22"/>
          <w:szCs w:val="22"/>
        </w:rPr>
      </w:pPr>
      <w:r>
        <w:rPr>
          <w:rFonts w:ascii="Arial" w:hAnsi="Arial" w:cs="Arial"/>
          <w:i/>
          <w:sz w:val="22"/>
          <w:szCs w:val="22"/>
        </w:rPr>
        <w:t>como Agente Fiduciário</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w:t>
      </w:r>
    </w:p>
    <w:p>
      <w:pPr>
        <w:spacing w:line="300" w:lineRule="exact"/>
        <w:jc w:val="center"/>
        <w:rPr>
          <w:rFonts w:ascii="Arial" w:hAnsi="Arial" w:cs="Arial"/>
          <w:b/>
          <w:sz w:val="22"/>
          <w:szCs w:val="22"/>
        </w:rPr>
      </w:pPr>
    </w:p>
    <w:p>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center"/>
        <w:rPr>
          <w:rFonts w:ascii="Arial" w:hAnsi="Arial" w:cs="Arial"/>
          <w:bCs/>
          <w:i/>
          <w:sz w:val="22"/>
          <w:szCs w:val="22"/>
        </w:rPr>
      </w:pPr>
      <w:r>
        <w:rPr>
          <w:rFonts w:ascii="Arial" w:hAnsi="Arial" w:cs="Arial"/>
          <w:bCs/>
          <w:i/>
          <w:sz w:val="22"/>
          <w:szCs w:val="22"/>
        </w:rPr>
        <w:t>Como Fiador,</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201[</w:t>
      </w:r>
      <w:r>
        <w:rPr>
          <w:rFonts w:ascii="Symbol" w:hAnsi="Symbol" w:cs="Arial"/>
          <w:sz w:val="22"/>
          <w:szCs w:val="22"/>
        </w:rPr>
        <w:sym w:font="Symbol" w:char="F0B7"/>
      </w:r>
      <w:r>
        <w:rPr>
          <w:rFonts w:ascii="Arial" w:hAnsi="Arial" w:cs="Arial"/>
          <w:sz w:val="22"/>
          <w:szCs w:val="22"/>
        </w:rPr>
        <w:t>]</w:t>
      </w:r>
    </w:p>
    <w:p>
      <w:pPr>
        <w:spacing w:line="300" w:lineRule="exact"/>
        <w:jc w:val="center"/>
        <w:rPr>
          <w:rFonts w:ascii="Arial" w:hAnsi="Arial" w:cs="Arial"/>
          <w:b/>
          <w:sz w:val="22"/>
          <w:szCs w:val="22"/>
        </w:rPr>
      </w:pPr>
    </w:p>
    <w:p>
      <w:pPr>
        <w:pStyle w:val="BodyTextContinued"/>
        <w:pBdr>
          <w:bottom w:val="double" w:sz="6" w:space="4" w:color="auto"/>
        </w:pBdr>
        <w:spacing w:after="0" w:line="300" w:lineRule="exact"/>
        <w:jc w:val="center"/>
        <w:rPr>
          <w:rFonts w:ascii="Arial" w:hAnsi="Arial" w:cs="Arial"/>
          <w:smallCaps/>
          <w:sz w:val="22"/>
          <w:szCs w:val="22"/>
          <w:lang w:val="pt-BR" w:eastAsia="pt-BR"/>
        </w:rPr>
      </w:pPr>
    </w:p>
    <w:p>
      <w:pPr>
        <w:spacing w:line="300" w:lineRule="exact"/>
        <w:jc w:val="both"/>
        <w:rPr>
          <w:rFonts w:ascii="Arial" w:hAnsi="Arial" w:cs="Arial"/>
          <w:b/>
          <w:sz w:val="22"/>
          <w:szCs w:val="22"/>
        </w:rPr>
      </w:pPr>
      <w:r>
        <w:rPr>
          <w:rFonts w:ascii="Arial" w:hAnsi="Arial" w:cs="Arial"/>
          <w:b/>
          <w:caps/>
          <w:sz w:val="22"/>
          <w:szCs w:val="22"/>
        </w:rPr>
        <w:br w:type="page"/>
      </w:r>
    </w:p>
    <w:p>
      <w:pPr>
        <w:spacing w:line="300" w:lineRule="exact"/>
        <w:jc w:val="both"/>
        <w:rPr>
          <w:rFonts w:ascii="Arial" w:hAnsi="Arial" w:cs="Arial"/>
          <w:b/>
          <w:sz w:val="22"/>
          <w:szCs w:val="22"/>
        </w:rPr>
      </w:pPr>
      <w:r>
        <w:rPr>
          <w:rFonts w:ascii="Arial" w:hAnsi="Arial" w:cs="Arial"/>
          <w:b/>
          <w:sz w:val="22"/>
          <w:szCs w:val="22"/>
        </w:rPr>
        <w:lastRenderedPageBreak/>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Corpodetexto"/>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center"/>
        <w:rPr>
          <w:rFonts w:ascii="Arial" w:hAnsi="Arial" w:cs="Arial"/>
          <w:b/>
          <w:sz w:val="22"/>
          <w:szCs w:val="22"/>
        </w:rPr>
      </w:pPr>
    </w:p>
    <w:p>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pPr>
        <w:pStyle w:val="NormalWeb"/>
        <w:spacing w:before="0" w:beforeAutospacing="0" w:after="0" w:afterAutospacing="0" w:line="300" w:lineRule="exact"/>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fevereiro de 2020, as Partes celebraram o “</w:t>
      </w:r>
      <w:r>
        <w:rPr>
          <w:rFonts w:ascii="Arial" w:hAnsi="Arial" w:cs="Arial"/>
          <w:i/>
          <w:sz w:val="22"/>
          <w:szCs w:val="22"/>
        </w:rPr>
        <w:t>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sob o nº [</w:t>
      </w:r>
      <w:r>
        <w:rPr>
          <w:rFonts w:ascii="Symbol" w:hAnsi="Symbol" w:cs="Arial"/>
          <w:sz w:val="22"/>
          <w:szCs w:val="22"/>
        </w:rPr>
        <w:sym w:font="Symbol" w:char="F0B7"/>
      </w:r>
      <w:r>
        <w:rPr>
          <w:rFonts w:ascii="Arial" w:hAnsi="Arial" w:cs="Arial"/>
          <w:sz w:val="22"/>
          <w:szCs w:val="22"/>
        </w:rPr>
        <w:t>];</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verificou-se o registro do Instrumento de Garantia, nos termos previstos na Escritura de Emissão e no respectivo Instrumento de Garantia; e</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pPr>
        <w:spacing w:line="300" w:lineRule="exact"/>
        <w:jc w:val="center"/>
        <w:rPr>
          <w:rFonts w:ascii="Arial" w:hAnsi="Arial" w:cs="Arial"/>
          <w:b/>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pPr>
        <w:rPr>
          <w:rFonts w:ascii="Arial" w:hAnsi="Arial" w:cs="Arial"/>
          <w:sz w:val="22"/>
          <w:szCs w:val="22"/>
        </w:rPr>
      </w:pPr>
    </w:p>
    <w:p>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pPr>
        <w:spacing w:line="300" w:lineRule="exact"/>
        <w:rPr>
          <w:rFonts w:ascii="Arial" w:hAnsi="Arial" w:cs="Arial"/>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pPr>
        <w:rPr>
          <w:rFonts w:ascii="Arial" w:hAnsi="Arial" w:cs="Arial"/>
          <w:sz w:val="22"/>
          <w:szCs w:val="22"/>
        </w:rPr>
      </w:pPr>
    </w:p>
    <w:p>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 xml:space="preserve">Fiança prestada, este Aditamento à Escritura de Emissão será protocolado para registro nos competentes Cartórios de Registro de Títulos e </w:t>
      </w:r>
      <w:r>
        <w:rPr>
          <w:rFonts w:ascii="Arial" w:hAnsi="Arial" w:cs="Arial"/>
          <w:sz w:val="22"/>
          <w:szCs w:val="22"/>
        </w:rPr>
        <w:lastRenderedPageBreak/>
        <w:t>Documentos (i) da Cidade de São Paulo, Estado de São Paulo; e (ii) da Cidade de Porto Ferreira, Estado de São Paulo, no prazo de 5 (cinco) Dias Úteis contados da respectiva assinatura. A Emissora compromete-se a enviar ao Agente Fiduciário 1 (uma) via original deste Aditamento à Escritura, devidamente registrados em tais cartórios, em até 5 (cinco) dias, contados da data de obtenção dos referidos registros.</w:t>
      </w:r>
    </w:p>
    <w:p>
      <w:pPr>
        <w:pStyle w:val="Corpodetexto"/>
        <w:tabs>
          <w:tab w:val="left" w:pos="1134"/>
        </w:tabs>
        <w:spacing w:after="0" w:line="300" w:lineRule="exact"/>
        <w:jc w:val="both"/>
        <w:rPr>
          <w:rFonts w:ascii="Arial" w:hAnsi="Arial" w:cs="Arial"/>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pPr>
        <w:rPr>
          <w:rFonts w:ascii="Arial" w:hAnsi="Arial" w:cs="Arial"/>
          <w:sz w:val="22"/>
          <w:szCs w:val="22"/>
        </w:rPr>
      </w:pPr>
    </w:p>
    <w:p>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pPr>
        <w:pStyle w:val="PargrafodaLista"/>
        <w:autoSpaceDE w:val="0"/>
        <w:autoSpaceDN w:val="0"/>
        <w:adjustRightInd w:val="0"/>
        <w:spacing w:line="300" w:lineRule="exact"/>
        <w:ind w:left="0"/>
        <w:jc w:val="both"/>
        <w:rPr>
          <w:rFonts w:ascii="Arial" w:hAnsi="Arial" w:cs="Arial"/>
        </w:rPr>
      </w:pPr>
    </w:p>
    <w:p>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r>
        <w:rPr>
          <w:rFonts w:ascii="Arial" w:hAnsi="Arial" w:cs="Arial"/>
        </w:rPr>
        <w:t>”</w:t>
      </w:r>
    </w:p>
    <w:p>
      <w:pPr>
        <w:pStyle w:val="PargrafodaLista"/>
        <w:tabs>
          <w:tab w:val="left" w:pos="709"/>
        </w:tabs>
        <w:autoSpaceDE w:val="0"/>
        <w:autoSpaceDN w:val="0"/>
        <w:adjustRightInd w:val="0"/>
        <w:spacing w:line="300" w:lineRule="exact"/>
        <w:ind w:left="0"/>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pPr>
        <w:autoSpaceDE w:val="0"/>
        <w:autoSpaceDN w:val="0"/>
        <w:adjustRightInd w:val="0"/>
        <w:spacing w:line="300" w:lineRule="exact"/>
        <w:jc w:val="both"/>
        <w:rPr>
          <w:rFonts w:ascii="Arial" w:hAnsi="Arial" w:cs="Arial"/>
          <w:sz w:val="22"/>
          <w:szCs w:val="22"/>
        </w:rPr>
      </w:pPr>
    </w:p>
    <w:p>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e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nos termos do artigo 62, inciso I, e artigo 289 da Lei das Sociedades por Ações. A Emissora compromete-se a enviar ao Agente Fiduciário 1 (uma) via original da AGE, devidamente registrada na JUCESP, em até 5 (cinco) dias contados da data de obtenção do referido registro.</w:t>
      </w:r>
      <w:r>
        <w:rPr>
          <w:rFonts w:ascii="Arial" w:hAnsi="Arial" w:cs="Arial"/>
          <w:sz w:val="22"/>
          <w:szCs w:val="22"/>
        </w:rPr>
        <w:t>”</w:t>
      </w:r>
    </w:p>
    <w:p>
      <w:pPr>
        <w:spacing w:line="300" w:lineRule="exact"/>
        <w:ind w:left="567"/>
        <w:jc w:val="both"/>
        <w:rPr>
          <w:rFonts w:ascii="Arial" w:hAnsi="Arial" w:cs="Arial"/>
          <w:b/>
          <w:sz w:val="22"/>
          <w:szCs w:val="22"/>
        </w:rPr>
      </w:pPr>
    </w:p>
    <w:p>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A ata da Reunião de Sócios Quatroefe foi registrada na JUCESP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Quatroefe compromete-se a enviar ao Agente Fiduciário 1 (uma) via original da ata da Reunião de Sócios Quatroefe devidamente registrado na JUCESP, em até 5 (cinco) dias contados da data de obtenção do referido registro.” </w:t>
      </w:r>
    </w:p>
    <w:p>
      <w:pPr>
        <w:widowControl w:val="0"/>
        <w:spacing w:line="300" w:lineRule="exact"/>
        <w:ind w:left="567"/>
        <w:jc w:val="both"/>
        <w:rPr>
          <w:rFonts w:ascii="Arial" w:hAnsi="Arial" w:cs="Arial"/>
          <w:i/>
          <w:sz w:val="22"/>
          <w:szCs w:val="22"/>
        </w:rPr>
      </w:pPr>
    </w:p>
    <w:p>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A ata da Reunião de Sócios IVN foi registrada na Junta Comercial do Estado de Sergipe (“</w:t>
      </w:r>
      <w:r>
        <w:rPr>
          <w:rFonts w:ascii="Arial" w:hAnsi="Arial" w:cs="Arial"/>
          <w:i/>
          <w:sz w:val="22"/>
          <w:szCs w:val="22"/>
          <w:u w:val="single"/>
        </w:rPr>
        <w:t>JUCESE</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IVN compromete-se a enviar ao Agente Fiduciário 1 (uma) via original da ata da </w:t>
      </w:r>
      <w:r>
        <w:rPr>
          <w:rFonts w:ascii="Arial" w:hAnsi="Arial" w:cs="Arial"/>
          <w:i/>
          <w:sz w:val="22"/>
          <w:szCs w:val="22"/>
        </w:rPr>
        <w:lastRenderedPageBreak/>
        <w:t>Reunião de Sócios IVN devidamente registrado na JUCESE, em até 5 (cinco) dias contados da data de obtenção do referido registro.”</w:t>
      </w:r>
    </w:p>
    <w:p>
      <w:pPr>
        <w:autoSpaceDE w:val="0"/>
        <w:autoSpaceDN w:val="0"/>
        <w:adjustRightInd w:val="0"/>
        <w:spacing w:line="300" w:lineRule="exact"/>
        <w:ind w:left="567"/>
        <w:jc w:val="both"/>
        <w:rPr>
          <w:rFonts w:ascii="Arial" w:hAnsi="Arial" w:cs="Arial"/>
          <w:sz w:val="22"/>
          <w:szCs w:val="22"/>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pPr>
        <w:pStyle w:val="PargrafodaLista"/>
        <w:autoSpaceDE w:val="0"/>
        <w:autoSpaceDN w:val="0"/>
        <w:adjustRightInd w:val="0"/>
        <w:spacing w:line="300" w:lineRule="exact"/>
        <w:ind w:left="0"/>
        <w:jc w:val="both"/>
        <w:rPr>
          <w:rFonts w:ascii="Arial" w:hAnsi="Arial" w:cs="Arial"/>
        </w:rPr>
      </w:pPr>
    </w:p>
    <w:p>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pPr>
        <w:pStyle w:val="PargrafodaLista"/>
        <w:autoSpaceDE w:val="0"/>
        <w:autoSpaceDN w:val="0"/>
        <w:adjustRightInd w:val="0"/>
        <w:spacing w:line="300" w:lineRule="exact"/>
        <w:ind w:left="0"/>
        <w:jc w:val="both"/>
        <w:rPr>
          <w:rFonts w:ascii="Arial" w:hAnsi="Arial" w:cs="Arial"/>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pPr>
        <w:rPr>
          <w:rFonts w:ascii="Arial" w:hAnsi="Arial" w:cs="Arial"/>
          <w:sz w:val="22"/>
          <w:szCs w:val="22"/>
        </w:rPr>
      </w:pPr>
    </w:p>
    <w:p>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pPr>
        <w:spacing w:line="300" w:lineRule="exact"/>
        <w:rPr>
          <w:rFonts w:ascii="Arial" w:hAnsi="Arial" w:cs="Arial"/>
          <w:w w:val="0"/>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pPr>
        <w:rPr>
          <w:rFonts w:ascii="Arial" w:hAnsi="Arial" w:cs="Arial"/>
          <w:sz w:val="22"/>
          <w:szCs w:val="22"/>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 xml:space="preserve">Este Aditamento à Escritura de Emissão, a Escritura de Emissão e as Debêntures constituem títulos executivos extrajudiciais nos termos dos incisos I e III do artigo 784 do </w:t>
      </w:r>
      <w:r>
        <w:rPr>
          <w:rFonts w:ascii="Arial" w:eastAsia="Arial Unicode MS" w:hAnsi="Arial" w:cs="Arial"/>
          <w:w w:val="0"/>
        </w:rPr>
        <w:lastRenderedPageBreak/>
        <w:t xml:space="preserve">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pPr>
        <w:pStyle w:val="sub"/>
        <w:widowControl/>
        <w:shd w:val="clear" w:color="auto" w:fill="FFFFFF"/>
        <w:tabs>
          <w:tab w:val="clear" w:pos="0"/>
          <w:tab w:val="left" w:pos="708"/>
        </w:tabs>
        <w:spacing w:before="0" w:after="0" w:line="300" w:lineRule="exact"/>
        <w:rPr>
          <w:rFonts w:ascii="Arial" w:eastAsia="Arial Unicode MS" w:hAnsi="Arial" w:cs="Arial"/>
          <w:w w:val="0"/>
        </w:rPr>
      </w:pPr>
    </w:p>
    <w:p>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Symbol" w:eastAsia="Arial Unicode MS" w:hAnsi="Symbol" w:cs="Arial"/>
          <w:szCs w:val="22"/>
        </w:rPr>
        <w:sym w:font="Symbol" w:char="F0B7"/>
      </w:r>
      <w:r>
        <w:rPr>
          <w:rFonts w:ascii="Arial" w:eastAsia="Arial Unicode MS" w:hAnsi="Arial" w:cs="Arial"/>
          <w:szCs w:val="22"/>
        </w:rPr>
        <w:t>]</w:t>
      </w:r>
      <w:r>
        <w:rPr>
          <w:rFonts w:ascii="Arial" w:hAnsi="Arial" w:cs="Arial"/>
          <w:szCs w:val="22"/>
        </w:rPr>
        <w:t xml:space="preserve"> de [</w:t>
      </w:r>
      <w:r>
        <w:rPr>
          <w:rFonts w:ascii="Symbol" w:hAnsi="Symbol" w:cs="Arial"/>
          <w:szCs w:val="22"/>
        </w:rPr>
        <w:sym w:font="Symbol" w:char="F0B7"/>
      </w:r>
      <w:r>
        <w:rPr>
          <w:rFonts w:ascii="Arial" w:hAnsi="Arial" w:cs="Arial"/>
          <w:szCs w:val="22"/>
        </w:rPr>
        <w:t>] de 20[</w:t>
      </w:r>
      <w:r>
        <w:rPr>
          <w:rFonts w:ascii="Symbol" w:hAnsi="Symbol" w:cs="Arial"/>
          <w:szCs w:val="22"/>
        </w:rPr>
        <w:sym w:font="Symbol" w:char="F0B7"/>
      </w:r>
      <w:r>
        <w:rPr>
          <w:rFonts w:ascii="Arial" w:hAnsi="Arial" w:cs="Arial"/>
          <w:szCs w:val="22"/>
        </w:rPr>
        <w:t>]</w:t>
      </w:r>
      <w:r>
        <w:rPr>
          <w:rFonts w:ascii="Arial" w:eastAsia="Arial Unicode MS" w:hAnsi="Arial" w:cs="Arial"/>
          <w:szCs w:val="22"/>
        </w:rPr>
        <w:t>.</w:t>
      </w:r>
    </w:p>
    <w:p>
      <w:pPr>
        <w:pStyle w:val="p0"/>
        <w:tabs>
          <w:tab w:val="clear" w:pos="720"/>
          <w:tab w:val="left" w:pos="0"/>
        </w:tabs>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pPr>
        <w:pStyle w:val="p0"/>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pPr>
        <w:pStyle w:val="p0"/>
        <w:spacing w:line="300" w:lineRule="exact"/>
        <w:jc w:val="center"/>
        <w:rPr>
          <w:rFonts w:ascii="Arial" w:eastAsia="Arial Unicode MS" w:hAnsi="Arial" w:cs="Arial"/>
          <w:szCs w:val="22"/>
        </w:rPr>
      </w:pPr>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hAnsi="Arial" w:cs="Arial"/>
          <w:b/>
          <w:caps/>
          <w:sz w:val="22"/>
          <w:szCs w:val="22"/>
        </w:rPr>
      </w:pPr>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(Página de Assinaturas 4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center"/>
        <w:rPr>
          <w:rFonts w:ascii="Arial" w:hAnsi="Arial" w:cs="Arial"/>
          <w:b/>
          <w:sz w:val="22"/>
          <w:szCs w:val="22"/>
        </w:rPr>
        <w:sectPr>
          <w:pgSz w:w="12242" w:h="15842" w:code="1"/>
          <w:pgMar w:top="1417" w:right="1701" w:bottom="1417" w:left="1701" w:header="720" w:footer="720" w:gutter="0"/>
          <w:cols w:space="708"/>
          <w:titlePg/>
          <w:docGrid w:linePitch="360"/>
        </w:sectPr>
      </w:pPr>
    </w:p>
    <w:p>
      <w:pPr>
        <w:spacing w:line="300" w:lineRule="exact"/>
        <w:jc w:val="center"/>
        <w:rPr>
          <w:rFonts w:ascii="Arial" w:hAnsi="Arial" w:cs="Arial"/>
          <w:b/>
          <w:sz w:val="22"/>
          <w:szCs w:val="22"/>
        </w:rPr>
      </w:pPr>
      <w:r>
        <w:rPr>
          <w:rFonts w:ascii="Arial" w:hAnsi="Arial" w:cs="Arial"/>
          <w:b/>
          <w:sz w:val="22"/>
          <w:szCs w:val="22"/>
        </w:rPr>
        <w:lastRenderedPageBreak/>
        <w:t>ANEXO 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ESCRITURA DE EMISSÃO CONSOLIDADA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pPr>
        <w:spacing w:line="300" w:lineRule="exact"/>
        <w:jc w:val="center"/>
        <w:rPr>
          <w:rFonts w:ascii="Arial" w:hAnsi="Arial" w:cs="Arial"/>
          <w:sz w:val="22"/>
          <w:szCs w:val="22"/>
        </w:rPr>
      </w:pPr>
    </w:p>
    <w:p>
      <w:pPr>
        <w:spacing w:line="300" w:lineRule="exact"/>
        <w:jc w:val="center"/>
        <w:rPr>
          <w:rFonts w:ascii="Arial" w:hAnsi="Arial" w:cs="Arial"/>
          <w:vanish/>
          <w:sz w:val="22"/>
          <w:szCs w:val="22"/>
          <w:specVanish/>
        </w:rPr>
      </w:pPr>
    </w:p>
    <w:p>
      <w:pPr>
        <w:spacing w:line="300" w:lineRule="exact"/>
        <w:jc w:val="center"/>
        <w:rPr>
          <w:rFonts w:ascii="Arial" w:hAnsi="Arial" w:cs="Arial"/>
          <w:b/>
          <w:sz w:val="22"/>
          <w:szCs w:val="22"/>
        </w:rPr>
      </w:pPr>
    </w:p>
    <w:sectPr>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pPr>
      <w:pStyle w:val="Rodap"/>
    </w:pPr>
  </w:p>
  <w:p>
    <w:r>
      <w:rPr>
        <w:sz w:val="16"/>
      </w:rPr>
      <w:t>AMECURRENT 705634859.5 17-abr-13 12:07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- 35468921v15 - 10842002.452566</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- 35468921v16 - 10842002.452566</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Cs/>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15025E74">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0D8643E0">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5996463A">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A40E340C">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2CF8B098">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2F068250">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C36A5C7E">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CAD85236">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6CDCAEDE">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E18439C6">
      <w:start w:val="1"/>
      <w:numFmt w:val="lowerLetter"/>
      <w:lvlText w:val="(%1)"/>
      <w:lvlJc w:val="left"/>
      <w:pPr>
        <w:ind w:left="720" w:hanging="360"/>
      </w:pPr>
      <w:rPr>
        <w:rFonts w:hint="default"/>
        <w:sz w:val="22"/>
        <w:szCs w:val="20"/>
      </w:rPr>
    </w:lvl>
    <w:lvl w:ilvl="1" w:tplc="B84835EE">
      <w:start w:val="1"/>
      <w:numFmt w:val="lowerLetter"/>
      <w:lvlText w:val="(%2)"/>
      <w:lvlJc w:val="left"/>
      <w:pPr>
        <w:ind w:left="4047" w:hanging="360"/>
      </w:pPr>
      <w:rPr>
        <w:rFonts w:hint="default"/>
        <w:b w:val="0"/>
      </w:rPr>
    </w:lvl>
    <w:lvl w:ilvl="2" w:tplc="7B48FEB4">
      <w:start w:val="1"/>
      <w:numFmt w:val="lowerRoman"/>
      <w:lvlText w:val="%3."/>
      <w:lvlJc w:val="right"/>
      <w:pPr>
        <w:ind w:left="2160" w:hanging="180"/>
      </w:pPr>
    </w:lvl>
    <w:lvl w:ilvl="3" w:tplc="FB62A10C">
      <w:start w:val="1"/>
      <w:numFmt w:val="decimal"/>
      <w:lvlText w:val="%4."/>
      <w:lvlJc w:val="left"/>
      <w:pPr>
        <w:ind w:left="2880" w:hanging="360"/>
      </w:pPr>
    </w:lvl>
    <w:lvl w:ilvl="4" w:tplc="E6E43C26" w:tentative="1">
      <w:start w:val="1"/>
      <w:numFmt w:val="lowerLetter"/>
      <w:lvlText w:val="%5."/>
      <w:lvlJc w:val="left"/>
      <w:pPr>
        <w:ind w:left="3600" w:hanging="360"/>
      </w:pPr>
    </w:lvl>
    <w:lvl w:ilvl="5" w:tplc="D46857A2" w:tentative="1">
      <w:start w:val="1"/>
      <w:numFmt w:val="lowerRoman"/>
      <w:lvlText w:val="%6."/>
      <w:lvlJc w:val="right"/>
      <w:pPr>
        <w:ind w:left="4320" w:hanging="180"/>
      </w:pPr>
    </w:lvl>
    <w:lvl w:ilvl="6" w:tplc="5E6A9F20" w:tentative="1">
      <w:start w:val="1"/>
      <w:numFmt w:val="decimal"/>
      <w:lvlText w:val="%7."/>
      <w:lvlJc w:val="left"/>
      <w:pPr>
        <w:ind w:left="5040" w:hanging="360"/>
      </w:pPr>
    </w:lvl>
    <w:lvl w:ilvl="7" w:tplc="0CD49DAC" w:tentative="1">
      <w:start w:val="1"/>
      <w:numFmt w:val="lowerLetter"/>
      <w:lvlText w:val="%8."/>
      <w:lvlJc w:val="left"/>
      <w:pPr>
        <w:ind w:left="5760" w:hanging="360"/>
      </w:pPr>
    </w:lvl>
    <w:lvl w:ilvl="8" w:tplc="441AEBC2"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5AA84596">
      <w:start w:val="1"/>
      <w:numFmt w:val="lowerLetter"/>
      <w:lvlText w:val="(%1)"/>
      <w:lvlJc w:val="left"/>
      <w:pPr>
        <w:ind w:left="720" w:hanging="360"/>
      </w:pPr>
      <w:rPr>
        <w:rFonts w:hint="default"/>
        <w:b w:val="0"/>
      </w:rPr>
    </w:lvl>
    <w:lvl w:ilvl="1" w:tplc="EE98DB14" w:tentative="1">
      <w:start w:val="1"/>
      <w:numFmt w:val="lowerLetter"/>
      <w:lvlText w:val="%2."/>
      <w:lvlJc w:val="left"/>
      <w:pPr>
        <w:ind w:left="1440" w:hanging="360"/>
      </w:pPr>
    </w:lvl>
    <w:lvl w:ilvl="2" w:tplc="1496408C" w:tentative="1">
      <w:start w:val="1"/>
      <w:numFmt w:val="lowerRoman"/>
      <w:lvlText w:val="%3."/>
      <w:lvlJc w:val="right"/>
      <w:pPr>
        <w:ind w:left="2160" w:hanging="180"/>
      </w:pPr>
    </w:lvl>
    <w:lvl w:ilvl="3" w:tplc="8E76E070" w:tentative="1">
      <w:start w:val="1"/>
      <w:numFmt w:val="decimal"/>
      <w:lvlText w:val="%4."/>
      <w:lvlJc w:val="left"/>
      <w:pPr>
        <w:ind w:left="2880" w:hanging="360"/>
      </w:pPr>
    </w:lvl>
    <w:lvl w:ilvl="4" w:tplc="B2F01044" w:tentative="1">
      <w:start w:val="1"/>
      <w:numFmt w:val="lowerLetter"/>
      <w:lvlText w:val="%5."/>
      <w:lvlJc w:val="left"/>
      <w:pPr>
        <w:ind w:left="3600" w:hanging="360"/>
      </w:pPr>
    </w:lvl>
    <w:lvl w:ilvl="5" w:tplc="5DF87996" w:tentative="1">
      <w:start w:val="1"/>
      <w:numFmt w:val="lowerRoman"/>
      <w:lvlText w:val="%6."/>
      <w:lvlJc w:val="right"/>
      <w:pPr>
        <w:ind w:left="4320" w:hanging="180"/>
      </w:pPr>
    </w:lvl>
    <w:lvl w:ilvl="6" w:tplc="F372E868" w:tentative="1">
      <w:start w:val="1"/>
      <w:numFmt w:val="decimal"/>
      <w:lvlText w:val="%7."/>
      <w:lvlJc w:val="left"/>
      <w:pPr>
        <w:ind w:left="5040" w:hanging="360"/>
      </w:pPr>
    </w:lvl>
    <w:lvl w:ilvl="7" w:tplc="87E6FE86" w:tentative="1">
      <w:start w:val="1"/>
      <w:numFmt w:val="lowerLetter"/>
      <w:lvlText w:val="%8."/>
      <w:lvlJc w:val="left"/>
      <w:pPr>
        <w:ind w:left="5760" w:hanging="360"/>
      </w:pPr>
    </w:lvl>
    <w:lvl w:ilvl="8" w:tplc="DE54FC1A"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318A07E6">
      <w:start w:val="1"/>
      <w:numFmt w:val="lowerLetter"/>
      <w:lvlText w:val="(%1)"/>
      <w:lvlJc w:val="left"/>
      <w:pPr>
        <w:ind w:left="720" w:hanging="360"/>
      </w:pPr>
      <w:rPr>
        <w:rFonts w:cs="Times New Roman" w:hint="default"/>
      </w:rPr>
    </w:lvl>
    <w:lvl w:ilvl="1" w:tplc="7C94D8DE" w:tentative="1">
      <w:start w:val="1"/>
      <w:numFmt w:val="lowerLetter"/>
      <w:lvlText w:val="%2."/>
      <w:lvlJc w:val="left"/>
      <w:pPr>
        <w:ind w:left="1440" w:hanging="360"/>
      </w:pPr>
    </w:lvl>
    <w:lvl w:ilvl="2" w:tplc="7E90BDB8" w:tentative="1">
      <w:start w:val="1"/>
      <w:numFmt w:val="lowerRoman"/>
      <w:lvlText w:val="%3."/>
      <w:lvlJc w:val="right"/>
      <w:pPr>
        <w:ind w:left="2160" w:hanging="180"/>
      </w:pPr>
    </w:lvl>
    <w:lvl w:ilvl="3" w:tplc="D6367040" w:tentative="1">
      <w:start w:val="1"/>
      <w:numFmt w:val="decimal"/>
      <w:lvlText w:val="%4."/>
      <w:lvlJc w:val="left"/>
      <w:pPr>
        <w:ind w:left="2880" w:hanging="360"/>
      </w:pPr>
    </w:lvl>
    <w:lvl w:ilvl="4" w:tplc="A7BA2490" w:tentative="1">
      <w:start w:val="1"/>
      <w:numFmt w:val="lowerLetter"/>
      <w:lvlText w:val="%5."/>
      <w:lvlJc w:val="left"/>
      <w:pPr>
        <w:ind w:left="3600" w:hanging="360"/>
      </w:pPr>
    </w:lvl>
    <w:lvl w:ilvl="5" w:tplc="1D1ACB04" w:tentative="1">
      <w:start w:val="1"/>
      <w:numFmt w:val="lowerRoman"/>
      <w:lvlText w:val="%6."/>
      <w:lvlJc w:val="right"/>
      <w:pPr>
        <w:ind w:left="4320" w:hanging="180"/>
      </w:pPr>
    </w:lvl>
    <w:lvl w:ilvl="6" w:tplc="F6F6C4F2" w:tentative="1">
      <w:start w:val="1"/>
      <w:numFmt w:val="decimal"/>
      <w:lvlText w:val="%7."/>
      <w:lvlJc w:val="left"/>
      <w:pPr>
        <w:ind w:left="5040" w:hanging="360"/>
      </w:pPr>
    </w:lvl>
    <w:lvl w:ilvl="7" w:tplc="107CC27C" w:tentative="1">
      <w:start w:val="1"/>
      <w:numFmt w:val="lowerLetter"/>
      <w:lvlText w:val="%8."/>
      <w:lvlJc w:val="left"/>
      <w:pPr>
        <w:ind w:left="5760" w:hanging="360"/>
      </w:pPr>
    </w:lvl>
    <w:lvl w:ilvl="8" w:tplc="81367774"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6B37F41"/>
    <w:multiLevelType w:val="hybridMultilevel"/>
    <w:tmpl w:val="459869B2"/>
    <w:lvl w:ilvl="0" w:tplc="30E4E696">
      <w:start w:val="1"/>
      <w:numFmt w:val="lowerLetter"/>
      <w:lvlText w:val="(%1)"/>
      <w:lvlJc w:val="left"/>
      <w:pPr>
        <w:tabs>
          <w:tab w:val="num" w:pos="1080"/>
        </w:tabs>
        <w:ind w:left="1080" w:hanging="360"/>
      </w:pPr>
      <w:rPr>
        <w:rFonts w:cs="Times New Roman" w:hint="default"/>
        <w:b w:val="0"/>
        <w:spacing w:val="0"/>
        <w:sz w:val="20"/>
        <w:szCs w:val="20"/>
      </w:rPr>
    </w:lvl>
    <w:lvl w:ilvl="1" w:tplc="86866500" w:tentative="1">
      <w:start w:val="1"/>
      <w:numFmt w:val="lowerLetter"/>
      <w:lvlText w:val="%2."/>
      <w:lvlJc w:val="left"/>
      <w:pPr>
        <w:tabs>
          <w:tab w:val="num" w:pos="1440"/>
        </w:tabs>
        <w:ind w:left="1440" w:hanging="360"/>
      </w:pPr>
      <w:rPr>
        <w:rFonts w:cs="Times New Roman"/>
      </w:rPr>
    </w:lvl>
    <w:lvl w:ilvl="2" w:tplc="2F321448" w:tentative="1">
      <w:start w:val="1"/>
      <w:numFmt w:val="lowerRoman"/>
      <w:lvlText w:val="%3."/>
      <w:lvlJc w:val="right"/>
      <w:pPr>
        <w:tabs>
          <w:tab w:val="num" w:pos="2160"/>
        </w:tabs>
        <w:ind w:left="2160" w:hanging="180"/>
      </w:pPr>
      <w:rPr>
        <w:rFonts w:cs="Times New Roman"/>
      </w:rPr>
    </w:lvl>
    <w:lvl w:ilvl="3" w:tplc="6C30F822" w:tentative="1">
      <w:start w:val="1"/>
      <w:numFmt w:val="decimal"/>
      <w:lvlText w:val="%4."/>
      <w:lvlJc w:val="left"/>
      <w:pPr>
        <w:tabs>
          <w:tab w:val="num" w:pos="2880"/>
        </w:tabs>
        <w:ind w:left="2880" w:hanging="360"/>
      </w:pPr>
      <w:rPr>
        <w:rFonts w:cs="Times New Roman"/>
      </w:rPr>
    </w:lvl>
    <w:lvl w:ilvl="4" w:tplc="B4EAE636" w:tentative="1">
      <w:start w:val="1"/>
      <w:numFmt w:val="lowerLetter"/>
      <w:lvlText w:val="%5."/>
      <w:lvlJc w:val="left"/>
      <w:pPr>
        <w:tabs>
          <w:tab w:val="num" w:pos="3600"/>
        </w:tabs>
        <w:ind w:left="3600" w:hanging="360"/>
      </w:pPr>
      <w:rPr>
        <w:rFonts w:cs="Times New Roman"/>
      </w:rPr>
    </w:lvl>
    <w:lvl w:ilvl="5" w:tplc="610A3C50" w:tentative="1">
      <w:start w:val="1"/>
      <w:numFmt w:val="lowerRoman"/>
      <w:lvlText w:val="%6."/>
      <w:lvlJc w:val="right"/>
      <w:pPr>
        <w:tabs>
          <w:tab w:val="num" w:pos="4320"/>
        </w:tabs>
        <w:ind w:left="4320" w:hanging="180"/>
      </w:pPr>
      <w:rPr>
        <w:rFonts w:cs="Times New Roman"/>
      </w:rPr>
    </w:lvl>
    <w:lvl w:ilvl="6" w:tplc="49D25A7A" w:tentative="1">
      <w:start w:val="1"/>
      <w:numFmt w:val="decimal"/>
      <w:lvlText w:val="%7."/>
      <w:lvlJc w:val="left"/>
      <w:pPr>
        <w:tabs>
          <w:tab w:val="num" w:pos="5040"/>
        </w:tabs>
        <w:ind w:left="5040" w:hanging="360"/>
      </w:pPr>
      <w:rPr>
        <w:rFonts w:cs="Times New Roman"/>
      </w:rPr>
    </w:lvl>
    <w:lvl w:ilvl="7" w:tplc="69C06752" w:tentative="1">
      <w:start w:val="1"/>
      <w:numFmt w:val="lowerLetter"/>
      <w:lvlText w:val="%8."/>
      <w:lvlJc w:val="left"/>
      <w:pPr>
        <w:tabs>
          <w:tab w:val="num" w:pos="5760"/>
        </w:tabs>
        <w:ind w:left="5760" w:hanging="360"/>
      </w:pPr>
      <w:rPr>
        <w:rFonts w:cs="Times New Roman"/>
      </w:rPr>
    </w:lvl>
    <w:lvl w:ilvl="8" w:tplc="3B5CADCC"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6E3A2F"/>
    <w:multiLevelType w:val="hybridMultilevel"/>
    <w:tmpl w:val="FC9A52AC"/>
    <w:lvl w:ilvl="0" w:tplc="5F5EF4D8">
      <w:start w:val="1"/>
      <w:numFmt w:val="lowerRoman"/>
      <w:lvlText w:val="(%1)"/>
      <w:lvlJc w:val="left"/>
      <w:pPr>
        <w:ind w:left="1571" w:hanging="720"/>
      </w:pPr>
      <w:rPr>
        <w:rFonts w:hint="default"/>
      </w:rPr>
    </w:lvl>
    <w:lvl w:ilvl="1" w:tplc="9AF671A2" w:tentative="1">
      <w:start w:val="1"/>
      <w:numFmt w:val="lowerLetter"/>
      <w:lvlText w:val="%2."/>
      <w:lvlJc w:val="left"/>
      <w:pPr>
        <w:ind w:left="1931" w:hanging="360"/>
      </w:pPr>
    </w:lvl>
    <w:lvl w:ilvl="2" w:tplc="DFE278FC" w:tentative="1">
      <w:start w:val="1"/>
      <w:numFmt w:val="lowerRoman"/>
      <w:lvlText w:val="%3."/>
      <w:lvlJc w:val="right"/>
      <w:pPr>
        <w:ind w:left="2651" w:hanging="180"/>
      </w:pPr>
    </w:lvl>
    <w:lvl w:ilvl="3" w:tplc="D03895B4" w:tentative="1">
      <w:start w:val="1"/>
      <w:numFmt w:val="decimal"/>
      <w:lvlText w:val="%4."/>
      <w:lvlJc w:val="left"/>
      <w:pPr>
        <w:ind w:left="3371" w:hanging="360"/>
      </w:pPr>
    </w:lvl>
    <w:lvl w:ilvl="4" w:tplc="99A490BE" w:tentative="1">
      <w:start w:val="1"/>
      <w:numFmt w:val="lowerLetter"/>
      <w:lvlText w:val="%5."/>
      <w:lvlJc w:val="left"/>
      <w:pPr>
        <w:ind w:left="4091" w:hanging="360"/>
      </w:pPr>
    </w:lvl>
    <w:lvl w:ilvl="5" w:tplc="4B44C06C" w:tentative="1">
      <w:start w:val="1"/>
      <w:numFmt w:val="lowerRoman"/>
      <w:lvlText w:val="%6."/>
      <w:lvlJc w:val="right"/>
      <w:pPr>
        <w:ind w:left="4811" w:hanging="180"/>
      </w:pPr>
    </w:lvl>
    <w:lvl w:ilvl="6" w:tplc="8270A64A" w:tentative="1">
      <w:start w:val="1"/>
      <w:numFmt w:val="decimal"/>
      <w:lvlText w:val="%7."/>
      <w:lvlJc w:val="left"/>
      <w:pPr>
        <w:ind w:left="5531" w:hanging="360"/>
      </w:pPr>
    </w:lvl>
    <w:lvl w:ilvl="7" w:tplc="E4E25D32" w:tentative="1">
      <w:start w:val="1"/>
      <w:numFmt w:val="lowerLetter"/>
      <w:lvlText w:val="%8."/>
      <w:lvlJc w:val="left"/>
      <w:pPr>
        <w:ind w:left="6251" w:hanging="360"/>
      </w:pPr>
    </w:lvl>
    <w:lvl w:ilvl="8" w:tplc="CD26A6CA" w:tentative="1">
      <w:start w:val="1"/>
      <w:numFmt w:val="lowerRoman"/>
      <w:lvlText w:val="%9."/>
      <w:lvlJc w:val="right"/>
      <w:pPr>
        <w:ind w:left="6971" w:hanging="180"/>
      </w:pPr>
    </w:lvl>
  </w:abstractNum>
  <w:abstractNum w:abstractNumId="13"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15:restartNumberingAfterBreak="0">
    <w:nsid w:val="1A666D22"/>
    <w:multiLevelType w:val="hybridMultilevel"/>
    <w:tmpl w:val="F9723D3E"/>
    <w:lvl w:ilvl="0" w:tplc="EA8228B8">
      <w:start w:val="1"/>
      <w:numFmt w:val="lowerRoman"/>
      <w:lvlText w:val="(%1)"/>
      <w:lvlJc w:val="left"/>
      <w:pPr>
        <w:ind w:left="720" w:hanging="360"/>
      </w:pPr>
      <w:rPr>
        <w:rFonts w:hint="default"/>
      </w:rPr>
    </w:lvl>
    <w:lvl w:ilvl="1" w:tplc="6FB4B1B6" w:tentative="1">
      <w:start w:val="1"/>
      <w:numFmt w:val="lowerLetter"/>
      <w:lvlText w:val="%2."/>
      <w:lvlJc w:val="left"/>
      <w:pPr>
        <w:ind w:left="1440" w:hanging="360"/>
      </w:pPr>
    </w:lvl>
    <w:lvl w:ilvl="2" w:tplc="2D7C75F8" w:tentative="1">
      <w:start w:val="1"/>
      <w:numFmt w:val="lowerRoman"/>
      <w:lvlText w:val="%3."/>
      <w:lvlJc w:val="right"/>
      <w:pPr>
        <w:ind w:left="2160" w:hanging="180"/>
      </w:pPr>
    </w:lvl>
    <w:lvl w:ilvl="3" w:tplc="35741246" w:tentative="1">
      <w:start w:val="1"/>
      <w:numFmt w:val="decimal"/>
      <w:lvlText w:val="%4."/>
      <w:lvlJc w:val="left"/>
      <w:pPr>
        <w:ind w:left="2880" w:hanging="360"/>
      </w:pPr>
    </w:lvl>
    <w:lvl w:ilvl="4" w:tplc="87F8CEBA" w:tentative="1">
      <w:start w:val="1"/>
      <w:numFmt w:val="lowerLetter"/>
      <w:lvlText w:val="%5."/>
      <w:lvlJc w:val="left"/>
      <w:pPr>
        <w:ind w:left="3600" w:hanging="360"/>
      </w:pPr>
    </w:lvl>
    <w:lvl w:ilvl="5" w:tplc="52807AE0" w:tentative="1">
      <w:start w:val="1"/>
      <w:numFmt w:val="lowerRoman"/>
      <w:lvlText w:val="%6."/>
      <w:lvlJc w:val="right"/>
      <w:pPr>
        <w:ind w:left="4320" w:hanging="180"/>
      </w:pPr>
    </w:lvl>
    <w:lvl w:ilvl="6" w:tplc="80C8FD20" w:tentative="1">
      <w:start w:val="1"/>
      <w:numFmt w:val="decimal"/>
      <w:lvlText w:val="%7."/>
      <w:lvlJc w:val="left"/>
      <w:pPr>
        <w:ind w:left="5040" w:hanging="360"/>
      </w:pPr>
    </w:lvl>
    <w:lvl w:ilvl="7" w:tplc="720A44EE" w:tentative="1">
      <w:start w:val="1"/>
      <w:numFmt w:val="lowerLetter"/>
      <w:lvlText w:val="%8."/>
      <w:lvlJc w:val="left"/>
      <w:pPr>
        <w:ind w:left="5760" w:hanging="360"/>
      </w:pPr>
    </w:lvl>
    <w:lvl w:ilvl="8" w:tplc="E4262426" w:tentative="1">
      <w:start w:val="1"/>
      <w:numFmt w:val="lowerRoman"/>
      <w:lvlText w:val="%9."/>
      <w:lvlJc w:val="right"/>
      <w:pPr>
        <w:ind w:left="6480" w:hanging="180"/>
      </w:pPr>
    </w:lvl>
  </w:abstractNum>
  <w:abstractNum w:abstractNumId="15" w15:restartNumberingAfterBreak="0">
    <w:nsid w:val="1E834035"/>
    <w:multiLevelType w:val="hybridMultilevel"/>
    <w:tmpl w:val="F9723D3E"/>
    <w:lvl w:ilvl="0" w:tplc="0CD4764A">
      <w:start w:val="1"/>
      <w:numFmt w:val="lowerRoman"/>
      <w:lvlText w:val="(%1)"/>
      <w:lvlJc w:val="left"/>
      <w:pPr>
        <w:ind w:left="720" w:hanging="360"/>
      </w:pPr>
      <w:rPr>
        <w:rFonts w:hint="default"/>
      </w:rPr>
    </w:lvl>
    <w:lvl w:ilvl="1" w:tplc="7D56ABB0" w:tentative="1">
      <w:start w:val="1"/>
      <w:numFmt w:val="lowerLetter"/>
      <w:lvlText w:val="%2."/>
      <w:lvlJc w:val="left"/>
      <w:pPr>
        <w:ind w:left="1440" w:hanging="360"/>
      </w:pPr>
    </w:lvl>
    <w:lvl w:ilvl="2" w:tplc="08BEE4CE" w:tentative="1">
      <w:start w:val="1"/>
      <w:numFmt w:val="lowerRoman"/>
      <w:lvlText w:val="%3."/>
      <w:lvlJc w:val="right"/>
      <w:pPr>
        <w:ind w:left="2160" w:hanging="180"/>
      </w:pPr>
    </w:lvl>
    <w:lvl w:ilvl="3" w:tplc="56600370" w:tentative="1">
      <w:start w:val="1"/>
      <w:numFmt w:val="decimal"/>
      <w:lvlText w:val="%4."/>
      <w:lvlJc w:val="left"/>
      <w:pPr>
        <w:ind w:left="2880" w:hanging="360"/>
      </w:pPr>
    </w:lvl>
    <w:lvl w:ilvl="4" w:tplc="3BD49982" w:tentative="1">
      <w:start w:val="1"/>
      <w:numFmt w:val="lowerLetter"/>
      <w:lvlText w:val="%5."/>
      <w:lvlJc w:val="left"/>
      <w:pPr>
        <w:ind w:left="3600" w:hanging="360"/>
      </w:pPr>
    </w:lvl>
    <w:lvl w:ilvl="5" w:tplc="83BE7A90" w:tentative="1">
      <w:start w:val="1"/>
      <w:numFmt w:val="lowerRoman"/>
      <w:lvlText w:val="%6."/>
      <w:lvlJc w:val="right"/>
      <w:pPr>
        <w:ind w:left="4320" w:hanging="180"/>
      </w:pPr>
    </w:lvl>
    <w:lvl w:ilvl="6" w:tplc="603A2D56" w:tentative="1">
      <w:start w:val="1"/>
      <w:numFmt w:val="decimal"/>
      <w:lvlText w:val="%7."/>
      <w:lvlJc w:val="left"/>
      <w:pPr>
        <w:ind w:left="5040" w:hanging="360"/>
      </w:pPr>
    </w:lvl>
    <w:lvl w:ilvl="7" w:tplc="B952057A" w:tentative="1">
      <w:start w:val="1"/>
      <w:numFmt w:val="lowerLetter"/>
      <w:lvlText w:val="%8."/>
      <w:lvlJc w:val="left"/>
      <w:pPr>
        <w:ind w:left="5760" w:hanging="360"/>
      </w:pPr>
    </w:lvl>
    <w:lvl w:ilvl="8" w:tplc="59986E80" w:tentative="1">
      <w:start w:val="1"/>
      <w:numFmt w:val="lowerRoman"/>
      <w:lvlText w:val="%9."/>
      <w:lvlJc w:val="right"/>
      <w:pPr>
        <w:ind w:left="6480" w:hanging="180"/>
      </w:pPr>
    </w:lvl>
  </w:abstractNum>
  <w:abstractNum w:abstractNumId="16"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15:restartNumberingAfterBreak="0">
    <w:nsid w:val="22194E74"/>
    <w:multiLevelType w:val="hybridMultilevel"/>
    <w:tmpl w:val="6C00C138"/>
    <w:lvl w:ilvl="0" w:tplc="19BA3E94">
      <w:start w:val="1"/>
      <w:numFmt w:val="lowerLetter"/>
      <w:lvlText w:val="(%1)"/>
      <w:lvlJc w:val="left"/>
      <w:pPr>
        <w:ind w:left="720" w:hanging="360"/>
      </w:pPr>
      <w:rPr>
        <w:rFonts w:hint="default"/>
      </w:rPr>
    </w:lvl>
    <w:lvl w:ilvl="1" w:tplc="2FBA4B98" w:tentative="1">
      <w:start w:val="1"/>
      <w:numFmt w:val="lowerLetter"/>
      <w:lvlText w:val="%2."/>
      <w:lvlJc w:val="left"/>
      <w:pPr>
        <w:ind w:left="1440" w:hanging="360"/>
      </w:pPr>
    </w:lvl>
    <w:lvl w:ilvl="2" w:tplc="7DB04766" w:tentative="1">
      <w:start w:val="1"/>
      <w:numFmt w:val="lowerRoman"/>
      <w:lvlText w:val="%3."/>
      <w:lvlJc w:val="right"/>
      <w:pPr>
        <w:ind w:left="2160" w:hanging="180"/>
      </w:pPr>
    </w:lvl>
    <w:lvl w:ilvl="3" w:tplc="A6C43886" w:tentative="1">
      <w:start w:val="1"/>
      <w:numFmt w:val="decimal"/>
      <w:lvlText w:val="%4."/>
      <w:lvlJc w:val="left"/>
      <w:pPr>
        <w:ind w:left="2880" w:hanging="360"/>
      </w:pPr>
    </w:lvl>
    <w:lvl w:ilvl="4" w:tplc="F8E02DAA" w:tentative="1">
      <w:start w:val="1"/>
      <w:numFmt w:val="lowerLetter"/>
      <w:lvlText w:val="%5."/>
      <w:lvlJc w:val="left"/>
      <w:pPr>
        <w:ind w:left="3600" w:hanging="360"/>
      </w:pPr>
    </w:lvl>
    <w:lvl w:ilvl="5" w:tplc="3008E9F0" w:tentative="1">
      <w:start w:val="1"/>
      <w:numFmt w:val="lowerRoman"/>
      <w:lvlText w:val="%6."/>
      <w:lvlJc w:val="right"/>
      <w:pPr>
        <w:ind w:left="4320" w:hanging="180"/>
      </w:pPr>
    </w:lvl>
    <w:lvl w:ilvl="6" w:tplc="5F8E2D0A" w:tentative="1">
      <w:start w:val="1"/>
      <w:numFmt w:val="decimal"/>
      <w:lvlText w:val="%7."/>
      <w:lvlJc w:val="left"/>
      <w:pPr>
        <w:ind w:left="5040" w:hanging="360"/>
      </w:pPr>
    </w:lvl>
    <w:lvl w:ilvl="7" w:tplc="41FCE22C" w:tentative="1">
      <w:start w:val="1"/>
      <w:numFmt w:val="lowerLetter"/>
      <w:lvlText w:val="%8."/>
      <w:lvlJc w:val="left"/>
      <w:pPr>
        <w:ind w:left="5760" w:hanging="360"/>
      </w:pPr>
    </w:lvl>
    <w:lvl w:ilvl="8" w:tplc="358A45BE" w:tentative="1">
      <w:start w:val="1"/>
      <w:numFmt w:val="lowerRoman"/>
      <w:lvlText w:val="%9."/>
      <w:lvlJc w:val="right"/>
      <w:pPr>
        <w:ind w:left="6480" w:hanging="180"/>
      </w:pPr>
    </w:lvl>
  </w:abstractNum>
  <w:abstractNum w:abstractNumId="20" w15:restartNumberingAfterBreak="0">
    <w:nsid w:val="23AE7E9D"/>
    <w:multiLevelType w:val="hybridMultilevel"/>
    <w:tmpl w:val="64AEF866"/>
    <w:lvl w:ilvl="0" w:tplc="C7C2FBBE">
      <w:start w:val="1"/>
      <w:numFmt w:val="lowerLetter"/>
      <w:lvlText w:val="(%1)"/>
      <w:lvlJc w:val="left"/>
      <w:pPr>
        <w:ind w:left="1920" w:hanging="360"/>
      </w:pPr>
      <w:rPr>
        <w:rFonts w:cs="Times New Roman" w:hint="default"/>
        <w:b w:val="0"/>
        <w:spacing w:val="0"/>
      </w:rPr>
    </w:lvl>
    <w:lvl w:ilvl="1" w:tplc="41E69B0A">
      <w:start w:val="1"/>
      <w:numFmt w:val="lowerLetter"/>
      <w:lvlText w:val="%2."/>
      <w:lvlJc w:val="left"/>
      <w:pPr>
        <w:ind w:left="2640" w:hanging="360"/>
      </w:pPr>
    </w:lvl>
    <w:lvl w:ilvl="2" w:tplc="3432D40C" w:tentative="1">
      <w:start w:val="1"/>
      <w:numFmt w:val="lowerRoman"/>
      <w:lvlText w:val="%3."/>
      <w:lvlJc w:val="right"/>
      <w:pPr>
        <w:ind w:left="3360" w:hanging="180"/>
      </w:pPr>
    </w:lvl>
    <w:lvl w:ilvl="3" w:tplc="7758C7FC">
      <w:start w:val="1"/>
      <w:numFmt w:val="decimal"/>
      <w:lvlText w:val="%4."/>
      <w:lvlJc w:val="left"/>
      <w:pPr>
        <w:ind w:left="4080" w:hanging="360"/>
      </w:pPr>
    </w:lvl>
    <w:lvl w:ilvl="4" w:tplc="A12C8C32" w:tentative="1">
      <w:start w:val="1"/>
      <w:numFmt w:val="lowerLetter"/>
      <w:lvlText w:val="%5."/>
      <w:lvlJc w:val="left"/>
      <w:pPr>
        <w:ind w:left="4800" w:hanging="360"/>
      </w:pPr>
    </w:lvl>
    <w:lvl w:ilvl="5" w:tplc="F4CE11A2" w:tentative="1">
      <w:start w:val="1"/>
      <w:numFmt w:val="lowerRoman"/>
      <w:lvlText w:val="%6."/>
      <w:lvlJc w:val="right"/>
      <w:pPr>
        <w:ind w:left="5520" w:hanging="180"/>
      </w:pPr>
    </w:lvl>
    <w:lvl w:ilvl="6" w:tplc="DC7E63E0" w:tentative="1">
      <w:start w:val="1"/>
      <w:numFmt w:val="decimal"/>
      <w:lvlText w:val="%7."/>
      <w:lvlJc w:val="left"/>
      <w:pPr>
        <w:ind w:left="6240" w:hanging="360"/>
      </w:pPr>
    </w:lvl>
    <w:lvl w:ilvl="7" w:tplc="E4067F38" w:tentative="1">
      <w:start w:val="1"/>
      <w:numFmt w:val="lowerLetter"/>
      <w:lvlText w:val="%8."/>
      <w:lvlJc w:val="left"/>
      <w:pPr>
        <w:ind w:left="6960" w:hanging="360"/>
      </w:pPr>
    </w:lvl>
    <w:lvl w:ilvl="8" w:tplc="1E68C4D2" w:tentative="1">
      <w:start w:val="1"/>
      <w:numFmt w:val="lowerRoman"/>
      <w:lvlText w:val="%9."/>
      <w:lvlJc w:val="right"/>
      <w:pPr>
        <w:ind w:left="7680" w:hanging="180"/>
      </w:pPr>
    </w:lvl>
  </w:abstractNum>
  <w:abstractNum w:abstractNumId="21" w15:restartNumberingAfterBreak="0">
    <w:nsid w:val="269259B5"/>
    <w:multiLevelType w:val="hybridMultilevel"/>
    <w:tmpl w:val="91F254DA"/>
    <w:lvl w:ilvl="0" w:tplc="A0A42F4A">
      <w:start w:val="1"/>
      <w:numFmt w:val="lowerRoman"/>
      <w:lvlText w:val="(%1)"/>
      <w:lvlJc w:val="left"/>
      <w:pPr>
        <w:ind w:left="720" w:hanging="360"/>
      </w:pPr>
      <w:rPr>
        <w:rFonts w:hint="default"/>
        <w:b w:val="0"/>
        <w:i w:val="0"/>
        <w:spacing w:val="0"/>
        <w:sz w:val="20"/>
        <w:szCs w:val="20"/>
      </w:rPr>
    </w:lvl>
    <w:lvl w:ilvl="1" w:tplc="AF6C2E9E" w:tentative="1">
      <w:start w:val="1"/>
      <w:numFmt w:val="lowerLetter"/>
      <w:lvlText w:val="%2."/>
      <w:lvlJc w:val="left"/>
      <w:pPr>
        <w:ind w:left="1440" w:hanging="360"/>
      </w:pPr>
    </w:lvl>
    <w:lvl w:ilvl="2" w:tplc="C73E47C6" w:tentative="1">
      <w:start w:val="1"/>
      <w:numFmt w:val="lowerRoman"/>
      <w:lvlText w:val="%3."/>
      <w:lvlJc w:val="right"/>
      <w:pPr>
        <w:ind w:left="2160" w:hanging="180"/>
      </w:pPr>
    </w:lvl>
    <w:lvl w:ilvl="3" w:tplc="F92A4B68" w:tentative="1">
      <w:start w:val="1"/>
      <w:numFmt w:val="decimal"/>
      <w:lvlText w:val="%4."/>
      <w:lvlJc w:val="left"/>
      <w:pPr>
        <w:ind w:left="2880" w:hanging="360"/>
      </w:pPr>
    </w:lvl>
    <w:lvl w:ilvl="4" w:tplc="31444BF2" w:tentative="1">
      <w:start w:val="1"/>
      <w:numFmt w:val="lowerLetter"/>
      <w:lvlText w:val="%5."/>
      <w:lvlJc w:val="left"/>
      <w:pPr>
        <w:ind w:left="3600" w:hanging="360"/>
      </w:pPr>
    </w:lvl>
    <w:lvl w:ilvl="5" w:tplc="DFBCC874" w:tentative="1">
      <w:start w:val="1"/>
      <w:numFmt w:val="lowerRoman"/>
      <w:lvlText w:val="%6."/>
      <w:lvlJc w:val="right"/>
      <w:pPr>
        <w:ind w:left="4320" w:hanging="180"/>
      </w:pPr>
    </w:lvl>
    <w:lvl w:ilvl="6" w:tplc="A7F025DC" w:tentative="1">
      <w:start w:val="1"/>
      <w:numFmt w:val="decimal"/>
      <w:lvlText w:val="%7."/>
      <w:lvlJc w:val="left"/>
      <w:pPr>
        <w:ind w:left="5040" w:hanging="360"/>
      </w:pPr>
    </w:lvl>
    <w:lvl w:ilvl="7" w:tplc="B0D2E5BA" w:tentative="1">
      <w:start w:val="1"/>
      <w:numFmt w:val="lowerLetter"/>
      <w:lvlText w:val="%8."/>
      <w:lvlJc w:val="left"/>
      <w:pPr>
        <w:ind w:left="5760" w:hanging="360"/>
      </w:pPr>
    </w:lvl>
    <w:lvl w:ilvl="8" w:tplc="B532BD3E" w:tentative="1">
      <w:start w:val="1"/>
      <w:numFmt w:val="lowerRoman"/>
      <w:lvlText w:val="%9."/>
      <w:lvlJc w:val="right"/>
      <w:pPr>
        <w:ind w:left="6480" w:hanging="180"/>
      </w:pPr>
    </w:lvl>
  </w:abstractNum>
  <w:abstractNum w:abstractNumId="22" w15:restartNumberingAfterBreak="0">
    <w:nsid w:val="27BA3584"/>
    <w:multiLevelType w:val="hybridMultilevel"/>
    <w:tmpl w:val="AD1C773C"/>
    <w:lvl w:ilvl="0" w:tplc="D1F8BB3E">
      <w:start w:val="1"/>
      <w:numFmt w:val="lowerLetter"/>
      <w:lvlText w:val="(%1)"/>
      <w:lvlJc w:val="left"/>
      <w:pPr>
        <w:ind w:left="720" w:hanging="360"/>
      </w:pPr>
      <w:rPr>
        <w:rFonts w:ascii="Arial" w:hAnsi="Arial" w:cs="Arial" w:hint="default"/>
        <w:sz w:val="22"/>
        <w:szCs w:val="20"/>
      </w:rPr>
    </w:lvl>
    <w:lvl w:ilvl="1" w:tplc="CBC6F60A" w:tentative="1">
      <w:start w:val="1"/>
      <w:numFmt w:val="lowerLetter"/>
      <w:lvlText w:val="%2."/>
      <w:lvlJc w:val="left"/>
      <w:pPr>
        <w:ind w:left="1440" w:hanging="360"/>
      </w:pPr>
    </w:lvl>
    <w:lvl w:ilvl="2" w:tplc="985CB04A">
      <w:start w:val="1"/>
      <w:numFmt w:val="lowerRoman"/>
      <w:lvlText w:val="%3."/>
      <w:lvlJc w:val="right"/>
      <w:pPr>
        <w:ind w:left="2160" w:hanging="180"/>
      </w:pPr>
    </w:lvl>
    <w:lvl w:ilvl="3" w:tplc="B1FCBD30" w:tentative="1">
      <w:start w:val="1"/>
      <w:numFmt w:val="decimal"/>
      <w:lvlText w:val="%4."/>
      <w:lvlJc w:val="left"/>
      <w:pPr>
        <w:ind w:left="2880" w:hanging="360"/>
      </w:pPr>
    </w:lvl>
    <w:lvl w:ilvl="4" w:tplc="62444D52" w:tentative="1">
      <w:start w:val="1"/>
      <w:numFmt w:val="lowerLetter"/>
      <w:lvlText w:val="%5."/>
      <w:lvlJc w:val="left"/>
      <w:pPr>
        <w:ind w:left="3600" w:hanging="360"/>
      </w:pPr>
    </w:lvl>
    <w:lvl w:ilvl="5" w:tplc="A92EFCBA" w:tentative="1">
      <w:start w:val="1"/>
      <w:numFmt w:val="lowerRoman"/>
      <w:lvlText w:val="%6."/>
      <w:lvlJc w:val="right"/>
      <w:pPr>
        <w:ind w:left="4320" w:hanging="180"/>
      </w:pPr>
    </w:lvl>
    <w:lvl w:ilvl="6" w:tplc="18A494AA" w:tentative="1">
      <w:start w:val="1"/>
      <w:numFmt w:val="decimal"/>
      <w:lvlText w:val="%7."/>
      <w:lvlJc w:val="left"/>
      <w:pPr>
        <w:ind w:left="5040" w:hanging="360"/>
      </w:pPr>
    </w:lvl>
    <w:lvl w:ilvl="7" w:tplc="A232F9CC" w:tentative="1">
      <w:start w:val="1"/>
      <w:numFmt w:val="lowerLetter"/>
      <w:lvlText w:val="%8."/>
      <w:lvlJc w:val="left"/>
      <w:pPr>
        <w:ind w:left="5760" w:hanging="360"/>
      </w:pPr>
    </w:lvl>
    <w:lvl w:ilvl="8" w:tplc="D214EBDE" w:tentative="1">
      <w:start w:val="1"/>
      <w:numFmt w:val="lowerRoman"/>
      <w:lvlText w:val="%9."/>
      <w:lvlJc w:val="right"/>
      <w:pPr>
        <w:ind w:left="6480" w:hanging="180"/>
      </w:pPr>
    </w:lvl>
  </w:abstractNum>
  <w:abstractNum w:abstractNumId="23"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4D594C"/>
    <w:multiLevelType w:val="hybridMultilevel"/>
    <w:tmpl w:val="6A7EFE92"/>
    <w:lvl w:ilvl="0" w:tplc="87B6B186">
      <w:start w:val="1"/>
      <w:numFmt w:val="lowerRoman"/>
      <w:lvlText w:val="(%1)"/>
      <w:lvlJc w:val="left"/>
      <w:pPr>
        <w:ind w:left="720" w:hanging="360"/>
      </w:pPr>
      <w:rPr>
        <w:rFonts w:hint="default"/>
      </w:rPr>
    </w:lvl>
    <w:lvl w:ilvl="1" w:tplc="EAF8C9E6">
      <w:start w:val="1"/>
      <w:numFmt w:val="lowerRoman"/>
      <w:lvlText w:val="(%2)"/>
      <w:lvlJc w:val="left"/>
      <w:pPr>
        <w:ind w:left="1800" w:hanging="720"/>
      </w:pPr>
      <w:rPr>
        <w:rFonts w:eastAsia="Times New Roman" w:hint="default"/>
        <w:w w:val="100"/>
      </w:rPr>
    </w:lvl>
    <w:lvl w:ilvl="2" w:tplc="F64C8602" w:tentative="1">
      <w:start w:val="1"/>
      <w:numFmt w:val="lowerRoman"/>
      <w:lvlText w:val="%3."/>
      <w:lvlJc w:val="right"/>
      <w:pPr>
        <w:ind w:left="2160" w:hanging="180"/>
      </w:pPr>
    </w:lvl>
    <w:lvl w:ilvl="3" w:tplc="9048B4F0" w:tentative="1">
      <w:start w:val="1"/>
      <w:numFmt w:val="decimal"/>
      <w:lvlText w:val="%4."/>
      <w:lvlJc w:val="left"/>
      <w:pPr>
        <w:ind w:left="2880" w:hanging="360"/>
      </w:pPr>
    </w:lvl>
    <w:lvl w:ilvl="4" w:tplc="E886FC2A" w:tentative="1">
      <w:start w:val="1"/>
      <w:numFmt w:val="lowerLetter"/>
      <w:lvlText w:val="%5."/>
      <w:lvlJc w:val="left"/>
      <w:pPr>
        <w:ind w:left="3600" w:hanging="360"/>
      </w:pPr>
    </w:lvl>
    <w:lvl w:ilvl="5" w:tplc="829C3C20" w:tentative="1">
      <w:start w:val="1"/>
      <w:numFmt w:val="lowerRoman"/>
      <w:lvlText w:val="%6."/>
      <w:lvlJc w:val="right"/>
      <w:pPr>
        <w:ind w:left="4320" w:hanging="180"/>
      </w:pPr>
    </w:lvl>
    <w:lvl w:ilvl="6" w:tplc="176877B8" w:tentative="1">
      <w:start w:val="1"/>
      <w:numFmt w:val="decimal"/>
      <w:lvlText w:val="%7."/>
      <w:lvlJc w:val="left"/>
      <w:pPr>
        <w:ind w:left="5040" w:hanging="360"/>
      </w:pPr>
    </w:lvl>
    <w:lvl w:ilvl="7" w:tplc="2EB8A760" w:tentative="1">
      <w:start w:val="1"/>
      <w:numFmt w:val="lowerLetter"/>
      <w:lvlText w:val="%8."/>
      <w:lvlJc w:val="left"/>
      <w:pPr>
        <w:ind w:left="5760" w:hanging="360"/>
      </w:pPr>
    </w:lvl>
    <w:lvl w:ilvl="8" w:tplc="A42CA8E6" w:tentative="1">
      <w:start w:val="1"/>
      <w:numFmt w:val="lowerRoman"/>
      <w:lvlText w:val="%9."/>
      <w:lvlJc w:val="right"/>
      <w:pPr>
        <w:ind w:left="6480" w:hanging="180"/>
      </w:pPr>
    </w:lvl>
  </w:abstractNum>
  <w:abstractNum w:abstractNumId="25"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516FEA"/>
    <w:multiLevelType w:val="hybridMultilevel"/>
    <w:tmpl w:val="46A21F08"/>
    <w:lvl w:ilvl="0" w:tplc="8F90F6C6">
      <w:start w:val="1"/>
      <w:numFmt w:val="lowerRoman"/>
      <w:lvlText w:val="(%1)"/>
      <w:lvlJc w:val="left"/>
      <w:pPr>
        <w:ind w:left="720" w:hanging="360"/>
      </w:pPr>
      <w:rPr>
        <w:rFonts w:eastAsia="Times New Roman" w:hint="default"/>
        <w:w w:val="100"/>
        <w:sz w:val="20"/>
        <w:szCs w:val="20"/>
      </w:rPr>
    </w:lvl>
    <w:lvl w:ilvl="1" w:tplc="8F8A3C3E" w:tentative="1">
      <w:start w:val="1"/>
      <w:numFmt w:val="lowerLetter"/>
      <w:lvlText w:val="%2."/>
      <w:lvlJc w:val="left"/>
      <w:pPr>
        <w:ind w:left="1440" w:hanging="360"/>
      </w:pPr>
    </w:lvl>
    <w:lvl w:ilvl="2" w:tplc="60AAF12C">
      <w:start w:val="1"/>
      <w:numFmt w:val="lowerRoman"/>
      <w:lvlText w:val="%3."/>
      <w:lvlJc w:val="right"/>
      <w:pPr>
        <w:ind w:left="2160" w:hanging="180"/>
      </w:pPr>
    </w:lvl>
    <w:lvl w:ilvl="3" w:tplc="C43CDAF2" w:tentative="1">
      <w:start w:val="1"/>
      <w:numFmt w:val="decimal"/>
      <w:lvlText w:val="%4."/>
      <w:lvlJc w:val="left"/>
      <w:pPr>
        <w:ind w:left="2880" w:hanging="360"/>
      </w:pPr>
    </w:lvl>
    <w:lvl w:ilvl="4" w:tplc="30A4696C" w:tentative="1">
      <w:start w:val="1"/>
      <w:numFmt w:val="lowerLetter"/>
      <w:lvlText w:val="%5."/>
      <w:lvlJc w:val="left"/>
      <w:pPr>
        <w:ind w:left="3600" w:hanging="360"/>
      </w:pPr>
    </w:lvl>
    <w:lvl w:ilvl="5" w:tplc="BD922BC4" w:tentative="1">
      <w:start w:val="1"/>
      <w:numFmt w:val="lowerRoman"/>
      <w:lvlText w:val="%6."/>
      <w:lvlJc w:val="right"/>
      <w:pPr>
        <w:ind w:left="4320" w:hanging="180"/>
      </w:pPr>
    </w:lvl>
    <w:lvl w:ilvl="6" w:tplc="46ACC1E4" w:tentative="1">
      <w:start w:val="1"/>
      <w:numFmt w:val="decimal"/>
      <w:lvlText w:val="%7."/>
      <w:lvlJc w:val="left"/>
      <w:pPr>
        <w:ind w:left="5040" w:hanging="360"/>
      </w:pPr>
    </w:lvl>
    <w:lvl w:ilvl="7" w:tplc="0106AC62" w:tentative="1">
      <w:start w:val="1"/>
      <w:numFmt w:val="lowerLetter"/>
      <w:lvlText w:val="%8."/>
      <w:lvlJc w:val="left"/>
      <w:pPr>
        <w:ind w:left="5760" w:hanging="360"/>
      </w:pPr>
    </w:lvl>
    <w:lvl w:ilvl="8" w:tplc="A5BCA78E" w:tentative="1">
      <w:start w:val="1"/>
      <w:numFmt w:val="lowerRoman"/>
      <w:lvlText w:val="%9."/>
      <w:lvlJc w:val="right"/>
      <w:pPr>
        <w:ind w:left="6480" w:hanging="180"/>
      </w:pPr>
    </w:lvl>
  </w:abstractNum>
  <w:abstractNum w:abstractNumId="27" w15:restartNumberingAfterBreak="0">
    <w:nsid w:val="371A2043"/>
    <w:multiLevelType w:val="hybridMultilevel"/>
    <w:tmpl w:val="97F4D528"/>
    <w:lvl w:ilvl="0" w:tplc="F87653E8">
      <w:start w:val="1"/>
      <w:numFmt w:val="lowerLetter"/>
      <w:lvlText w:val="(%1)"/>
      <w:lvlJc w:val="left"/>
      <w:pPr>
        <w:ind w:left="720" w:hanging="360"/>
      </w:pPr>
      <w:rPr>
        <w:rFonts w:hint="default"/>
      </w:rPr>
    </w:lvl>
    <w:lvl w:ilvl="1" w:tplc="6ABE7AE6" w:tentative="1">
      <w:start w:val="1"/>
      <w:numFmt w:val="lowerLetter"/>
      <w:lvlText w:val="%2."/>
      <w:lvlJc w:val="left"/>
      <w:pPr>
        <w:ind w:left="1440" w:hanging="360"/>
      </w:pPr>
    </w:lvl>
    <w:lvl w:ilvl="2" w:tplc="416A1080" w:tentative="1">
      <w:start w:val="1"/>
      <w:numFmt w:val="lowerRoman"/>
      <w:lvlText w:val="%3."/>
      <w:lvlJc w:val="right"/>
      <w:pPr>
        <w:ind w:left="2160" w:hanging="180"/>
      </w:pPr>
    </w:lvl>
    <w:lvl w:ilvl="3" w:tplc="63D42782" w:tentative="1">
      <w:start w:val="1"/>
      <w:numFmt w:val="decimal"/>
      <w:lvlText w:val="%4."/>
      <w:lvlJc w:val="left"/>
      <w:pPr>
        <w:ind w:left="2880" w:hanging="360"/>
      </w:pPr>
    </w:lvl>
    <w:lvl w:ilvl="4" w:tplc="F10ACE58" w:tentative="1">
      <w:start w:val="1"/>
      <w:numFmt w:val="lowerLetter"/>
      <w:lvlText w:val="%5."/>
      <w:lvlJc w:val="left"/>
      <w:pPr>
        <w:ind w:left="3600" w:hanging="360"/>
      </w:pPr>
    </w:lvl>
    <w:lvl w:ilvl="5" w:tplc="911EB1A6" w:tentative="1">
      <w:start w:val="1"/>
      <w:numFmt w:val="lowerRoman"/>
      <w:lvlText w:val="%6."/>
      <w:lvlJc w:val="right"/>
      <w:pPr>
        <w:ind w:left="4320" w:hanging="180"/>
      </w:pPr>
    </w:lvl>
    <w:lvl w:ilvl="6" w:tplc="E0EAEB8C" w:tentative="1">
      <w:start w:val="1"/>
      <w:numFmt w:val="decimal"/>
      <w:lvlText w:val="%7."/>
      <w:lvlJc w:val="left"/>
      <w:pPr>
        <w:ind w:left="5040" w:hanging="360"/>
      </w:pPr>
    </w:lvl>
    <w:lvl w:ilvl="7" w:tplc="13086896" w:tentative="1">
      <w:start w:val="1"/>
      <w:numFmt w:val="lowerLetter"/>
      <w:lvlText w:val="%8."/>
      <w:lvlJc w:val="left"/>
      <w:pPr>
        <w:ind w:left="5760" w:hanging="360"/>
      </w:pPr>
    </w:lvl>
    <w:lvl w:ilvl="8" w:tplc="A1C69520" w:tentative="1">
      <w:start w:val="1"/>
      <w:numFmt w:val="lowerRoman"/>
      <w:lvlText w:val="%9."/>
      <w:lvlJc w:val="right"/>
      <w:pPr>
        <w:ind w:left="6480" w:hanging="180"/>
      </w:pPr>
    </w:lvl>
  </w:abstractNum>
  <w:abstractNum w:abstractNumId="28"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15:restartNumberingAfterBreak="0">
    <w:nsid w:val="4B280F53"/>
    <w:multiLevelType w:val="hybridMultilevel"/>
    <w:tmpl w:val="565426DE"/>
    <w:lvl w:ilvl="0" w:tplc="02189FFC">
      <w:start w:val="1"/>
      <w:numFmt w:val="lowerLetter"/>
      <w:lvlText w:val="(%1)"/>
      <w:lvlJc w:val="left"/>
      <w:pPr>
        <w:ind w:left="704" w:hanging="420"/>
      </w:pPr>
      <w:rPr>
        <w:rFonts w:hint="default"/>
      </w:rPr>
    </w:lvl>
    <w:lvl w:ilvl="1" w:tplc="FF2007CA">
      <w:start w:val="1"/>
      <w:numFmt w:val="lowerRoman"/>
      <w:lvlText w:val="%2."/>
      <w:lvlJc w:val="center"/>
      <w:pPr>
        <w:ind w:left="1364" w:hanging="360"/>
      </w:pPr>
      <w:rPr>
        <w:rFonts w:hint="default"/>
      </w:rPr>
    </w:lvl>
    <w:lvl w:ilvl="2" w:tplc="1E448CA6" w:tentative="1">
      <w:start w:val="1"/>
      <w:numFmt w:val="lowerRoman"/>
      <w:lvlText w:val="%3."/>
      <w:lvlJc w:val="right"/>
      <w:pPr>
        <w:ind w:left="2084" w:hanging="180"/>
      </w:pPr>
    </w:lvl>
    <w:lvl w:ilvl="3" w:tplc="2BB4FDAE" w:tentative="1">
      <w:start w:val="1"/>
      <w:numFmt w:val="decimal"/>
      <w:lvlText w:val="%4."/>
      <w:lvlJc w:val="left"/>
      <w:pPr>
        <w:ind w:left="2804" w:hanging="360"/>
      </w:pPr>
    </w:lvl>
    <w:lvl w:ilvl="4" w:tplc="9A007FD4" w:tentative="1">
      <w:start w:val="1"/>
      <w:numFmt w:val="lowerLetter"/>
      <w:lvlText w:val="%5."/>
      <w:lvlJc w:val="left"/>
      <w:pPr>
        <w:ind w:left="3524" w:hanging="360"/>
      </w:pPr>
    </w:lvl>
    <w:lvl w:ilvl="5" w:tplc="7C762D82" w:tentative="1">
      <w:start w:val="1"/>
      <w:numFmt w:val="lowerRoman"/>
      <w:lvlText w:val="%6."/>
      <w:lvlJc w:val="right"/>
      <w:pPr>
        <w:ind w:left="4244" w:hanging="180"/>
      </w:pPr>
    </w:lvl>
    <w:lvl w:ilvl="6" w:tplc="1E029D2C" w:tentative="1">
      <w:start w:val="1"/>
      <w:numFmt w:val="decimal"/>
      <w:lvlText w:val="%7."/>
      <w:lvlJc w:val="left"/>
      <w:pPr>
        <w:ind w:left="4964" w:hanging="360"/>
      </w:pPr>
    </w:lvl>
    <w:lvl w:ilvl="7" w:tplc="4C500D16" w:tentative="1">
      <w:start w:val="1"/>
      <w:numFmt w:val="lowerLetter"/>
      <w:lvlText w:val="%8."/>
      <w:lvlJc w:val="left"/>
      <w:pPr>
        <w:ind w:left="5684" w:hanging="360"/>
      </w:pPr>
    </w:lvl>
    <w:lvl w:ilvl="8" w:tplc="50F8A0AA" w:tentative="1">
      <w:start w:val="1"/>
      <w:numFmt w:val="lowerRoman"/>
      <w:lvlText w:val="%9."/>
      <w:lvlJc w:val="right"/>
      <w:pPr>
        <w:ind w:left="6404" w:hanging="180"/>
      </w:pPr>
    </w:lvl>
  </w:abstractNum>
  <w:abstractNum w:abstractNumId="31" w15:restartNumberingAfterBreak="0">
    <w:nsid w:val="4FDD16C4"/>
    <w:multiLevelType w:val="hybridMultilevel"/>
    <w:tmpl w:val="6D1C391E"/>
    <w:lvl w:ilvl="0" w:tplc="8AE88FFC">
      <w:start w:val="1"/>
      <w:numFmt w:val="lowerRoman"/>
      <w:lvlText w:val="(%1)"/>
      <w:lvlJc w:val="left"/>
      <w:pPr>
        <w:tabs>
          <w:tab w:val="num" w:pos="1080"/>
        </w:tabs>
        <w:ind w:left="1080" w:hanging="360"/>
      </w:pPr>
      <w:rPr>
        <w:rFonts w:eastAsia="Times New Roman" w:hint="default"/>
        <w:b w:val="0"/>
        <w:spacing w:val="0"/>
        <w:w w:val="100"/>
        <w:sz w:val="22"/>
        <w:szCs w:val="20"/>
      </w:rPr>
    </w:lvl>
    <w:lvl w:ilvl="1" w:tplc="3C387B2C" w:tentative="1">
      <w:start w:val="1"/>
      <w:numFmt w:val="lowerLetter"/>
      <w:lvlText w:val="%2."/>
      <w:lvlJc w:val="left"/>
      <w:pPr>
        <w:tabs>
          <w:tab w:val="num" w:pos="1440"/>
        </w:tabs>
        <w:ind w:left="1440" w:hanging="360"/>
      </w:pPr>
      <w:rPr>
        <w:rFonts w:cs="Times New Roman"/>
      </w:rPr>
    </w:lvl>
    <w:lvl w:ilvl="2" w:tplc="A426E8B8" w:tentative="1">
      <w:start w:val="1"/>
      <w:numFmt w:val="lowerRoman"/>
      <w:lvlText w:val="%3."/>
      <w:lvlJc w:val="right"/>
      <w:pPr>
        <w:tabs>
          <w:tab w:val="num" w:pos="2160"/>
        </w:tabs>
        <w:ind w:left="2160" w:hanging="180"/>
      </w:pPr>
      <w:rPr>
        <w:rFonts w:cs="Times New Roman"/>
      </w:rPr>
    </w:lvl>
    <w:lvl w:ilvl="3" w:tplc="88E2B5E4" w:tentative="1">
      <w:start w:val="1"/>
      <w:numFmt w:val="decimal"/>
      <w:lvlText w:val="%4."/>
      <w:lvlJc w:val="left"/>
      <w:pPr>
        <w:tabs>
          <w:tab w:val="num" w:pos="2880"/>
        </w:tabs>
        <w:ind w:left="2880" w:hanging="360"/>
      </w:pPr>
      <w:rPr>
        <w:rFonts w:cs="Times New Roman"/>
      </w:rPr>
    </w:lvl>
    <w:lvl w:ilvl="4" w:tplc="6B9E1F00" w:tentative="1">
      <w:start w:val="1"/>
      <w:numFmt w:val="lowerLetter"/>
      <w:lvlText w:val="%5."/>
      <w:lvlJc w:val="left"/>
      <w:pPr>
        <w:tabs>
          <w:tab w:val="num" w:pos="3600"/>
        </w:tabs>
        <w:ind w:left="3600" w:hanging="360"/>
      </w:pPr>
      <w:rPr>
        <w:rFonts w:cs="Times New Roman"/>
      </w:rPr>
    </w:lvl>
    <w:lvl w:ilvl="5" w:tplc="A4C25708" w:tentative="1">
      <w:start w:val="1"/>
      <w:numFmt w:val="lowerRoman"/>
      <w:lvlText w:val="%6."/>
      <w:lvlJc w:val="right"/>
      <w:pPr>
        <w:tabs>
          <w:tab w:val="num" w:pos="4320"/>
        </w:tabs>
        <w:ind w:left="4320" w:hanging="180"/>
      </w:pPr>
      <w:rPr>
        <w:rFonts w:cs="Times New Roman"/>
      </w:rPr>
    </w:lvl>
    <w:lvl w:ilvl="6" w:tplc="20801594" w:tentative="1">
      <w:start w:val="1"/>
      <w:numFmt w:val="decimal"/>
      <w:lvlText w:val="%7."/>
      <w:lvlJc w:val="left"/>
      <w:pPr>
        <w:tabs>
          <w:tab w:val="num" w:pos="5040"/>
        </w:tabs>
        <w:ind w:left="5040" w:hanging="360"/>
      </w:pPr>
      <w:rPr>
        <w:rFonts w:cs="Times New Roman"/>
      </w:rPr>
    </w:lvl>
    <w:lvl w:ilvl="7" w:tplc="36CE0B48" w:tentative="1">
      <w:start w:val="1"/>
      <w:numFmt w:val="lowerLetter"/>
      <w:lvlText w:val="%8."/>
      <w:lvlJc w:val="left"/>
      <w:pPr>
        <w:tabs>
          <w:tab w:val="num" w:pos="5760"/>
        </w:tabs>
        <w:ind w:left="5760" w:hanging="360"/>
      </w:pPr>
      <w:rPr>
        <w:rFonts w:cs="Times New Roman"/>
      </w:rPr>
    </w:lvl>
    <w:lvl w:ilvl="8" w:tplc="4740B9F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E7545B"/>
    <w:multiLevelType w:val="hybridMultilevel"/>
    <w:tmpl w:val="75F0E338"/>
    <w:lvl w:ilvl="0" w:tplc="75F23F0E">
      <w:start w:val="1"/>
      <w:numFmt w:val="lowerRoman"/>
      <w:lvlText w:val="(%1)"/>
      <w:lvlJc w:val="left"/>
      <w:pPr>
        <w:ind w:left="720" w:hanging="360"/>
      </w:pPr>
      <w:rPr>
        <w:rFonts w:hint="default"/>
        <w:b w:val="0"/>
      </w:rPr>
    </w:lvl>
    <w:lvl w:ilvl="1" w:tplc="5EAC72AA" w:tentative="1">
      <w:start w:val="1"/>
      <w:numFmt w:val="lowerLetter"/>
      <w:lvlText w:val="%2."/>
      <w:lvlJc w:val="left"/>
      <w:pPr>
        <w:ind w:left="1440" w:hanging="360"/>
      </w:pPr>
    </w:lvl>
    <w:lvl w:ilvl="2" w:tplc="794CD2E6" w:tentative="1">
      <w:start w:val="1"/>
      <w:numFmt w:val="lowerRoman"/>
      <w:lvlText w:val="%3."/>
      <w:lvlJc w:val="right"/>
      <w:pPr>
        <w:ind w:left="2160" w:hanging="180"/>
      </w:pPr>
    </w:lvl>
    <w:lvl w:ilvl="3" w:tplc="5CEE70D0" w:tentative="1">
      <w:start w:val="1"/>
      <w:numFmt w:val="decimal"/>
      <w:lvlText w:val="%4."/>
      <w:lvlJc w:val="left"/>
      <w:pPr>
        <w:ind w:left="2880" w:hanging="360"/>
      </w:pPr>
    </w:lvl>
    <w:lvl w:ilvl="4" w:tplc="35BA8180" w:tentative="1">
      <w:start w:val="1"/>
      <w:numFmt w:val="lowerLetter"/>
      <w:lvlText w:val="%5."/>
      <w:lvlJc w:val="left"/>
      <w:pPr>
        <w:ind w:left="3600" w:hanging="360"/>
      </w:pPr>
    </w:lvl>
    <w:lvl w:ilvl="5" w:tplc="8ADCAAD0" w:tentative="1">
      <w:start w:val="1"/>
      <w:numFmt w:val="lowerRoman"/>
      <w:lvlText w:val="%6."/>
      <w:lvlJc w:val="right"/>
      <w:pPr>
        <w:ind w:left="4320" w:hanging="180"/>
      </w:pPr>
    </w:lvl>
    <w:lvl w:ilvl="6" w:tplc="7CD688CC" w:tentative="1">
      <w:start w:val="1"/>
      <w:numFmt w:val="decimal"/>
      <w:lvlText w:val="%7."/>
      <w:lvlJc w:val="left"/>
      <w:pPr>
        <w:ind w:left="5040" w:hanging="360"/>
      </w:pPr>
    </w:lvl>
    <w:lvl w:ilvl="7" w:tplc="761A3C3C" w:tentative="1">
      <w:start w:val="1"/>
      <w:numFmt w:val="lowerLetter"/>
      <w:lvlText w:val="%8."/>
      <w:lvlJc w:val="left"/>
      <w:pPr>
        <w:ind w:left="5760" w:hanging="360"/>
      </w:pPr>
    </w:lvl>
    <w:lvl w:ilvl="8" w:tplc="54F0FC5E" w:tentative="1">
      <w:start w:val="1"/>
      <w:numFmt w:val="lowerRoman"/>
      <w:lvlText w:val="%9."/>
      <w:lvlJc w:val="right"/>
      <w:pPr>
        <w:ind w:left="6480" w:hanging="180"/>
      </w:pPr>
    </w:lvl>
  </w:abstractNum>
  <w:abstractNum w:abstractNumId="33" w15:restartNumberingAfterBreak="0">
    <w:nsid w:val="5A971C1F"/>
    <w:multiLevelType w:val="hybridMultilevel"/>
    <w:tmpl w:val="399225B8"/>
    <w:lvl w:ilvl="0" w:tplc="CA54B452">
      <w:start w:val="1"/>
      <w:numFmt w:val="lowerRoman"/>
      <w:lvlText w:val="(%1)"/>
      <w:lvlJc w:val="left"/>
      <w:pPr>
        <w:ind w:left="1429" w:hanging="720"/>
      </w:pPr>
      <w:rPr>
        <w:rFonts w:hint="default"/>
      </w:rPr>
    </w:lvl>
    <w:lvl w:ilvl="1" w:tplc="25326EE8" w:tentative="1">
      <w:start w:val="1"/>
      <w:numFmt w:val="lowerLetter"/>
      <w:lvlText w:val="%2."/>
      <w:lvlJc w:val="left"/>
      <w:pPr>
        <w:ind w:left="1789" w:hanging="360"/>
      </w:pPr>
    </w:lvl>
    <w:lvl w:ilvl="2" w:tplc="15B2C07E">
      <w:start w:val="1"/>
      <w:numFmt w:val="lowerRoman"/>
      <w:lvlText w:val="%3."/>
      <w:lvlJc w:val="right"/>
      <w:pPr>
        <w:ind w:left="2509" w:hanging="180"/>
      </w:pPr>
    </w:lvl>
    <w:lvl w:ilvl="3" w:tplc="12CEA892" w:tentative="1">
      <w:start w:val="1"/>
      <w:numFmt w:val="decimal"/>
      <w:lvlText w:val="%4."/>
      <w:lvlJc w:val="left"/>
      <w:pPr>
        <w:ind w:left="3229" w:hanging="360"/>
      </w:pPr>
    </w:lvl>
    <w:lvl w:ilvl="4" w:tplc="5F76A28C" w:tentative="1">
      <w:start w:val="1"/>
      <w:numFmt w:val="lowerLetter"/>
      <w:lvlText w:val="%5."/>
      <w:lvlJc w:val="left"/>
      <w:pPr>
        <w:ind w:left="3949" w:hanging="360"/>
      </w:pPr>
    </w:lvl>
    <w:lvl w:ilvl="5" w:tplc="81EA6AFE" w:tentative="1">
      <w:start w:val="1"/>
      <w:numFmt w:val="lowerRoman"/>
      <w:lvlText w:val="%6."/>
      <w:lvlJc w:val="right"/>
      <w:pPr>
        <w:ind w:left="4669" w:hanging="180"/>
      </w:pPr>
    </w:lvl>
    <w:lvl w:ilvl="6" w:tplc="1FB8543E" w:tentative="1">
      <w:start w:val="1"/>
      <w:numFmt w:val="decimal"/>
      <w:lvlText w:val="%7."/>
      <w:lvlJc w:val="left"/>
      <w:pPr>
        <w:ind w:left="5389" w:hanging="360"/>
      </w:pPr>
    </w:lvl>
    <w:lvl w:ilvl="7" w:tplc="634600AE" w:tentative="1">
      <w:start w:val="1"/>
      <w:numFmt w:val="lowerLetter"/>
      <w:lvlText w:val="%8."/>
      <w:lvlJc w:val="left"/>
      <w:pPr>
        <w:ind w:left="6109" w:hanging="360"/>
      </w:pPr>
    </w:lvl>
    <w:lvl w:ilvl="8" w:tplc="8BCA5F84" w:tentative="1">
      <w:start w:val="1"/>
      <w:numFmt w:val="lowerRoman"/>
      <w:lvlText w:val="%9."/>
      <w:lvlJc w:val="right"/>
      <w:pPr>
        <w:ind w:left="6829" w:hanging="180"/>
      </w:pPr>
    </w:lvl>
  </w:abstractNum>
  <w:abstractNum w:abstractNumId="34" w15:restartNumberingAfterBreak="0">
    <w:nsid w:val="5C4916D7"/>
    <w:multiLevelType w:val="hybridMultilevel"/>
    <w:tmpl w:val="6A7EFE92"/>
    <w:lvl w:ilvl="0" w:tplc="6F78DB9A">
      <w:start w:val="1"/>
      <w:numFmt w:val="lowerRoman"/>
      <w:lvlText w:val="(%1)"/>
      <w:lvlJc w:val="left"/>
      <w:pPr>
        <w:ind w:left="720" w:hanging="360"/>
      </w:pPr>
      <w:rPr>
        <w:rFonts w:hint="default"/>
      </w:rPr>
    </w:lvl>
    <w:lvl w:ilvl="1" w:tplc="58729BBC">
      <w:start w:val="1"/>
      <w:numFmt w:val="lowerRoman"/>
      <w:lvlText w:val="(%2)"/>
      <w:lvlJc w:val="left"/>
      <w:pPr>
        <w:ind w:left="1800" w:hanging="720"/>
      </w:pPr>
      <w:rPr>
        <w:rFonts w:eastAsia="Times New Roman" w:hint="default"/>
        <w:w w:val="100"/>
      </w:rPr>
    </w:lvl>
    <w:lvl w:ilvl="2" w:tplc="16E47CE4" w:tentative="1">
      <w:start w:val="1"/>
      <w:numFmt w:val="lowerRoman"/>
      <w:lvlText w:val="%3."/>
      <w:lvlJc w:val="right"/>
      <w:pPr>
        <w:ind w:left="2160" w:hanging="180"/>
      </w:pPr>
    </w:lvl>
    <w:lvl w:ilvl="3" w:tplc="C5D04C86" w:tentative="1">
      <w:start w:val="1"/>
      <w:numFmt w:val="decimal"/>
      <w:lvlText w:val="%4."/>
      <w:lvlJc w:val="left"/>
      <w:pPr>
        <w:ind w:left="2880" w:hanging="360"/>
      </w:pPr>
    </w:lvl>
    <w:lvl w:ilvl="4" w:tplc="FF26E464" w:tentative="1">
      <w:start w:val="1"/>
      <w:numFmt w:val="lowerLetter"/>
      <w:lvlText w:val="%5."/>
      <w:lvlJc w:val="left"/>
      <w:pPr>
        <w:ind w:left="3600" w:hanging="360"/>
      </w:pPr>
    </w:lvl>
    <w:lvl w:ilvl="5" w:tplc="6DA4AEB2" w:tentative="1">
      <w:start w:val="1"/>
      <w:numFmt w:val="lowerRoman"/>
      <w:lvlText w:val="%6."/>
      <w:lvlJc w:val="right"/>
      <w:pPr>
        <w:ind w:left="4320" w:hanging="180"/>
      </w:pPr>
    </w:lvl>
    <w:lvl w:ilvl="6" w:tplc="8E0E4824" w:tentative="1">
      <w:start w:val="1"/>
      <w:numFmt w:val="decimal"/>
      <w:lvlText w:val="%7."/>
      <w:lvlJc w:val="left"/>
      <w:pPr>
        <w:ind w:left="5040" w:hanging="360"/>
      </w:pPr>
    </w:lvl>
    <w:lvl w:ilvl="7" w:tplc="07C69C10" w:tentative="1">
      <w:start w:val="1"/>
      <w:numFmt w:val="lowerLetter"/>
      <w:lvlText w:val="%8."/>
      <w:lvlJc w:val="left"/>
      <w:pPr>
        <w:ind w:left="5760" w:hanging="360"/>
      </w:pPr>
    </w:lvl>
    <w:lvl w:ilvl="8" w:tplc="90187E80" w:tentative="1">
      <w:start w:val="1"/>
      <w:numFmt w:val="lowerRoman"/>
      <w:lvlText w:val="%9."/>
      <w:lvlJc w:val="right"/>
      <w:pPr>
        <w:ind w:left="6480" w:hanging="180"/>
      </w:pPr>
    </w:lvl>
  </w:abstractNum>
  <w:abstractNum w:abstractNumId="35" w15:restartNumberingAfterBreak="0">
    <w:nsid w:val="5E6D541C"/>
    <w:multiLevelType w:val="hybridMultilevel"/>
    <w:tmpl w:val="EFB2304E"/>
    <w:lvl w:ilvl="0" w:tplc="A4B40860">
      <w:start w:val="1"/>
      <w:numFmt w:val="lowerLetter"/>
      <w:lvlText w:val="(%1)"/>
      <w:lvlJc w:val="left"/>
      <w:pPr>
        <w:ind w:left="720" w:hanging="360"/>
      </w:pPr>
      <w:rPr>
        <w:rFonts w:cs="Times New Roman" w:hint="default"/>
      </w:rPr>
    </w:lvl>
    <w:lvl w:ilvl="1" w:tplc="9CC238A2" w:tentative="1">
      <w:start w:val="1"/>
      <w:numFmt w:val="lowerLetter"/>
      <w:lvlText w:val="%2."/>
      <w:lvlJc w:val="left"/>
      <w:pPr>
        <w:ind w:left="1440" w:hanging="360"/>
      </w:pPr>
    </w:lvl>
    <w:lvl w:ilvl="2" w:tplc="26DACC14" w:tentative="1">
      <w:start w:val="1"/>
      <w:numFmt w:val="lowerRoman"/>
      <w:lvlText w:val="%3."/>
      <w:lvlJc w:val="right"/>
      <w:pPr>
        <w:ind w:left="2160" w:hanging="180"/>
      </w:pPr>
    </w:lvl>
    <w:lvl w:ilvl="3" w:tplc="D6309D12" w:tentative="1">
      <w:start w:val="1"/>
      <w:numFmt w:val="decimal"/>
      <w:lvlText w:val="%4."/>
      <w:lvlJc w:val="left"/>
      <w:pPr>
        <w:ind w:left="2880" w:hanging="360"/>
      </w:pPr>
    </w:lvl>
    <w:lvl w:ilvl="4" w:tplc="5D3C33B4" w:tentative="1">
      <w:start w:val="1"/>
      <w:numFmt w:val="lowerLetter"/>
      <w:lvlText w:val="%5."/>
      <w:lvlJc w:val="left"/>
      <w:pPr>
        <w:ind w:left="3600" w:hanging="360"/>
      </w:pPr>
    </w:lvl>
    <w:lvl w:ilvl="5" w:tplc="EDE8A3EA" w:tentative="1">
      <w:start w:val="1"/>
      <w:numFmt w:val="lowerRoman"/>
      <w:lvlText w:val="%6."/>
      <w:lvlJc w:val="right"/>
      <w:pPr>
        <w:ind w:left="4320" w:hanging="180"/>
      </w:pPr>
    </w:lvl>
    <w:lvl w:ilvl="6" w:tplc="E7B82320" w:tentative="1">
      <w:start w:val="1"/>
      <w:numFmt w:val="decimal"/>
      <w:lvlText w:val="%7."/>
      <w:lvlJc w:val="left"/>
      <w:pPr>
        <w:ind w:left="5040" w:hanging="360"/>
      </w:pPr>
    </w:lvl>
    <w:lvl w:ilvl="7" w:tplc="0DA850F4" w:tentative="1">
      <w:start w:val="1"/>
      <w:numFmt w:val="lowerLetter"/>
      <w:lvlText w:val="%8."/>
      <w:lvlJc w:val="left"/>
      <w:pPr>
        <w:ind w:left="5760" w:hanging="360"/>
      </w:pPr>
    </w:lvl>
    <w:lvl w:ilvl="8" w:tplc="070A4FDA" w:tentative="1">
      <w:start w:val="1"/>
      <w:numFmt w:val="lowerRoman"/>
      <w:lvlText w:val="%9."/>
      <w:lvlJc w:val="right"/>
      <w:pPr>
        <w:ind w:left="6480" w:hanging="180"/>
      </w:pPr>
    </w:lvl>
  </w:abstractNum>
  <w:abstractNum w:abstractNumId="36" w15:restartNumberingAfterBreak="0">
    <w:nsid w:val="634638EA"/>
    <w:multiLevelType w:val="hybridMultilevel"/>
    <w:tmpl w:val="75F0E338"/>
    <w:lvl w:ilvl="0" w:tplc="B03ECBD2">
      <w:start w:val="1"/>
      <w:numFmt w:val="lowerRoman"/>
      <w:lvlText w:val="(%1)"/>
      <w:lvlJc w:val="left"/>
      <w:pPr>
        <w:ind w:left="720" w:hanging="360"/>
      </w:pPr>
      <w:rPr>
        <w:rFonts w:hint="default"/>
        <w:b w:val="0"/>
      </w:rPr>
    </w:lvl>
    <w:lvl w:ilvl="1" w:tplc="B7941A5E" w:tentative="1">
      <w:start w:val="1"/>
      <w:numFmt w:val="lowerLetter"/>
      <w:lvlText w:val="%2."/>
      <w:lvlJc w:val="left"/>
      <w:pPr>
        <w:ind w:left="1440" w:hanging="360"/>
      </w:pPr>
    </w:lvl>
    <w:lvl w:ilvl="2" w:tplc="F5B24846" w:tentative="1">
      <w:start w:val="1"/>
      <w:numFmt w:val="lowerRoman"/>
      <w:lvlText w:val="%3."/>
      <w:lvlJc w:val="right"/>
      <w:pPr>
        <w:ind w:left="2160" w:hanging="180"/>
      </w:pPr>
    </w:lvl>
    <w:lvl w:ilvl="3" w:tplc="389878F6" w:tentative="1">
      <w:start w:val="1"/>
      <w:numFmt w:val="decimal"/>
      <w:lvlText w:val="%4."/>
      <w:lvlJc w:val="left"/>
      <w:pPr>
        <w:ind w:left="2880" w:hanging="360"/>
      </w:pPr>
    </w:lvl>
    <w:lvl w:ilvl="4" w:tplc="E5601270" w:tentative="1">
      <w:start w:val="1"/>
      <w:numFmt w:val="lowerLetter"/>
      <w:lvlText w:val="%5."/>
      <w:lvlJc w:val="left"/>
      <w:pPr>
        <w:ind w:left="3600" w:hanging="360"/>
      </w:pPr>
    </w:lvl>
    <w:lvl w:ilvl="5" w:tplc="BB12378C" w:tentative="1">
      <w:start w:val="1"/>
      <w:numFmt w:val="lowerRoman"/>
      <w:lvlText w:val="%6."/>
      <w:lvlJc w:val="right"/>
      <w:pPr>
        <w:ind w:left="4320" w:hanging="180"/>
      </w:pPr>
    </w:lvl>
    <w:lvl w:ilvl="6" w:tplc="4E72D2E2" w:tentative="1">
      <w:start w:val="1"/>
      <w:numFmt w:val="decimal"/>
      <w:lvlText w:val="%7."/>
      <w:lvlJc w:val="left"/>
      <w:pPr>
        <w:ind w:left="5040" w:hanging="360"/>
      </w:pPr>
    </w:lvl>
    <w:lvl w:ilvl="7" w:tplc="BAF24C3C" w:tentative="1">
      <w:start w:val="1"/>
      <w:numFmt w:val="lowerLetter"/>
      <w:lvlText w:val="%8."/>
      <w:lvlJc w:val="left"/>
      <w:pPr>
        <w:ind w:left="5760" w:hanging="360"/>
      </w:pPr>
    </w:lvl>
    <w:lvl w:ilvl="8" w:tplc="133C6ACC" w:tentative="1">
      <w:start w:val="1"/>
      <w:numFmt w:val="lowerRoman"/>
      <w:lvlText w:val="%9."/>
      <w:lvlJc w:val="right"/>
      <w:pPr>
        <w:ind w:left="6480" w:hanging="180"/>
      </w:pPr>
    </w:lvl>
  </w:abstractNum>
  <w:abstractNum w:abstractNumId="37" w15:restartNumberingAfterBreak="0">
    <w:nsid w:val="69390D2F"/>
    <w:multiLevelType w:val="hybridMultilevel"/>
    <w:tmpl w:val="677A467E"/>
    <w:lvl w:ilvl="0" w:tplc="1A8267EA">
      <w:start w:val="1"/>
      <w:numFmt w:val="lowerLetter"/>
      <w:lvlText w:val="(%1)"/>
      <w:lvlJc w:val="left"/>
      <w:pPr>
        <w:tabs>
          <w:tab w:val="num" w:pos="1080"/>
        </w:tabs>
        <w:ind w:left="1080" w:hanging="360"/>
      </w:pPr>
      <w:rPr>
        <w:rFonts w:cs="Times New Roman" w:hint="default"/>
        <w:b w:val="0"/>
        <w:spacing w:val="0"/>
        <w:sz w:val="20"/>
        <w:szCs w:val="20"/>
      </w:rPr>
    </w:lvl>
    <w:lvl w:ilvl="1" w:tplc="036ED43A">
      <w:start w:val="1"/>
      <w:numFmt w:val="lowerRoman"/>
      <w:lvlText w:val="(%2)"/>
      <w:lvlJc w:val="left"/>
      <w:pPr>
        <w:tabs>
          <w:tab w:val="num" w:pos="1440"/>
        </w:tabs>
        <w:ind w:left="1440" w:hanging="360"/>
      </w:pPr>
      <w:rPr>
        <w:rFonts w:hint="default"/>
        <w:b w:val="0"/>
        <w:spacing w:val="0"/>
      </w:rPr>
    </w:lvl>
    <w:lvl w:ilvl="2" w:tplc="5C6E7D66">
      <w:start w:val="1"/>
      <w:numFmt w:val="decimal"/>
      <w:lvlText w:val="%3."/>
      <w:lvlJc w:val="left"/>
      <w:pPr>
        <w:tabs>
          <w:tab w:val="num" w:pos="2160"/>
        </w:tabs>
        <w:ind w:left="2160" w:hanging="180"/>
      </w:pPr>
    </w:lvl>
    <w:lvl w:ilvl="3" w:tplc="12A806E8">
      <w:start w:val="1"/>
      <w:numFmt w:val="decimal"/>
      <w:lvlText w:val="%4."/>
      <w:lvlJc w:val="left"/>
      <w:pPr>
        <w:tabs>
          <w:tab w:val="num" w:pos="2880"/>
        </w:tabs>
        <w:ind w:left="2880" w:hanging="360"/>
      </w:pPr>
    </w:lvl>
    <w:lvl w:ilvl="4" w:tplc="3B104EBC" w:tentative="1">
      <w:start w:val="1"/>
      <w:numFmt w:val="lowerLetter"/>
      <w:lvlText w:val="%5."/>
      <w:lvlJc w:val="left"/>
      <w:pPr>
        <w:tabs>
          <w:tab w:val="num" w:pos="3600"/>
        </w:tabs>
        <w:ind w:left="3600" w:hanging="360"/>
      </w:pPr>
    </w:lvl>
    <w:lvl w:ilvl="5" w:tplc="E6FC0A06" w:tentative="1">
      <w:start w:val="1"/>
      <w:numFmt w:val="lowerRoman"/>
      <w:lvlText w:val="%6."/>
      <w:lvlJc w:val="right"/>
      <w:pPr>
        <w:tabs>
          <w:tab w:val="num" w:pos="4320"/>
        </w:tabs>
        <w:ind w:left="4320" w:hanging="180"/>
      </w:pPr>
    </w:lvl>
    <w:lvl w:ilvl="6" w:tplc="F39657CE" w:tentative="1">
      <w:start w:val="1"/>
      <w:numFmt w:val="decimal"/>
      <w:lvlText w:val="%7."/>
      <w:lvlJc w:val="left"/>
      <w:pPr>
        <w:tabs>
          <w:tab w:val="num" w:pos="5040"/>
        </w:tabs>
        <w:ind w:left="5040" w:hanging="360"/>
      </w:pPr>
    </w:lvl>
    <w:lvl w:ilvl="7" w:tplc="E8209D76" w:tentative="1">
      <w:start w:val="1"/>
      <w:numFmt w:val="lowerLetter"/>
      <w:lvlText w:val="%8."/>
      <w:lvlJc w:val="left"/>
      <w:pPr>
        <w:tabs>
          <w:tab w:val="num" w:pos="5760"/>
        </w:tabs>
        <w:ind w:left="5760" w:hanging="360"/>
      </w:pPr>
    </w:lvl>
    <w:lvl w:ilvl="8" w:tplc="30C6A01C"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E155EC0"/>
    <w:multiLevelType w:val="hybridMultilevel"/>
    <w:tmpl w:val="78FE131C"/>
    <w:lvl w:ilvl="0" w:tplc="EA3EEFBA">
      <w:start w:val="1"/>
      <w:numFmt w:val="lowerRoman"/>
      <w:lvlText w:val="(%1)"/>
      <w:lvlJc w:val="left"/>
      <w:pPr>
        <w:ind w:left="720" w:hanging="360"/>
      </w:pPr>
      <w:rPr>
        <w:rFonts w:hint="default"/>
        <w:b w:val="0"/>
        <w:sz w:val="20"/>
        <w:szCs w:val="20"/>
      </w:rPr>
    </w:lvl>
    <w:lvl w:ilvl="1" w:tplc="6C4E5C2E">
      <w:start w:val="1"/>
      <w:numFmt w:val="lowerLetter"/>
      <w:lvlText w:val="(%2)"/>
      <w:lvlJc w:val="left"/>
      <w:pPr>
        <w:ind w:left="4047" w:hanging="360"/>
      </w:pPr>
      <w:rPr>
        <w:rFonts w:hint="default"/>
        <w:b w:val="0"/>
      </w:rPr>
    </w:lvl>
    <w:lvl w:ilvl="2" w:tplc="AEA2F6E4">
      <w:start w:val="1"/>
      <w:numFmt w:val="lowerRoman"/>
      <w:lvlText w:val="%3."/>
      <w:lvlJc w:val="right"/>
      <w:pPr>
        <w:ind w:left="2160" w:hanging="180"/>
      </w:pPr>
    </w:lvl>
    <w:lvl w:ilvl="3" w:tplc="23888F4A">
      <w:start w:val="1"/>
      <w:numFmt w:val="decimal"/>
      <w:lvlText w:val="%4."/>
      <w:lvlJc w:val="left"/>
      <w:pPr>
        <w:ind w:left="2880" w:hanging="360"/>
      </w:pPr>
    </w:lvl>
    <w:lvl w:ilvl="4" w:tplc="842CF216" w:tentative="1">
      <w:start w:val="1"/>
      <w:numFmt w:val="lowerLetter"/>
      <w:lvlText w:val="%5."/>
      <w:lvlJc w:val="left"/>
      <w:pPr>
        <w:ind w:left="3600" w:hanging="360"/>
      </w:pPr>
    </w:lvl>
    <w:lvl w:ilvl="5" w:tplc="C5EA3DEA" w:tentative="1">
      <w:start w:val="1"/>
      <w:numFmt w:val="lowerRoman"/>
      <w:lvlText w:val="%6."/>
      <w:lvlJc w:val="right"/>
      <w:pPr>
        <w:ind w:left="4320" w:hanging="180"/>
      </w:pPr>
    </w:lvl>
    <w:lvl w:ilvl="6" w:tplc="910E69A2" w:tentative="1">
      <w:start w:val="1"/>
      <w:numFmt w:val="decimal"/>
      <w:lvlText w:val="%7."/>
      <w:lvlJc w:val="left"/>
      <w:pPr>
        <w:ind w:left="5040" w:hanging="360"/>
      </w:pPr>
    </w:lvl>
    <w:lvl w:ilvl="7" w:tplc="021EA716" w:tentative="1">
      <w:start w:val="1"/>
      <w:numFmt w:val="lowerLetter"/>
      <w:lvlText w:val="%8."/>
      <w:lvlJc w:val="left"/>
      <w:pPr>
        <w:ind w:left="5760" w:hanging="360"/>
      </w:pPr>
    </w:lvl>
    <w:lvl w:ilvl="8" w:tplc="9C501424" w:tentative="1">
      <w:start w:val="1"/>
      <w:numFmt w:val="lowerRoman"/>
      <w:lvlText w:val="%9."/>
      <w:lvlJc w:val="right"/>
      <w:pPr>
        <w:ind w:left="6480" w:hanging="180"/>
      </w:pPr>
    </w:lvl>
  </w:abstractNum>
  <w:abstractNum w:abstractNumId="40" w15:restartNumberingAfterBreak="0">
    <w:nsid w:val="6ECC568E"/>
    <w:multiLevelType w:val="hybridMultilevel"/>
    <w:tmpl w:val="C04223D6"/>
    <w:lvl w:ilvl="0" w:tplc="53D23574">
      <w:start w:val="1"/>
      <w:numFmt w:val="decimal"/>
      <w:lvlText w:val="%1."/>
      <w:lvlJc w:val="left"/>
      <w:pPr>
        <w:ind w:left="1200" w:hanging="360"/>
      </w:pPr>
      <w:rPr>
        <w:rFonts w:hint="default"/>
        <w:b/>
      </w:rPr>
    </w:lvl>
    <w:lvl w:ilvl="1" w:tplc="15C6D2A2" w:tentative="1">
      <w:start w:val="1"/>
      <w:numFmt w:val="lowerLetter"/>
      <w:lvlText w:val="%2."/>
      <w:lvlJc w:val="left"/>
      <w:pPr>
        <w:ind w:left="1440" w:hanging="360"/>
      </w:pPr>
    </w:lvl>
    <w:lvl w:ilvl="2" w:tplc="3EA83FBA" w:tentative="1">
      <w:start w:val="1"/>
      <w:numFmt w:val="lowerRoman"/>
      <w:lvlText w:val="%3."/>
      <w:lvlJc w:val="right"/>
      <w:pPr>
        <w:ind w:left="2160" w:hanging="180"/>
      </w:pPr>
    </w:lvl>
    <w:lvl w:ilvl="3" w:tplc="1C50AC2E" w:tentative="1">
      <w:start w:val="1"/>
      <w:numFmt w:val="decimal"/>
      <w:lvlText w:val="%4."/>
      <w:lvlJc w:val="left"/>
      <w:pPr>
        <w:ind w:left="2880" w:hanging="360"/>
      </w:pPr>
    </w:lvl>
    <w:lvl w:ilvl="4" w:tplc="EE3C2932" w:tentative="1">
      <w:start w:val="1"/>
      <w:numFmt w:val="lowerLetter"/>
      <w:lvlText w:val="%5."/>
      <w:lvlJc w:val="left"/>
      <w:pPr>
        <w:ind w:left="3600" w:hanging="360"/>
      </w:pPr>
    </w:lvl>
    <w:lvl w:ilvl="5" w:tplc="DB5CF8AE" w:tentative="1">
      <w:start w:val="1"/>
      <w:numFmt w:val="lowerRoman"/>
      <w:lvlText w:val="%6."/>
      <w:lvlJc w:val="right"/>
      <w:pPr>
        <w:ind w:left="4320" w:hanging="180"/>
      </w:pPr>
    </w:lvl>
    <w:lvl w:ilvl="6" w:tplc="EBBAFEC8" w:tentative="1">
      <w:start w:val="1"/>
      <w:numFmt w:val="decimal"/>
      <w:lvlText w:val="%7."/>
      <w:lvlJc w:val="left"/>
      <w:pPr>
        <w:ind w:left="5040" w:hanging="360"/>
      </w:pPr>
    </w:lvl>
    <w:lvl w:ilvl="7" w:tplc="C518B8DC" w:tentative="1">
      <w:start w:val="1"/>
      <w:numFmt w:val="lowerLetter"/>
      <w:lvlText w:val="%8."/>
      <w:lvlJc w:val="left"/>
      <w:pPr>
        <w:ind w:left="5760" w:hanging="360"/>
      </w:pPr>
    </w:lvl>
    <w:lvl w:ilvl="8" w:tplc="621AF880" w:tentative="1">
      <w:start w:val="1"/>
      <w:numFmt w:val="lowerRoman"/>
      <w:lvlText w:val="%9."/>
      <w:lvlJc w:val="right"/>
      <w:pPr>
        <w:ind w:left="6480" w:hanging="180"/>
      </w:pPr>
    </w:lvl>
  </w:abstractNum>
  <w:abstractNum w:abstractNumId="41" w15:restartNumberingAfterBreak="0">
    <w:nsid w:val="6F9B4DD5"/>
    <w:multiLevelType w:val="hybridMultilevel"/>
    <w:tmpl w:val="6344C7C4"/>
    <w:lvl w:ilvl="0" w:tplc="FA6EE966">
      <w:start w:val="1"/>
      <w:numFmt w:val="bullet"/>
      <w:pStyle w:val="dashbullet6"/>
      <w:lvlText w:val=""/>
      <w:lvlJc w:val="left"/>
      <w:pPr>
        <w:tabs>
          <w:tab w:val="num" w:pos="3969"/>
        </w:tabs>
        <w:ind w:left="3969" w:hanging="680"/>
      </w:pPr>
      <w:rPr>
        <w:rFonts w:ascii="Symbol" w:hAnsi="Symbol" w:hint="default"/>
        <w:color w:val="000058"/>
      </w:rPr>
    </w:lvl>
    <w:lvl w:ilvl="1" w:tplc="90A0ECA0" w:tentative="1">
      <w:start w:val="1"/>
      <w:numFmt w:val="bullet"/>
      <w:lvlText w:val="o"/>
      <w:lvlJc w:val="left"/>
      <w:pPr>
        <w:tabs>
          <w:tab w:val="num" w:pos="1440"/>
        </w:tabs>
        <w:ind w:left="1440" w:hanging="360"/>
      </w:pPr>
      <w:rPr>
        <w:rFonts w:ascii="Courier New" w:hAnsi="Courier New" w:hint="default"/>
      </w:rPr>
    </w:lvl>
    <w:lvl w:ilvl="2" w:tplc="5BE6DC8A" w:tentative="1">
      <w:start w:val="1"/>
      <w:numFmt w:val="bullet"/>
      <w:lvlText w:val=""/>
      <w:lvlJc w:val="left"/>
      <w:pPr>
        <w:tabs>
          <w:tab w:val="num" w:pos="2160"/>
        </w:tabs>
        <w:ind w:left="2160" w:hanging="360"/>
      </w:pPr>
      <w:rPr>
        <w:rFonts w:ascii="Wingdings" w:hAnsi="Wingdings" w:hint="default"/>
      </w:rPr>
    </w:lvl>
    <w:lvl w:ilvl="3" w:tplc="4E5CA15E" w:tentative="1">
      <w:start w:val="1"/>
      <w:numFmt w:val="bullet"/>
      <w:lvlText w:val=""/>
      <w:lvlJc w:val="left"/>
      <w:pPr>
        <w:tabs>
          <w:tab w:val="num" w:pos="2880"/>
        </w:tabs>
        <w:ind w:left="2880" w:hanging="360"/>
      </w:pPr>
      <w:rPr>
        <w:rFonts w:ascii="Symbol" w:hAnsi="Symbol" w:hint="default"/>
      </w:rPr>
    </w:lvl>
    <w:lvl w:ilvl="4" w:tplc="1ADE04DC" w:tentative="1">
      <w:start w:val="1"/>
      <w:numFmt w:val="bullet"/>
      <w:lvlText w:val="o"/>
      <w:lvlJc w:val="left"/>
      <w:pPr>
        <w:tabs>
          <w:tab w:val="num" w:pos="3600"/>
        </w:tabs>
        <w:ind w:left="3600" w:hanging="360"/>
      </w:pPr>
      <w:rPr>
        <w:rFonts w:ascii="Courier New" w:hAnsi="Courier New" w:hint="default"/>
      </w:rPr>
    </w:lvl>
    <w:lvl w:ilvl="5" w:tplc="D9702F70" w:tentative="1">
      <w:start w:val="1"/>
      <w:numFmt w:val="bullet"/>
      <w:lvlText w:val=""/>
      <w:lvlJc w:val="left"/>
      <w:pPr>
        <w:tabs>
          <w:tab w:val="num" w:pos="4320"/>
        </w:tabs>
        <w:ind w:left="4320" w:hanging="360"/>
      </w:pPr>
      <w:rPr>
        <w:rFonts w:ascii="Wingdings" w:hAnsi="Wingdings" w:hint="default"/>
      </w:rPr>
    </w:lvl>
    <w:lvl w:ilvl="6" w:tplc="5A025596" w:tentative="1">
      <w:start w:val="1"/>
      <w:numFmt w:val="bullet"/>
      <w:lvlText w:val=""/>
      <w:lvlJc w:val="left"/>
      <w:pPr>
        <w:tabs>
          <w:tab w:val="num" w:pos="5040"/>
        </w:tabs>
        <w:ind w:left="5040" w:hanging="360"/>
      </w:pPr>
      <w:rPr>
        <w:rFonts w:ascii="Symbol" w:hAnsi="Symbol" w:hint="default"/>
      </w:rPr>
    </w:lvl>
    <w:lvl w:ilvl="7" w:tplc="E03C1034" w:tentative="1">
      <w:start w:val="1"/>
      <w:numFmt w:val="bullet"/>
      <w:lvlText w:val="o"/>
      <w:lvlJc w:val="left"/>
      <w:pPr>
        <w:tabs>
          <w:tab w:val="num" w:pos="5760"/>
        </w:tabs>
        <w:ind w:left="5760" w:hanging="360"/>
      </w:pPr>
      <w:rPr>
        <w:rFonts w:ascii="Courier New" w:hAnsi="Courier New" w:hint="default"/>
      </w:rPr>
    </w:lvl>
    <w:lvl w:ilvl="8" w:tplc="19B20E2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0A058E"/>
    <w:multiLevelType w:val="hybridMultilevel"/>
    <w:tmpl w:val="6C00C138"/>
    <w:lvl w:ilvl="0" w:tplc="63DA4112">
      <w:start w:val="1"/>
      <w:numFmt w:val="lowerLetter"/>
      <w:lvlText w:val="(%1)"/>
      <w:lvlJc w:val="left"/>
      <w:pPr>
        <w:ind w:left="720" w:hanging="360"/>
      </w:pPr>
      <w:rPr>
        <w:rFonts w:hint="default"/>
      </w:rPr>
    </w:lvl>
    <w:lvl w:ilvl="1" w:tplc="CE449F10" w:tentative="1">
      <w:start w:val="1"/>
      <w:numFmt w:val="lowerLetter"/>
      <w:lvlText w:val="%2."/>
      <w:lvlJc w:val="left"/>
      <w:pPr>
        <w:ind w:left="1440" w:hanging="360"/>
      </w:pPr>
    </w:lvl>
    <w:lvl w:ilvl="2" w:tplc="C2A488D2" w:tentative="1">
      <w:start w:val="1"/>
      <w:numFmt w:val="lowerRoman"/>
      <w:lvlText w:val="%3."/>
      <w:lvlJc w:val="right"/>
      <w:pPr>
        <w:ind w:left="2160" w:hanging="180"/>
      </w:pPr>
    </w:lvl>
    <w:lvl w:ilvl="3" w:tplc="748A334C" w:tentative="1">
      <w:start w:val="1"/>
      <w:numFmt w:val="decimal"/>
      <w:lvlText w:val="%4."/>
      <w:lvlJc w:val="left"/>
      <w:pPr>
        <w:ind w:left="2880" w:hanging="360"/>
      </w:pPr>
    </w:lvl>
    <w:lvl w:ilvl="4" w:tplc="67A2447C" w:tentative="1">
      <w:start w:val="1"/>
      <w:numFmt w:val="lowerLetter"/>
      <w:lvlText w:val="%5."/>
      <w:lvlJc w:val="left"/>
      <w:pPr>
        <w:ind w:left="3600" w:hanging="360"/>
      </w:pPr>
    </w:lvl>
    <w:lvl w:ilvl="5" w:tplc="C7B4C0D8" w:tentative="1">
      <w:start w:val="1"/>
      <w:numFmt w:val="lowerRoman"/>
      <w:lvlText w:val="%6."/>
      <w:lvlJc w:val="right"/>
      <w:pPr>
        <w:ind w:left="4320" w:hanging="180"/>
      </w:pPr>
    </w:lvl>
    <w:lvl w:ilvl="6" w:tplc="C4B4A6CE" w:tentative="1">
      <w:start w:val="1"/>
      <w:numFmt w:val="decimal"/>
      <w:lvlText w:val="%7."/>
      <w:lvlJc w:val="left"/>
      <w:pPr>
        <w:ind w:left="5040" w:hanging="360"/>
      </w:pPr>
    </w:lvl>
    <w:lvl w:ilvl="7" w:tplc="CD6651B4" w:tentative="1">
      <w:start w:val="1"/>
      <w:numFmt w:val="lowerLetter"/>
      <w:lvlText w:val="%8."/>
      <w:lvlJc w:val="left"/>
      <w:pPr>
        <w:ind w:left="5760" w:hanging="360"/>
      </w:pPr>
    </w:lvl>
    <w:lvl w:ilvl="8" w:tplc="D2FA3C42" w:tentative="1">
      <w:start w:val="1"/>
      <w:numFmt w:val="lowerRoman"/>
      <w:lvlText w:val="%9."/>
      <w:lvlJc w:val="right"/>
      <w:pPr>
        <w:ind w:left="6480" w:hanging="180"/>
      </w:pPr>
    </w:lvl>
  </w:abstractNum>
  <w:abstractNum w:abstractNumId="43" w15:restartNumberingAfterBreak="0">
    <w:nsid w:val="71C44C98"/>
    <w:multiLevelType w:val="hybridMultilevel"/>
    <w:tmpl w:val="3D28A560"/>
    <w:lvl w:ilvl="0" w:tplc="CF50AA88">
      <w:start w:val="1"/>
      <w:numFmt w:val="lowerRoman"/>
      <w:lvlText w:val="(%1)"/>
      <w:lvlJc w:val="left"/>
      <w:pPr>
        <w:ind w:left="1920" w:hanging="360"/>
      </w:pPr>
      <w:rPr>
        <w:rFonts w:hint="default"/>
        <w:b w:val="0"/>
        <w:spacing w:val="0"/>
      </w:rPr>
    </w:lvl>
    <w:lvl w:ilvl="1" w:tplc="BAF60DD8">
      <w:start w:val="1"/>
      <w:numFmt w:val="lowerLetter"/>
      <w:lvlText w:val="%2."/>
      <w:lvlJc w:val="left"/>
      <w:pPr>
        <w:ind w:left="2640" w:hanging="360"/>
      </w:pPr>
    </w:lvl>
    <w:lvl w:ilvl="2" w:tplc="70088592" w:tentative="1">
      <w:start w:val="1"/>
      <w:numFmt w:val="lowerRoman"/>
      <w:lvlText w:val="%3."/>
      <w:lvlJc w:val="right"/>
      <w:pPr>
        <w:ind w:left="3360" w:hanging="180"/>
      </w:pPr>
    </w:lvl>
    <w:lvl w:ilvl="3" w:tplc="A5EAA4D4">
      <w:start w:val="1"/>
      <w:numFmt w:val="decimal"/>
      <w:lvlText w:val="%4."/>
      <w:lvlJc w:val="left"/>
      <w:pPr>
        <w:ind w:left="4080" w:hanging="360"/>
      </w:pPr>
    </w:lvl>
    <w:lvl w:ilvl="4" w:tplc="000E7544" w:tentative="1">
      <w:start w:val="1"/>
      <w:numFmt w:val="lowerLetter"/>
      <w:lvlText w:val="%5."/>
      <w:lvlJc w:val="left"/>
      <w:pPr>
        <w:ind w:left="4800" w:hanging="360"/>
      </w:pPr>
    </w:lvl>
    <w:lvl w:ilvl="5" w:tplc="4912BE14" w:tentative="1">
      <w:start w:val="1"/>
      <w:numFmt w:val="lowerRoman"/>
      <w:lvlText w:val="%6."/>
      <w:lvlJc w:val="right"/>
      <w:pPr>
        <w:ind w:left="5520" w:hanging="180"/>
      </w:pPr>
    </w:lvl>
    <w:lvl w:ilvl="6" w:tplc="ABBE369E" w:tentative="1">
      <w:start w:val="1"/>
      <w:numFmt w:val="decimal"/>
      <w:lvlText w:val="%7."/>
      <w:lvlJc w:val="left"/>
      <w:pPr>
        <w:ind w:left="6240" w:hanging="360"/>
      </w:pPr>
    </w:lvl>
    <w:lvl w:ilvl="7" w:tplc="BE88E4A8" w:tentative="1">
      <w:start w:val="1"/>
      <w:numFmt w:val="lowerLetter"/>
      <w:lvlText w:val="%8."/>
      <w:lvlJc w:val="left"/>
      <w:pPr>
        <w:ind w:left="6960" w:hanging="360"/>
      </w:pPr>
    </w:lvl>
    <w:lvl w:ilvl="8" w:tplc="AD088A9A" w:tentative="1">
      <w:start w:val="1"/>
      <w:numFmt w:val="lowerRoman"/>
      <w:lvlText w:val="%9."/>
      <w:lvlJc w:val="right"/>
      <w:pPr>
        <w:ind w:left="7680" w:hanging="180"/>
      </w:pPr>
    </w:lvl>
  </w:abstractNum>
  <w:abstractNum w:abstractNumId="44" w15:restartNumberingAfterBreak="0">
    <w:nsid w:val="73863DAB"/>
    <w:multiLevelType w:val="hybridMultilevel"/>
    <w:tmpl w:val="96D25A8A"/>
    <w:lvl w:ilvl="0" w:tplc="7284C230">
      <w:start w:val="1"/>
      <w:numFmt w:val="lowerLetter"/>
      <w:lvlText w:val="(%1)"/>
      <w:lvlJc w:val="left"/>
      <w:pPr>
        <w:tabs>
          <w:tab w:val="num" w:pos="1080"/>
        </w:tabs>
        <w:ind w:left="1080" w:hanging="360"/>
      </w:pPr>
      <w:rPr>
        <w:rFonts w:cs="Times New Roman" w:hint="default"/>
        <w:b w:val="0"/>
        <w:spacing w:val="0"/>
        <w:sz w:val="20"/>
        <w:szCs w:val="20"/>
      </w:rPr>
    </w:lvl>
    <w:lvl w:ilvl="1" w:tplc="6596C7F4">
      <w:start w:val="1"/>
      <w:numFmt w:val="lowerRoman"/>
      <w:lvlText w:val="%2."/>
      <w:lvlJc w:val="right"/>
      <w:pPr>
        <w:tabs>
          <w:tab w:val="num" w:pos="1440"/>
        </w:tabs>
        <w:ind w:left="1440" w:hanging="360"/>
      </w:pPr>
    </w:lvl>
    <w:lvl w:ilvl="2" w:tplc="914460C8">
      <w:start w:val="1"/>
      <w:numFmt w:val="decimal"/>
      <w:lvlText w:val="%3."/>
      <w:lvlJc w:val="left"/>
      <w:pPr>
        <w:tabs>
          <w:tab w:val="num" w:pos="2160"/>
        </w:tabs>
        <w:ind w:left="2160" w:hanging="180"/>
      </w:pPr>
    </w:lvl>
    <w:lvl w:ilvl="3" w:tplc="75246EDC">
      <w:start w:val="1"/>
      <w:numFmt w:val="decimal"/>
      <w:lvlText w:val="%4."/>
      <w:lvlJc w:val="left"/>
      <w:pPr>
        <w:tabs>
          <w:tab w:val="num" w:pos="2880"/>
        </w:tabs>
        <w:ind w:left="2880" w:hanging="360"/>
      </w:pPr>
    </w:lvl>
    <w:lvl w:ilvl="4" w:tplc="80CA4D62" w:tentative="1">
      <w:start w:val="1"/>
      <w:numFmt w:val="lowerLetter"/>
      <w:lvlText w:val="%5."/>
      <w:lvlJc w:val="left"/>
      <w:pPr>
        <w:tabs>
          <w:tab w:val="num" w:pos="3600"/>
        </w:tabs>
        <w:ind w:left="3600" w:hanging="360"/>
      </w:pPr>
    </w:lvl>
    <w:lvl w:ilvl="5" w:tplc="12A6BA22" w:tentative="1">
      <w:start w:val="1"/>
      <w:numFmt w:val="lowerRoman"/>
      <w:lvlText w:val="%6."/>
      <w:lvlJc w:val="right"/>
      <w:pPr>
        <w:tabs>
          <w:tab w:val="num" w:pos="4320"/>
        </w:tabs>
        <w:ind w:left="4320" w:hanging="180"/>
      </w:pPr>
    </w:lvl>
    <w:lvl w:ilvl="6" w:tplc="2E6AEDCA" w:tentative="1">
      <w:start w:val="1"/>
      <w:numFmt w:val="decimal"/>
      <w:lvlText w:val="%7."/>
      <w:lvlJc w:val="left"/>
      <w:pPr>
        <w:tabs>
          <w:tab w:val="num" w:pos="5040"/>
        </w:tabs>
        <w:ind w:left="5040" w:hanging="360"/>
      </w:pPr>
    </w:lvl>
    <w:lvl w:ilvl="7" w:tplc="E744B5C8" w:tentative="1">
      <w:start w:val="1"/>
      <w:numFmt w:val="lowerLetter"/>
      <w:lvlText w:val="%8."/>
      <w:lvlJc w:val="left"/>
      <w:pPr>
        <w:tabs>
          <w:tab w:val="num" w:pos="5760"/>
        </w:tabs>
        <w:ind w:left="5760" w:hanging="360"/>
      </w:pPr>
    </w:lvl>
    <w:lvl w:ilvl="8" w:tplc="56C8CB60" w:tentative="1">
      <w:start w:val="1"/>
      <w:numFmt w:val="lowerRoman"/>
      <w:lvlText w:val="%9."/>
      <w:lvlJc w:val="right"/>
      <w:pPr>
        <w:tabs>
          <w:tab w:val="num" w:pos="6480"/>
        </w:tabs>
        <w:ind w:left="6480" w:hanging="180"/>
      </w:pPr>
    </w:lvl>
  </w:abstractNum>
  <w:abstractNum w:abstractNumId="45" w15:restartNumberingAfterBreak="0">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D3041D"/>
    <w:multiLevelType w:val="hybridMultilevel"/>
    <w:tmpl w:val="7F44FAB0"/>
    <w:lvl w:ilvl="0" w:tplc="55B437C6">
      <w:start w:val="1"/>
      <w:numFmt w:val="lowerLetter"/>
      <w:lvlText w:val="(%1)"/>
      <w:lvlJc w:val="left"/>
      <w:pPr>
        <w:tabs>
          <w:tab w:val="num" w:pos="1080"/>
        </w:tabs>
        <w:ind w:left="1080" w:hanging="360"/>
      </w:pPr>
      <w:rPr>
        <w:rFonts w:hint="default"/>
      </w:rPr>
    </w:lvl>
    <w:lvl w:ilvl="1" w:tplc="1CD46084">
      <w:start w:val="1"/>
      <w:numFmt w:val="lowerLetter"/>
      <w:lvlText w:val="%2."/>
      <w:lvlJc w:val="left"/>
      <w:pPr>
        <w:tabs>
          <w:tab w:val="num" w:pos="1440"/>
        </w:tabs>
        <w:ind w:left="1440" w:hanging="360"/>
      </w:pPr>
    </w:lvl>
    <w:lvl w:ilvl="2" w:tplc="1ECAA610" w:tentative="1">
      <w:start w:val="1"/>
      <w:numFmt w:val="lowerRoman"/>
      <w:lvlText w:val="%3."/>
      <w:lvlJc w:val="right"/>
      <w:pPr>
        <w:tabs>
          <w:tab w:val="num" w:pos="2160"/>
        </w:tabs>
        <w:ind w:left="2160" w:hanging="180"/>
      </w:pPr>
    </w:lvl>
    <w:lvl w:ilvl="3" w:tplc="47BA3456">
      <w:start w:val="1"/>
      <w:numFmt w:val="decimal"/>
      <w:lvlText w:val="%4."/>
      <w:lvlJc w:val="left"/>
      <w:pPr>
        <w:tabs>
          <w:tab w:val="num" w:pos="2880"/>
        </w:tabs>
        <w:ind w:left="2880" w:hanging="360"/>
      </w:pPr>
    </w:lvl>
    <w:lvl w:ilvl="4" w:tplc="22183A42" w:tentative="1">
      <w:start w:val="1"/>
      <w:numFmt w:val="lowerLetter"/>
      <w:lvlText w:val="%5."/>
      <w:lvlJc w:val="left"/>
      <w:pPr>
        <w:tabs>
          <w:tab w:val="num" w:pos="3600"/>
        </w:tabs>
        <w:ind w:left="3600" w:hanging="360"/>
      </w:pPr>
    </w:lvl>
    <w:lvl w:ilvl="5" w:tplc="49E40448" w:tentative="1">
      <w:start w:val="1"/>
      <w:numFmt w:val="lowerRoman"/>
      <w:lvlText w:val="%6."/>
      <w:lvlJc w:val="right"/>
      <w:pPr>
        <w:tabs>
          <w:tab w:val="num" w:pos="4320"/>
        </w:tabs>
        <w:ind w:left="4320" w:hanging="180"/>
      </w:pPr>
    </w:lvl>
    <w:lvl w:ilvl="6" w:tplc="9D10E470" w:tentative="1">
      <w:start w:val="1"/>
      <w:numFmt w:val="decimal"/>
      <w:lvlText w:val="%7."/>
      <w:lvlJc w:val="left"/>
      <w:pPr>
        <w:tabs>
          <w:tab w:val="num" w:pos="5040"/>
        </w:tabs>
        <w:ind w:left="5040" w:hanging="360"/>
      </w:pPr>
    </w:lvl>
    <w:lvl w:ilvl="7" w:tplc="24227040" w:tentative="1">
      <w:start w:val="1"/>
      <w:numFmt w:val="lowerLetter"/>
      <w:lvlText w:val="%8."/>
      <w:lvlJc w:val="left"/>
      <w:pPr>
        <w:tabs>
          <w:tab w:val="num" w:pos="5760"/>
        </w:tabs>
        <w:ind w:left="5760" w:hanging="360"/>
      </w:pPr>
    </w:lvl>
    <w:lvl w:ilvl="8" w:tplc="E60CE8AC" w:tentative="1">
      <w:start w:val="1"/>
      <w:numFmt w:val="lowerRoman"/>
      <w:lvlText w:val="%9."/>
      <w:lvlJc w:val="right"/>
      <w:pPr>
        <w:tabs>
          <w:tab w:val="num" w:pos="6480"/>
        </w:tabs>
        <w:ind w:left="6480" w:hanging="180"/>
      </w:pPr>
    </w:lvl>
  </w:abstractNum>
  <w:abstractNum w:abstractNumId="47" w15:restartNumberingAfterBreak="0">
    <w:nsid w:val="7C2B4BF9"/>
    <w:multiLevelType w:val="hybridMultilevel"/>
    <w:tmpl w:val="399225B8"/>
    <w:lvl w:ilvl="0" w:tplc="7BD4F84C">
      <w:start w:val="1"/>
      <w:numFmt w:val="lowerRoman"/>
      <w:lvlText w:val="(%1)"/>
      <w:lvlJc w:val="left"/>
      <w:pPr>
        <w:ind w:left="1429" w:hanging="720"/>
      </w:pPr>
      <w:rPr>
        <w:rFonts w:hint="default"/>
      </w:rPr>
    </w:lvl>
    <w:lvl w:ilvl="1" w:tplc="133C5EB4" w:tentative="1">
      <w:start w:val="1"/>
      <w:numFmt w:val="lowerLetter"/>
      <w:lvlText w:val="%2."/>
      <w:lvlJc w:val="left"/>
      <w:pPr>
        <w:ind w:left="1789" w:hanging="360"/>
      </w:pPr>
    </w:lvl>
    <w:lvl w:ilvl="2" w:tplc="8490EF8E">
      <w:start w:val="1"/>
      <w:numFmt w:val="lowerRoman"/>
      <w:lvlText w:val="%3."/>
      <w:lvlJc w:val="right"/>
      <w:pPr>
        <w:ind w:left="2509" w:hanging="180"/>
      </w:pPr>
    </w:lvl>
    <w:lvl w:ilvl="3" w:tplc="9E3608BE">
      <w:start w:val="1"/>
      <w:numFmt w:val="decimal"/>
      <w:lvlText w:val="%4."/>
      <w:lvlJc w:val="left"/>
      <w:pPr>
        <w:ind w:left="3229" w:hanging="360"/>
      </w:pPr>
    </w:lvl>
    <w:lvl w:ilvl="4" w:tplc="E5A6AE26" w:tentative="1">
      <w:start w:val="1"/>
      <w:numFmt w:val="lowerLetter"/>
      <w:lvlText w:val="%5."/>
      <w:lvlJc w:val="left"/>
      <w:pPr>
        <w:ind w:left="3949" w:hanging="360"/>
      </w:pPr>
    </w:lvl>
    <w:lvl w:ilvl="5" w:tplc="8CF62CE0" w:tentative="1">
      <w:start w:val="1"/>
      <w:numFmt w:val="lowerRoman"/>
      <w:lvlText w:val="%6."/>
      <w:lvlJc w:val="right"/>
      <w:pPr>
        <w:ind w:left="4669" w:hanging="180"/>
      </w:pPr>
    </w:lvl>
    <w:lvl w:ilvl="6" w:tplc="0CF809C8" w:tentative="1">
      <w:start w:val="1"/>
      <w:numFmt w:val="decimal"/>
      <w:lvlText w:val="%7."/>
      <w:lvlJc w:val="left"/>
      <w:pPr>
        <w:ind w:left="5389" w:hanging="360"/>
      </w:pPr>
    </w:lvl>
    <w:lvl w:ilvl="7" w:tplc="BB10ECAA" w:tentative="1">
      <w:start w:val="1"/>
      <w:numFmt w:val="lowerLetter"/>
      <w:lvlText w:val="%8."/>
      <w:lvlJc w:val="left"/>
      <w:pPr>
        <w:ind w:left="6109" w:hanging="360"/>
      </w:pPr>
    </w:lvl>
    <w:lvl w:ilvl="8" w:tplc="DF48623A" w:tentative="1">
      <w:start w:val="1"/>
      <w:numFmt w:val="lowerRoman"/>
      <w:lvlText w:val="%9."/>
      <w:lvlJc w:val="right"/>
      <w:pPr>
        <w:ind w:left="6829" w:hanging="180"/>
      </w:pPr>
    </w:lvl>
  </w:abstractNum>
  <w:abstractNum w:abstractNumId="48" w15:restartNumberingAfterBreak="0">
    <w:nsid w:val="7EA55597"/>
    <w:multiLevelType w:val="hybridMultilevel"/>
    <w:tmpl w:val="2634EE5E"/>
    <w:lvl w:ilvl="0" w:tplc="0A803042">
      <w:start w:val="1"/>
      <w:numFmt w:val="lowerRoman"/>
      <w:lvlText w:val="(%1)"/>
      <w:lvlJc w:val="left"/>
      <w:pPr>
        <w:tabs>
          <w:tab w:val="num" w:pos="840"/>
        </w:tabs>
        <w:ind w:left="840" w:hanging="720"/>
      </w:pPr>
      <w:rPr>
        <w:rFonts w:cs="Tahoma" w:hint="default"/>
        <w:b w:val="0"/>
      </w:rPr>
    </w:lvl>
    <w:lvl w:ilvl="1" w:tplc="B2D2AA08">
      <w:start w:val="1"/>
      <w:numFmt w:val="decimal"/>
      <w:lvlText w:val="%2."/>
      <w:lvlJc w:val="left"/>
      <w:pPr>
        <w:ind w:left="1200" w:hanging="360"/>
      </w:pPr>
      <w:rPr>
        <w:rFonts w:hint="default"/>
        <w:b/>
      </w:rPr>
    </w:lvl>
    <w:lvl w:ilvl="2" w:tplc="87E26BBA" w:tentative="1">
      <w:start w:val="1"/>
      <w:numFmt w:val="lowerRoman"/>
      <w:lvlText w:val="%3."/>
      <w:lvlJc w:val="right"/>
      <w:pPr>
        <w:tabs>
          <w:tab w:val="num" w:pos="1920"/>
        </w:tabs>
        <w:ind w:left="1920" w:hanging="180"/>
      </w:pPr>
      <w:rPr>
        <w:rFonts w:cs="Times New Roman"/>
      </w:rPr>
    </w:lvl>
    <w:lvl w:ilvl="3" w:tplc="1BBA09E4" w:tentative="1">
      <w:start w:val="1"/>
      <w:numFmt w:val="decimal"/>
      <w:lvlText w:val="%4."/>
      <w:lvlJc w:val="left"/>
      <w:pPr>
        <w:tabs>
          <w:tab w:val="num" w:pos="2640"/>
        </w:tabs>
        <w:ind w:left="2640" w:hanging="360"/>
      </w:pPr>
      <w:rPr>
        <w:rFonts w:cs="Times New Roman"/>
      </w:rPr>
    </w:lvl>
    <w:lvl w:ilvl="4" w:tplc="CE320BF0" w:tentative="1">
      <w:start w:val="1"/>
      <w:numFmt w:val="lowerLetter"/>
      <w:lvlText w:val="%5."/>
      <w:lvlJc w:val="left"/>
      <w:pPr>
        <w:tabs>
          <w:tab w:val="num" w:pos="3360"/>
        </w:tabs>
        <w:ind w:left="3360" w:hanging="360"/>
      </w:pPr>
      <w:rPr>
        <w:rFonts w:cs="Times New Roman"/>
      </w:rPr>
    </w:lvl>
    <w:lvl w:ilvl="5" w:tplc="5F6056EC" w:tentative="1">
      <w:start w:val="1"/>
      <w:numFmt w:val="lowerRoman"/>
      <w:lvlText w:val="%6."/>
      <w:lvlJc w:val="right"/>
      <w:pPr>
        <w:tabs>
          <w:tab w:val="num" w:pos="4080"/>
        </w:tabs>
        <w:ind w:left="4080" w:hanging="180"/>
      </w:pPr>
      <w:rPr>
        <w:rFonts w:cs="Times New Roman"/>
      </w:rPr>
    </w:lvl>
    <w:lvl w:ilvl="6" w:tplc="F8740EF2" w:tentative="1">
      <w:start w:val="1"/>
      <w:numFmt w:val="decimal"/>
      <w:lvlText w:val="%7."/>
      <w:lvlJc w:val="left"/>
      <w:pPr>
        <w:tabs>
          <w:tab w:val="num" w:pos="4800"/>
        </w:tabs>
        <w:ind w:left="4800" w:hanging="360"/>
      </w:pPr>
      <w:rPr>
        <w:rFonts w:cs="Times New Roman"/>
      </w:rPr>
    </w:lvl>
    <w:lvl w:ilvl="7" w:tplc="9A92418A" w:tentative="1">
      <w:start w:val="1"/>
      <w:numFmt w:val="lowerLetter"/>
      <w:lvlText w:val="%8."/>
      <w:lvlJc w:val="left"/>
      <w:pPr>
        <w:tabs>
          <w:tab w:val="num" w:pos="5520"/>
        </w:tabs>
        <w:ind w:left="5520" w:hanging="360"/>
      </w:pPr>
      <w:rPr>
        <w:rFonts w:cs="Times New Roman"/>
      </w:rPr>
    </w:lvl>
    <w:lvl w:ilvl="8" w:tplc="A976B346" w:tentative="1">
      <w:start w:val="1"/>
      <w:numFmt w:val="lowerRoman"/>
      <w:lvlText w:val="%9."/>
      <w:lvlJc w:val="right"/>
      <w:pPr>
        <w:tabs>
          <w:tab w:val="num" w:pos="6240"/>
        </w:tabs>
        <w:ind w:left="6240" w:hanging="180"/>
      </w:pPr>
      <w:rPr>
        <w:rFonts w:cs="Times New Roman"/>
      </w:rPr>
    </w:lvl>
  </w:abstractNum>
  <w:abstractNum w:abstractNumId="49"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4"/>
  </w:num>
  <w:num w:numId="7">
    <w:abstractNumId w:val="6"/>
  </w:num>
  <w:num w:numId="8">
    <w:abstractNumId w:val="47"/>
  </w:num>
  <w:num w:numId="9">
    <w:abstractNumId w:val="38"/>
  </w:num>
  <w:num w:numId="10">
    <w:abstractNumId w:val="9"/>
  </w:num>
  <w:num w:numId="11">
    <w:abstractNumId w:val="41"/>
  </w:num>
  <w:num w:numId="12">
    <w:abstractNumId w:val="27"/>
  </w:num>
  <w:num w:numId="13">
    <w:abstractNumId w:val="1"/>
  </w:num>
  <w:num w:numId="14">
    <w:abstractNumId w:val="15"/>
  </w:num>
  <w:num w:numId="15">
    <w:abstractNumId w:val="32"/>
  </w:num>
  <w:num w:numId="16">
    <w:abstractNumId w:val="13"/>
  </w:num>
  <w:num w:numId="17">
    <w:abstractNumId w:val="18"/>
  </w:num>
  <w:num w:numId="18">
    <w:abstractNumId w:val="22"/>
  </w:num>
  <w:num w:numId="19">
    <w:abstractNumId w:val="42"/>
  </w:num>
  <w:num w:numId="20">
    <w:abstractNumId w:val="49"/>
  </w:num>
  <w:num w:numId="21">
    <w:abstractNumId w:val="46"/>
  </w:num>
  <w:num w:numId="22">
    <w:abstractNumId w:val="44"/>
  </w:num>
  <w:num w:numId="23">
    <w:abstractNumId w:val="31"/>
  </w:num>
  <w:num w:numId="24">
    <w:abstractNumId w:val="23"/>
  </w:num>
  <w:num w:numId="25">
    <w:abstractNumId w:val="25"/>
  </w:num>
  <w:num w:numId="26">
    <w:abstractNumId w:val="19"/>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8"/>
  </w:num>
  <w:num w:numId="34">
    <w:abstractNumId w:val="17"/>
  </w:num>
  <w:num w:numId="35">
    <w:abstractNumId w:val="40"/>
  </w:num>
  <w:num w:numId="36">
    <w:abstractNumId w:val="16"/>
  </w:num>
  <w:num w:numId="37">
    <w:abstractNumId w:val="29"/>
  </w:num>
  <w:num w:numId="38">
    <w:abstractNumId w:val="28"/>
  </w:num>
  <w:num w:numId="39">
    <w:abstractNumId w:val="35"/>
  </w:num>
  <w:num w:numId="40">
    <w:abstractNumId w:val="21"/>
  </w:num>
  <w:num w:numId="41">
    <w:abstractNumId w:val="26"/>
  </w:num>
  <w:num w:numId="42">
    <w:abstractNumId w:val="39"/>
  </w:num>
  <w:num w:numId="43">
    <w:abstractNumId w:val="20"/>
  </w:num>
  <w:num w:numId="44">
    <w:abstractNumId w:val="11"/>
  </w:num>
  <w:num w:numId="45">
    <w:abstractNumId w:val="37"/>
  </w:num>
  <w:num w:numId="46">
    <w:abstractNumId w:val="34"/>
  </w:num>
  <w:num w:numId="47">
    <w:abstractNumId w:val="36"/>
  </w:num>
  <w:num w:numId="48">
    <w:abstractNumId w:val="14"/>
  </w:num>
  <w:num w:numId="49">
    <w:abstractNumId w:val="1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A6D79960-C5CD-44D5-B376-02E1B177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scrituracaorf@itau-unibanco.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mailto:spestruturacao@simplificpavarini.com.br"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8A081-E2CF-49DE-AB82-3B83704C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21828</Words>
  <Characters>123266</Characters>
  <Application>Microsoft Office Word</Application>
  <DocSecurity>0</DocSecurity>
  <Lines>1027</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Pinheiro Neto Advogados</cp:lastModifiedBy>
  <cp:revision>5</cp:revision>
  <dcterms:created xsi:type="dcterms:W3CDTF">2020-02-18T18:19:00Z</dcterms:created>
  <dcterms:modified xsi:type="dcterms:W3CDTF">2020-02-18T18:19:00Z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4AAAUmLmXdMZevQux4T1+ohDPwwxn6BXh5sZ0Ouesuno47n5dZ99RijSUA==</vt:lpwstr>
  </property>
  <property fmtid="{D5CDD505-2E9C-101B-9397-08002B2CF9AE}" pid="3"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4" name="MAIL_MSG_ID2">
    <vt:lpwstr>bGLdD4eqUFfOtZPY5JQ4q6lNYylKVFlI9+pjWOGVoSZtxM3hK8cyxb6NwdO_x000d_
caOTom4QOQnYWcjnAC/h1q83B1SZzbis+KnnLjpqhZBGjlfU3Z1tme8ryzc=</vt:lpwstr>
  </property>
  <property fmtid="{D5CDD505-2E9C-101B-9397-08002B2CF9AE}" pid="5" name="RESPONSE_SENDER_NAME">
    <vt:lpwstr>sAAAGYoQX4c3X/IKEAg9x6w+pqKA8Ezz2i1N0MLl8n+X3MA=</vt:lpwstr>
  </property>
  <property fmtid="{D5CDD505-2E9C-101B-9397-08002B2CF9AE}" pid="6" name="iManageFooter">
    <vt:lpwstr>JUR_SP - 35468921v16 - 10842002.452566</vt:lpwstr>
  </property>
</Properties>
</file>