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24BFA275"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r w:rsidR="00CB337D">
        <w:rPr>
          <w:rFonts w:ascii="Verdana" w:hAnsi="Verdana" w:cs="Times New Roman"/>
          <w:sz w:val="20"/>
          <w:szCs w:val="20"/>
          <w:lang w:val="pt-PT"/>
        </w:rPr>
        <w:t>10</w:t>
      </w:r>
      <w:r w:rsidR="001204E8">
        <w:rPr>
          <w:rFonts w:ascii="Verdana" w:hAnsi="Verdana" w:cs="Times New Roman"/>
          <w:sz w:val="20"/>
          <w:szCs w:val="20"/>
        </w:rPr>
        <w:t xml:space="preserve"> de maio </w:t>
      </w:r>
      <w:r w:rsidRPr="00173311">
        <w:rPr>
          <w:rFonts w:ascii="Verdana" w:hAnsi="Verdana" w:cs="Times New Roman"/>
          <w:sz w:val="20"/>
          <w:szCs w:val="20"/>
        </w:rPr>
        <w:t xml:space="preserve">de </w:t>
      </w:r>
      <w:r w:rsidR="007E0458" w:rsidRPr="00173311">
        <w:rPr>
          <w:rFonts w:ascii="Verdana" w:hAnsi="Verdana" w:cs="Times New Roman"/>
          <w:sz w:val="20"/>
          <w:szCs w:val="20"/>
        </w:rPr>
        <w:t>2023</w:t>
      </w:r>
      <w:r w:rsidRPr="00173311">
        <w:rPr>
          <w:rFonts w:ascii="Verdana" w:hAnsi="Verdana" w:cs="Times New Roman"/>
          <w:sz w:val="20"/>
          <w:szCs w:val="20"/>
        </w:rPr>
        <w:t xml:space="preserve">, às </w:t>
      </w:r>
      <w:r w:rsidR="006E3E4E">
        <w:rPr>
          <w:rFonts w:ascii="Verdana" w:hAnsi="Verdana" w:cs="Times New Roman"/>
          <w:sz w:val="20"/>
          <w:szCs w:val="20"/>
        </w:rPr>
        <w:t>10:00</w:t>
      </w:r>
      <w:r w:rsidRPr="00173311">
        <w:rPr>
          <w:rFonts w:ascii="Verdana" w:hAnsi="Verdana" w:cs="Times New Roman"/>
          <w:sz w:val="20"/>
          <w:szCs w:val="20"/>
        </w:rPr>
        <w:t xml:space="preserve"> horas, </w:t>
      </w:r>
      <w:r w:rsidR="00852480" w:rsidRPr="003C7B97">
        <w:rPr>
          <w:rFonts w:ascii="Verdana" w:hAnsi="Verdana"/>
          <w:sz w:val="20"/>
          <w:szCs w:val="20"/>
        </w:rPr>
        <w:t>de forma integralmente digital, nos termos da Resolução da Comissão de Valores Mobiliários (“CVM”) nº 81, de 29 de março de 2022 (“</w:t>
      </w:r>
      <w:r w:rsidR="00852480" w:rsidRPr="001472D4">
        <w:rPr>
          <w:rFonts w:ascii="Verdana" w:hAnsi="Verdana"/>
          <w:sz w:val="20"/>
          <w:szCs w:val="20"/>
          <w:u w:val="single"/>
        </w:rPr>
        <w:t>Resolução CVM 81</w:t>
      </w:r>
      <w:r w:rsidR="00852480" w:rsidRPr="003C7B97">
        <w:rPr>
          <w:rFonts w:ascii="Verdana" w:hAnsi="Verdana"/>
          <w:sz w:val="20"/>
          <w:szCs w:val="20"/>
        </w:rPr>
        <w:t>”), coordenada pela</w:t>
      </w:r>
      <w:r w:rsidR="00852480" w:rsidRPr="00173311" w:rsidDel="00852480">
        <w:rPr>
          <w:rFonts w:ascii="Verdana" w:hAnsi="Verdana" w:cs="Times New Roman"/>
          <w:sz w:val="20"/>
          <w:szCs w:val="20"/>
        </w:rPr>
        <w:t xml:space="preserve"> </w:t>
      </w:r>
      <w:proofErr w:type="spellStart"/>
      <w:r w:rsidRPr="00173311">
        <w:rPr>
          <w:rFonts w:ascii="Verdana" w:hAnsi="Verdana" w:cs="Times New Roman"/>
          <w:sz w:val="20"/>
          <w:szCs w:val="20"/>
        </w:rPr>
        <w:t>Vidroporto</w:t>
      </w:r>
      <w:proofErr w:type="spellEnd"/>
      <w:r w:rsidRPr="00173311">
        <w:rPr>
          <w:rFonts w:ascii="Verdana" w:hAnsi="Verdana" w:cs="Times New Roman"/>
          <w:sz w:val="20"/>
          <w:szCs w:val="20"/>
        </w:rPr>
        <w:t xml:space="preserve">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r w:rsidR="00852480" w:rsidRPr="003C7B97">
        <w:rPr>
          <w:rFonts w:ascii="Verdana" w:hAnsi="Verdana" w:cs="Times New Roman"/>
          <w:sz w:val="20"/>
          <w:szCs w:val="20"/>
        </w:rPr>
        <w:t xml:space="preserve">, </w:t>
      </w:r>
      <w:r w:rsidR="00852480" w:rsidRPr="003C7B97">
        <w:rPr>
          <w:rFonts w:ascii="Verdana" w:hAnsi="Verdana"/>
          <w:sz w:val="20"/>
          <w:szCs w:val="20"/>
        </w:rPr>
        <w:t>com a dispensa de videoconferência em razão da presença dos Debenturistas (conforme abaixo definido) representando 100% (cem por cento) das Debêntures (conforme abaixo definido) em circulação</w:t>
      </w:r>
      <w:r w:rsidRPr="00173311">
        <w:rPr>
          <w:rFonts w:ascii="Verdana" w:hAnsi="Verdana" w:cs="Times New Roman"/>
          <w:sz w:val="20"/>
          <w:szCs w:val="20"/>
        </w:rPr>
        <w:t>.</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09DED36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w:t>
      </w:r>
      <w:r w:rsidR="00852480">
        <w:rPr>
          <w:rFonts w:ascii="Verdana" w:hAnsi="Verdana" w:cs="Times New Roman"/>
          <w:sz w:val="20"/>
          <w:szCs w:val="20"/>
        </w:rPr>
        <w:t xml:space="preserve">do </w:t>
      </w:r>
      <w:r w:rsidR="00852480" w:rsidRPr="00173311">
        <w:rPr>
          <w:rFonts w:ascii="Verdana" w:hAnsi="Verdana" w:cs="Times New Roman"/>
          <w:sz w:val="20"/>
          <w:szCs w:val="20"/>
        </w:rPr>
        <w:t>“</w:t>
      </w:r>
      <w:r w:rsidR="00852480" w:rsidRPr="00173311">
        <w:rPr>
          <w:rFonts w:ascii="Verdana" w:hAnsi="Verdana" w:cs="Times New Roman"/>
          <w:i/>
          <w:iCs/>
          <w:sz w:val="20"/>
          <w:szCs w:val="20"/>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00852480" w:rsidRPr="00173311">
        <w:rPr>
          <w:rFonts w:ascii="Verdana" w:hAnsi="Verdana" w:cs="Times New Roman"/>
          <w:i/>
          <w:iCs/>
          <w:sz w:val="20"/>
          <w:szCs w:val="20"/>
        </w:rPr>
        <w:t>Vidroporto</w:t>
      </w:r>
      <w:proofErr w:type="spellEnd"/>
      <w:r w:rsidR="00852480" w:rsidRPr="00173311">
        <w:rPr>
          <w:rFonts w:ascii="Verdana" w:hAnsi="Verdana" w:cs="Times New Roman"/>
          <w:i/>
          <w:iCs/>
          <w:sz w:val="20"/>
          <w:szCs w:val="20"/>
        </w:rPr>
        <w:t xml:space="preserve"> S.A.</w:t>
      </w:r>
      <w:r w:rsidR="00852480" w:rsidRPr="00173311">
        <w:rPr>
          <w:rFonts w:ascii="Verdana" w:hAnsi="Verdana" w:cs="Times New Roman"/>
          <w:sz w:val="20"/>
          <w:szCs w:val="20"/>
        </w:rPr>
        <w:t>”</w:t>
      </w:r>
      <w:r w:rsidR="00852480">
        <w:rPr>
          <w:rFonts w:ascii="Verdana" w:hAnsi="Verdana" w:cs="Times New Roman"/>
          <w:sz w:val="20"/>
          <w:szCs w:val="20"/>
        </w:rPr>
        <w:t xml:space="preserve"> (“</w:t>
      </w:r>
      <w:r w:rsidR="00852480" w:rsidRPr="00316A01">
        <w:rPr>
          <w:rFonts w:ascii="Verdana" w:hAnsi="Verdana" w:cs="Times New Roman"/>
          <w:sz w:val="20"/>
          <w:szCs w:val="20"/>
          <w:u w:val="single"/>
        </w:rPr>
        <w:t>Escritura de Emissão</w:t>
      </w:r>
      <w:r w:rsidR="00852480">
        <w:rPr>
          <w:rFonts w:ascii="Verdana" w:hAnsi="Verdana" w:cs="Times New Roman"/>
          <w:sz w:val="20"/>
          <w:szCs w:val="20"/>
        </w:rPr>
        <w:t>”)</w:t>
      </w:r>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w:t>
      </w:r>
      <w:r w:rsidR="00852480">
        <w:rPr>
          <w:rFonts w:ascii="Verdana" w:hAnsi="Verdana" w:cs="Times New Roman"/>
          <w:sz w:val="20"/>
          <w:szCs w:val="20"/>
        </w:rPr>
        <w:t>dos titulares das debêntures representando</w:t>
      </w:r>
      <w:r w:rsidR="00852480" w:rsidRPr="00E06682" w:rsidDel="00834D03">
        <w:rPr>
          <w:rFonts w:ascii="Verdana" w:hAnsi="Verdana" w:cs="Times New Roman"/>
          <w:sz w:val="20"/>
          <w:szCs w:val="20"/>
        </w:rPr>
        <w:t xml:space="preserve"> </w:t>
      </w:r>
      <w:r w:rsidRPr="00173311">
        <w:rPr>
          <w:rFonts w:ascii="Verdana" w:hAnsi="Verdana" w:cs="Times New Roman"/>
          <w:sz w:val="20"/>
          <w:szCs w:val="20"/>
        </w:rPr>
        <w:t xml:space="preserve">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Debenturistas</w:t>
      </w:r>
      <w:r w:rsidRPr="00173311">
        <w:rPr>
          <w:rFonts w:ascii="Verdana" w:hAnsi="Verdana" w:cs="Times New Roman"/>
          <w:sz w:val="20"/>
          <w:szCs w:val="20"/>
        </w:rPr>
        <w:t xml:space="preserve">”, </w:t>
      </w:r>
      <w:r w:rsidR="00852480">
        <w:rPr>
          <w:rFonts w:ascii="Verdana" w:hAnsi="Verdana" w:cs="Times New Roman"/>
          <w:sz w:val="20"/>
          <w:szCs w:val="20"/>
        </w:rPr>
        <w:t>“</w:t>
      </w:r>
      <w:r w:rsidR="00852480" w:rsidRPr="00852480">
        <w:rPr>
          <w:rFonts w:ascii="Verdana" w:hAnsi="Verdana" w:cs="Times New Roman"/>
          <w:sz w:val="20"/>
          <w:szCs w:val="20"/>
          <w:u w:val="single"/>
        </w:rPr>
        <w:t>Debêntures</w:t>
      </w:r>
      <w:r w:rsidR="00852480">
        <w:rPr>
          <w:rFonts w:ascii="Verdana" w:hAnsi="Verdana" w:cs="Times New Roman"/>
          <w:sz w:val="20"/>
          <w:szCs w:val="20"/>
        </w:rPr>
        <w:t>” e “</w:t>
      </w:r>
      <w:r w:rsidR="00852480" w:rsidRPr="00852480">
        <w:rPr>
          <w:rFonts w:ascii="Verdana" w:hAnsi="Verdana" w:cs="Times New Roman"/>
          <w:sz w:val="20"/>
          <w:szCs w:val="20"/>
          <w:u w:val="single"/>
        </w:rPr>
        <w:t>Emissão</w:t>
      </w:r>
      <w:r w:rsidR="00852480">
        <w:rPr>
          <w:rFonts w:ascii="Verdana" w:hAnsi="Verdana" w:cs="Times New Roman"/>
          <w:sz w:val="20"/>
          <w:szCs w:val="20"/>
        </w:rPr>
        <w:t xml:space="preserve">”, </w:t>
      </w:r>
      <w:r w:rsidRPr="00173311">
        <w:rPr>
          <w:rFonts w:ascii="Verdana" w:hAnsi="Verdana" w:cs="Times New Roman"/>
          <w:sz w:val="20"/>
          <w:szCs w:val="20"/>
        </w:rPr>
        <w:t>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178D4398" w:rsidR="00FC60C6" w:rsidRPr="00173311" w:rsidRDefault="00852480" w:rsidP="00173311">
      <w:pPr>
        <w:spacing w:after="0" w:line="320" w:lineRule="exact"/>
        <w:jc w:val="both"/>
        <w:rPr>
          <w:rFonts w:ascii="Verdana" w:hAnsi="Verdana" w:cs="Times New Roman"/>
          <w:sz w:val="20"/>
          <w:szCs w:val="20"/>
        </w:rPr>
      </w:pPr>
      <w:r w:rsidRPr="00F036AD">
        <w:rPr>
          <w:rFonts w:ascii="Verdana" w:hAnsi="Verdana" w:cs="Times New Roman"/>
          <w:b/>
          <w:bCs/>
          <w:sz w:val="20"/>
          <w:szCs w:val="20"/>
        </w:rPr>
        <w:t>PRESENÇA:</w:t>
      </w:r>
      <w:r>
        <w:rPr>
          <w:rFonts w:ascii="Verdana" w:hAnsi="Verdana" w:cs="Times New Roman"/>
          <w:sz w:val="20"/>
          <w:szCs w:val="20"/>
        </w:rPr>
        <w:t xml:space="preserve"> </w:t>
      </w:r>
      <w:r w:rsidR="00E46C4C" w:rsidRPr="00173311">
        <w:rPr>
          <w:rFonts w:ascii="Verdana" w:hAnsi="Verdana" w:cs="Times New Roman"/>
          <w:sz w:val="20"/>
          <w:szCs w:val="20"/>
        </w:rPr>
        <w:t>Presentes</w:t>
      </w:r>
      <w:r>
        <w:rPr>
          <w:rFonts w:ascii="Verdana" w:hAnsi="Verdana" w:cs="Times New Roman"/>
          <w:sz w:val="20"/>
          <w:szCs w:val="20"/>
        </w:rPr>
        <w:t xml:space="preserve"> (i) os Debenturistas representando 100% (cem por cento) das Debêntures em Circulação, conforme assinaturas na Lista de Presença, constante do Anexo I à presente ata, (</w:t>
      </w:r>
      <w:proofErr w:type="spellStart"/>
      <w:r>
        <w:rPr>
          <w:rFonts w:ascii="Verdana" w:hAnsi="Verdana" w:cs="Times New Roman"/>
          <w:sz w:val="20"/>
          <w:szCs w:val="20"/>
        </w:rPr>
        <w:t>ii</w:t>
      </w:r>
      <w:proofErr w:type="spellEnd"/>
      <w:r>
        <w:rPr>
          <w:rFonts w:ascii="Verdana" w:hAnsi="Verdana" w:cs="Times New Roman"/>
          <w:sz w:val="20"/>
          <w:szCs w:val="20"/>
        </w:rPr>
        <w:t>)</w:t>
      </w:r>
      <w:r w:rsidR="00E46C4C" w:rsidRPr="00173311">
        <w:rPr>
          <w:rFonts w:ascii="Verdana" w:hAnsi="Verdana" w:cs="Times New Roman"/>
          <w:sz w:val="20"/>
          <w:szCs w:val="20"/>
        </w:rPr>
        <w:t xml:space="preserve"> o</w:t>
      </w:r>
      <w:r>
        <w:rPr>
          <w:rFonts w:ascii="Verdana" w:hAnsi="Verdana" w:cs="Times New Roman"/>
          <w:sz w:val="20"/>
          <w:szCs w:val="20"/>
        </w:rPr>
        <w:t>s</w:t>
      </w:r>
      <w:r w:rsidR="00E46C4C" w:rsidRPr="00173311">
        <w:rPr>
          <w:rFonts w:ascii="Verdana" w:hAnsi="Verdana" w:cs="Times New Roman"/>
          <w:sz w:val="20"/>
          <w:szCs w:val="20"/>
        </w:rPr>
        <w:t xml:space="preserve"> representante</w:t>
      </w:r>
      <w:r>
        <w:rPr>
          <w:rFonts w:ascii="Verdana" w:hAnsi="Verdana" w:cs="Times New Roman"/>
          <w:sz w:val="20"/>
          <w:szCs w:val="20"/>
        </w:rPr>
        <w:t>s</w:t>
      </w:r>
      <w:r w:rsidR="00E46C4C" w:rsidRPr="00173311">
        <w:rPr>
          <w:rFonts w:ascii="Verdana" w:hAnsi="Verdana" w:cs="Times New Roman"/>
          <w:sz w:val="20"/>
          <w:szCs w:val="20"/>
        </w:rPr>
        <w:t xml:space="preserve"> da </w:t>
      </w:r>
      <w:proofErr w:type="spellStart"/>
      <w:r w:rsidR="00E46C4C" w:rsidRPr="00173311">
        <w:rPr>
          <w:rFonts w:ascii="Verdana" w:hAnsi="Verdana" w:cs="Times New Roman"/>
          <w:sz w:val="20"/>
          <w:szCs w:val="20"/>
        </w:rPr>
        <w:t>Simplific</w:t>
      </w:r>
      <w:proofErr w:type="spellEnd"/>
      <w:r w:rsidR="00E46C4C" w:rsidRPr="00173311">
        <w:rPr>
          <w:rFonts w:ascii="Verdana" w:hAnsi="Verdana" w:cs="Times New Roman"/>
          <w:sz w:val="20"/>
          <w:szCs w:val="20"/>
        </w:rPr>
        <w:t xml:space="preserve"> </w:t>
      </w:r>
      <w:proofErr w:type="spellStart"/>
      <w:r w:rsidR="00E46C4C" w:rsidRPr="00173311">
        <w:rPr>
          <w:rFonts w:ascii="Verdana" w:hAnsi="Verdana" w:cs="Times New Roman"/>
          <w:sz w:val="20"/>
          <w:szCs w:val="20"/>
        </w:rPr>
        <w:t>Pavarini</w:t>
      </w:r>
      <w:proofErr w:type="spellEnd"/>
      <w:r w:rsidR="00E46C4C" w:rsidRPr="00173311">
        <w:rPr>
          <w:rFonts w:ascii="Verdana" w:hAnsi="Verdana" w:cs="Times New Roman"/>
          <w:sz w:val="20"/>
          <w:szCs w:val="20"/>
        </w:rPr>
        <w:t xml:space="preserve"> Distribuidora de Títulos e Valores Mobiliários Ltda., na qualidade de agente fiduciário da </w:t>
      </w:r>
      <w:r w:rsidR="001249F5" w:rsidRPr="00173311">
        <w:rPr>
          <w:rFonts w:ascii="Verdana" w:hAnsi="Verdana" w:cs="Times New Roman"/>
          <w:sz w:val="20"/>
          <w:szCs w:val="20"/>
        </w:rPr>
        <w:t>4</w:t>
      </w:r>
      <w:r w:rsidR="00E46C4C" w:rsidRPr="00173311">
        <w:rPr>
          <w:rFonts w:ascii="Verdana" w:hAnsi="Verdana" w:cs="Times New Roman"/>
          <w:sz w:val="20"/>
          <w:szCs w:val="20"/>
        </w:rPr>
        <w:t>ª Emissão (“</w:t>
      </w:r>
      <w:r w:rsidR="00E46C4C" w:rsidRPr="00173311">
        <w:rPr>
          <w:rFonts w:ascii="Verdana" w:hAnsi="Verdana" w:cs="Times New Roman"/>
          <w:sz w:val="20"/>
          <w:szCs w:val="20"/>
          <w:u w:val="single"/>
        </w:rPr>
        <w:t>Agente Fiduciário</w:t>
      </w:r>
      <w:r w:rsidR="00E46C4C" w:rsidRPr="00173311">
        <w:rPr>
          <w:rFonts w:ascii="Verdana" w:hAnsi="Verdana" w:cs="Times New Roman"/>
          <w:sz w:val="20"/>
          <w:szCs w:val="20"/>
        </w:rPr>
        <w:t xml:space="preserve">”), </w:t>
      </w:r>
      <w:r>
        <w:rPr>
          <w:rFonts w:ascii="Verdana" w:hAnsi="Verdana" w:cs="Times New Roman"/>
          <w:sz w:val="20"/>
          <w:szCs w:val="20"/>
        </w:rPr>
        <w:t>(</w:t>
      </w:r>
      <w:proofErr w:type="spellStart"/>
      <w:r>
        <w:rPr>
          <w:rFonts w:ascii="Verdana" w:hAnsi="Verdana" w:cs="Times New Roman"/>
          <w:sz w:val="20"/>
          <w:szCs w:val="20"/>
        </w:rPr>
        <w:t>iii</w:t>
      </w:r>
      <w:proofErr w:type="spellEnd"/>
      <w:r>
        <w:rPr>
          <w:rFonts w:ascii="Verdana" w:hAnsi="Verdana" w:cs="Times New Roman"/>
          <w:sz w:val="20"/>
          <w:szCs w:val="20"/>
        </w:rPr>
        <w:t xml:space="preserve">) </w:t>
      </w:r>
      <w:r w:rsidR="00E46C4C" w:rsidRPr="00173311">
        <w:rPr>
          <w:rFonts w:ascii="Verdana" w:hAnsi="Verdana" w:cs="Times New Roman"/>
          <w:sz w:val="20"/>
          <w:szCs w:val="20"/>
        </w:rPr>
        <w:t>os representantes da Emissora</w:t>
      </w:r>
      <w:r w:rsidR="00056282" w:rsidRPr="00173311">
        <w:rPr>
          <w:rFonts w:ascii="Verdana" w:hAnsi="Verdana" w:cs="Times New Roman"/>
          <w:sz w:val="20"/>
          <w:szCs w:val="20"/>
        </w:rPr>
        <w:t xml:space="preserve"> e </w:t>
      </w:r>
      <w:r>
        <w:rPr>
          <w:rFonts w:ascii="Verdana" w:hAnsi="Verdana" w:cs="Times New Roman"/>
          <w:sz w:val="20"/>
          <w:szCs w:val="20"/>
        </w:rPr>
        <w:t>(</w:t>
      </w:r>
      <w:proofErr w:type="spellStart"/>
      <w:r>
        <w:rPr>
          <w:rFonts w:ascii="Verdana" w:hAnsi="Verdana" w:cs="Times New Roman"/>
          <w:sz w:val="20"/>
          <w:szCs w:val="20"/>
        </w:rPr>
        <w:t>iv</w:t>
      </w:r>
      <w:proofErr w:type="spellEnd"/>
      <w:r>
        <w:rPr>
          <w:rFonts w:ascii="Verdana" w:hAnsi="Verdana" w:cs="Times New Roman"/>
          <w:sz w:val="20"/>
          <w:szCs w:val="20"/>
        </w:rPr>
        <w:t xml:space="preserve">) </w:t>
      </w:r>
      <w:r w:rsidR="00056282" w:rsidRPr="00173311">
        <w:rPr>
          <w:rFonts w:ascii="Verdana" w:hAnsi="Verdana" w:cs="Times New Roman"/>
          <w:sz w:val="20"/>
          <w:szCs w:val="20"/>
        </w:rPr>
        <w:t xml:space="preserve">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00E46C4C"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EC8D1C8"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COMPOSIÇÃO DA MESA</w:t>
      </w:r>
      <w:r w:rsidRPr="00173311">
        <w:rPr>
          <w:rFonts w:ascii="Verdana" w:hAnsi="Verdana" w:cs="Times New Roman"/>
          <w:sz w:val="20"/>
          <w:szCs w:val="20"/>
        </w:rPr>
        <w:t xml:space="preserve">: </w:t>
      </w:r>
      <w:r w:rsidR="001204E8">
        <w:rPr>
          <w:rFonts w:ascii="Verdana" w:hAnsi="Verdana" w:cs="Times New Roman"/>
          <w:sz w:val="20"/>
          <w:szCs w:val="20"/>
        </w:rPr>
        <w:t>Daniela Vieira Bragarbyk</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9E17A9">
        <w:rPr>
          <w:rFonts w:ascii="Verdana" w:hAnsi="Verdana" w:cs="Times New Roman"/>
          <w:b/>
          <w:bCs/>
          <w:sz w:val="20"/>
          <w:szCs w:val="20"/>
        </w:rPr>
        <w:t>ORDEM DO DIA:</w:t>
      </w:r>
      <w:r w:rsidRPr="009E17A9">
        <w:rPr>
          <w:rFonts w:ascii="Verdana" w:hAnsi="Verdana" w:cs="Times New Roman"/>
          <w:sz w:val="20"/>
          <w:szCs w:val="20"/>
        </w:rPr>
        <w:t xml:space="preserve"> deliberar sobre</w:t>
      </w:r>
      <w:r w:rsidR="00EA5EED" w:rsidRPr="009E17A9">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3DE8EAE4" w14:textId="52BC1741" w:rsidR="00316A01" w:rsidRDefault="00256075" w:rsidP="002A56D8">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E3E4E">
        <w:rPr>
          <w:rFonts w:ascii="Verdana" w:hAnsi="Verdana" w:cs="Times New Roman"/>
          <w:sz w:val="20"/>
          <w:szCs w:val="20"/>
        </w:rPr>
        <w:t xml:space="preserve">autorização </w:t>
      </w:r>
      <w:r w:rsidR="0063055E" w:rsidRPr="006E3E4E">
        <w:rPr>
          <w:rFonts w:ascii="Verdana" w:hAnsi="Verdana" w:cs="Times New Roman"/>
          <w:sz w:val="20"/>
          <w:szCs w:val="20"/>
        </w:rPr>
        <w:t xml:space="preserve">para alterar </w:t>
      </w:r>
      <w:r w:rsidR="00EA5EED" w:rsidRPr="006E3E4E">
        <w:rPr>
          <w:rFonts w:ascii="Verdana" w:hAnsi="Verdana" w:cs="Times New Roman"/>
          <w:sz w:val="20"/>
          <w:szCs w:val="20"/>
        </w:rPr>
        <w:t xml:space="preserve">a obrigação </w:t>
      </w:r>
      <w:r w:rsidR="004E79DA">
        <w:rPr>
          <w:rFonts w:ascii="Verdana" w:hAnsi="Verdana" w:cs="Times New Roman"/>
          <w:sz w:val="20"/>
          <w:szCs w:val="20"/>
        </w:rPr>
        <w:t xml:space="preserve">do pagamento mínimo mensal </w:t>
      </w:r>
      <w:r w:rsidR="001472D4">
        <w:rPr>
          <w:rFonts w:ascii="Verdana" w:hAnsi="Verdana" w:cs="Times New Roman"/>
          <w:sz w:val="20"/>
          <w:szCs w:val="20"/>
        </w:rPr>
        <w:t xml:space="preserve">dos Direitos Creditórios – HNK </w:t>
      </w:r>
      <w:r w:rsidR="004E79DA">
        <w:rPr>
          <w:rFonts w:ascii="Verdana" w:hAnsi="Verdana" w:cs="Times New Roman"/>
          <w:sz w:val="20"/>
          <w:szCs w:val="20"/>
        </w:rPr>
        <w:t xml:space="preserve">de R$ 20.000.000,00 (vinte milhões de reais), decorrente do compromisso de </w:t>
      </w:r>
      <w:r w:rsidR="004E79DA">
        <w:rPr>
          <w:rFonts w:ascii="Verdana" w:hAnsi="Verdana" w:cs="Times New Roman"/>
          <w:i/>
          <w:iCs/>
          <w:sz w:val="20"/>
          <w:szCs w:val="20"/>
        </w:rPr>
        <w:t xml:space="preserve">take </w:t>
      </w:r>
      <w:proofErr w:type="spellStart"/>
      <w:r w:rsidR="004E79DA">
        <w:rPr>
          <w:rFonts w:ascii="Verdana" w:hAnsi="Verdana" w:cs="Times New Roman"/>
          <w:i/>
          <w:iCs/>
          <w:sz w:val="20"/>
          <w:szCs w:val="20"/>
        </w:rPr>
        <w:t>or</w:t>
      </w:r>
      <w:proofErr w:type="spellEnd"/>
      <w:r w:rsidR="004E79DA">
        <w:rPr>
          <w:rFonts w:ascii="Verdana" w:hAnsi="Verdana" w:cs="Times New Roman"/>
          <w:i/>
          <w:iCs/>
          <w:sz w:val="20"/>
          <w:szCs w:val="20"/>
        </w:rPr>
        <w:t xml:space="preserve"> </w:t>
      </w:r>
      <w:proofErr w:type="spellStart"/>
      <w:r w:rsidR="004E79DA">
        <w:rPr>
          <w:rFonts w:ascii="Verdana" w:hAnsi="Verdana" w:cs="Times New Roman"/>
          <w:i/>
          <w:iCs/>
          <w:sz w:val="20"/>
          <w:szCs w:val="20"/>
        </w:rPr>
        <w:t>pay</w:t>
      </w:r>
      <w:proofErr w:type="spellEnd"/>
      <w:r w:rsidR="004E79DA">
        <w:rPr>
          <w:rFonts w:ascii="Verdana" w:hAnsi="Verdana" w:cs="Times New Roman"/>
          <w:i/>
          <w:iCs/>
          <w:sz w:val="20"/>
          <w:szCs w:val="20"/>
        </w:rPr>
        <w:t xml:space="preserve">, </w:t>
      </w:r>
      <w:r w:rsidR="004E79DA">
        <w:rPr>
          <w:rFonts w:ascii="Verdana" w:hAnsi="Verdana" w:cs="Times New Roman"/>
          <w:sz w:val="20"/>
          <w:szCs w:val="20"/>
        </w:rPr>
        <w:t xml:space="preserve">pactuado no </w:t>
      </w:r>
      <w:r w:rsidR="001472D4" w:rsidRPr="00880BD2">
        <w:rPr>
          <w:rFonts w:ascii="Verdana" w:hAnsi="Verdana" w:cs="Times New Roman"/>
          <w:sz w:val="20"/>
          <w:szCs w:val="20"/>
        </w:rPr>
        <w:t xml:space="preserve">Termo Aditivo </w:t>
      </w:r>
      <w:r w:rsidR="001472D4">
        <w:rPr>
          <w:rFonts w:ascii="Verdana" w:hAnsi="Verdana" w:cs="Times New Roman"/>
          <w:sz w:val="20"/>
          <w:szCs w:val="20"/>
        </w:rPr>
        <w:t>a</w:t>
      </w:r>
      <w:r w:rsidR="001472D4" w:rsidRPr="00880BD2">
        <w:rPr>
          <w:rFonts w:ascii="Verdana" w:hAnsi="Verdana" w:cs="Times New Roman"/>
          <w:sz w:val="20"/>
          <w:szCs w:val="20"/>
        </w:rPr>
        <w:t xml:space="preserve">o Contrato </w:t>
      </w:r>
      <w:r w:rsidR="001472D4">
        <w:rPr>
          <w:rFonts w:ascii="Verdana" w:hAnsi="Verdana" w:cs="Times New Roman"/>
          <w:sz w:val="20"/>
          <w:szCs w:val="20"/>
        </w:rPr>
        <w:t>d</w:t>
      </w:r>
      <w:r w:rsidR="001472D4" w:rsidRPr="00880BD2">
        <w:rPr>
          <w:rFonts w:ascii="Verdana" w:hAnsi="Verdana" w:cs="Times New Roman"/>
          <w:sz w:val="20"/>
          <w:szCs w:val="20"/>
        </w:rPr>
        <w:t>e</w:t>
      </w:r>
      <w:r w:rsidR="001472D4">
        <w:rPr>
          <w:rFonts w:ascii="Verdana" w:hAnsi="Verdana" w:cs="Times New Roman"/>
          <w:sz w:val="20"/>
          <w:szCs w:val="20"/>
        </w:rPr>
        <w:t xml:space="preserve"> </w:t>
      </w:r>
      <w:r w:rsidR="001472D4" w:rsidRPr="00880BD2">
        <w:rPr>
          <w:rFonts w:ascii="Verdana" w:hAnsi="Verdana" w:cs="Times New Roman"/>
          <w:sz w:val="20"/>
          <w:szCs w:val="20"/>
        </w:rPr>
        <w:t xml:space="preserve">Fornecimento </w:t>
      </w:r>
      <w:r w:rsidR="001472D4">
        <w:rPr>
          <w:rFonts w:ascii="Verdana" w:hAnsi="Verdana" w:cs="Times New Roman"/>
          <w:sz w:val="20"/>
          <w:szCs w:val="20"/>
        </w:rPr>
        <w:t>d</w:t>
      </w:r>
      <w:r w:rsidR="001472D4" w:rsidRPr="00880BD2">
        <w:rPr>
          <w:rFonts w:ascii="Verdana" w:hAnsi="Verdana" w:cs="Times New Roman"/>
          <w:sz w:val="20"/>
          <w:szCs w:val="20"/>
        </w:rPr>
        <w:t xml:space="preserve">e Garrafas </w:t>
      </w:r>
      <w:r w:rsidR="001472D4">
        <w:rPr>
          <w:rFonts w:ascii="Verdana" w:hAnsi="Verdana" w:cs="Times New Roman"/>
          <w:sz w:val="20"/>
          <w:szCs w:val="20"/>
        </w:rPr>
        <w:t>d</w:t>
      </w:r>
      <w:r w:rsidR="001472D4" w:rsidRPr="00880BD2">
        <w:rPr>
          <w:rFonts w:ascii="Verdana" w:hAnsi="Verdana" w:cs="Times New Roman"/>
          <w:sz w:val="20"/>
          <w:szCs w:val="20"/>
        </w:rPr>
        <w:t>e Vidro</w:t>
      </w:r>
      <w:r w:rsidR="004E79DA">
        <w:rPr>
          <w:rFonts w:ascii="Verdana" w:hAnsi="Verdana" w:cs="Times New Roman"/>
          <w:sz w:val="20"/>
          <w:szCs w:val="20"/>
        </w:rPr>
        <w:t xml:space="preserve"> </w:t>
      </w:r>
      <w:r w:rsidR="001472D4" w:rsidRPr="00880BD2">
        <w:rPr>
          <w:rFonts w:ascii="Verdana" w:hAnsi="Verdana" w:cs="Times New Roman"/>
          <w:sz w:val="20"/>
          <w:szCs w:val="20"/>
        </w:rPr>
        <w:t xml:space="preserve">firmado em 27 de abril de </w:t>
      </w:r>
      <w:r w:rsidR="004E79DA" w:rsidRPr="00880BD2">
        <w:rPr>
          <w:rFonts w:ascii="Verdana" w:hAnsi="Verdana" w:cs="Times New Roman"/>
          <w:sz w:val="20"/>
          <w:szCs w:val="20"/>
        </w:rPr>
        <w:t>2018</w:t>
      </w:r>
      <w:r w:rsidR="004E79DA">
        <w:rPr>
          <w:rFonts w:ascii="Verdana" w:hAnsi="Verdana" w:cs="Times New Roman"/>
          <w:sz w:val="20"/>
          <w:szCs w:val="20"/>
        </w:rPr>
        <w:t>,</w:t>
      </w:r>
      <w:r w:rsidR="004E79DA">
        <w:rPr>
          <w:rFonts w:ascii="Verdana" w:hAnsi="Verdana" w:cs="Times New Roman"/>
          <w:i/>
          <w:iCs/>
          <w:sz w:val="20"/>
          <w:szCs w:val="20"/>
        </w:rPr>
        <w:t xml:space="preserve"> </w:t>
      </w:r>
      <w:r w:rsidR="004E79DA">
        <w:rPr>
          <w:rFonts w:ascii="Verdana" w:hAnsi="Verdana" w:cs="Times New Roman"/>
          <w:sz w:val="20"/>
          <w:szCs w:val="20"/>
        </w:rPr>
        <w:t xml:space="preserve">que se iniciaria </w:t>
      </w:r>
      <w:r w:rsidR="00EA5EED" w:rsidRPr="006E3E4E">
        <w:rPr>
          <w:rFonts w:ascii="Verdana" w:hAnsi="Verdana" w:cs="Times New Roman"/>
          <w:sz w:val="20"/>
          <w:szCs w:val="20"/>
        </w:rPr>
        <w:t>a partir de 30 de junho de 2023 (inclusive)</w:t>
      </w:r>
      <w:r w:rsidR="00FB531A">
        <w:rPr>
          <w:rFonts w:ascii="Verdana" w:hAnsi="Verdana" w:cs="Times New Roman"/>
          <w:sz w:val="20"/>
          <w:szCs w:val="20"/>
        </w:rPr>
        <w:t>, conforme disposto na Cláusula 4.8.</w:t>
      </w:r>
      <w:r w:rsidR="00E844D7">
        <w:rPr>
          <w:rFonts w:ascii="Verdana" w:hAnsi="Verdana" w:cs="Times New Roman"/>
          <w:sz w:val="20"/>
          <w:szCs w:val="20"/>
        </w:rPr>
        <w:t>4</w:t>
      </w:r>
      <w:r w:rsidR="00FB531A">
        <w:rPr>
          <w:rFonts w:ascii="Verdana" w:hAnsi="Verdana" w:cs="Times New Roman"/>
          <w:sz w:val="20"/>
          <w:szCs w:val="20"/>
        </w:rPr>
        <w:t xml:space="preserve"> do</w:t>
      </w:r>
      <w:r w:rsidR="00E844D7">
        <w:rPr>
          <w:rFonts w:ascii="Verdana" w:hAnsi="Verdana" w:cs="Times New Roman"/>
          <w:sz w:val="20"/>
          <w:szCs w:val="20"/>
        </w:rPr>
        <w:t xml:space="preserve"> Contrato de Cessão Fiduciária de Direitos Creditórios em Garantia e Outras Avenças (“</w:t>
      </w:r>
      <w:r w:rsidR="00E844D7" w:rsidRPr="001204E8">
        <w:rPr>
          <w:rFonts w:ascii="Verdana" w:hAnsi="Verdana" w:cs="Times New Roman"/>
          <w:sz w:val="20"/>
          <w:szCs w:val="20"/>
          <w:u w:val="single"/>
        </w:rPr>
        <w:t>Contrato de Cessão Fiduciária</w:t>
      </w:r>
      <w:r w:rsidR="00E844D7">
        <w:rPr>
          <w:rFonts w:ascii="Verdana" w:hAnsi="Verdana" w:cs="Times New Roman"/>
          <w:sz w:val="20"/>
          <w:szCs w:val="20"/>
        </w:rPr>
        <w:t>”),</w:t>
      </w:r>
      <w:r w:rsidR="00FB531A">
        <w:rPr>
          <w:rFonts w:ascii="Verdana" w:hAnsi="Verdana" w:cs="Times New Roman"/>
          <w:sz w:val="20"/>
          <w:szCs w:val="20"/>
        </w:rPr>
        <w:t xml:space="preserve"> </w:t>
      </w:r>
      <w:r w:rsidR="004E79DA">
        <w:rPr>
          <w:rFonts w:ascii="Verdana" w:hAnsi="Verdana" w:cs="Times New Roman"/>
          <w:sz w:val="20"/>
          <w:szCs w:val="20"/>
        </w:rPr>
        <w:t xml:space="preserve"> para que se inicie </w:t>
      </w:r>
      <w:r w:rsidR="00EA5EED" w:rsidRPr="006E3E4E">
        <w:rPr>
          <w:rFonts w:ascii="Verdana" w:hAnsi="Verdana" w:cs="Times New Roman"/>
          <w:sz w:val="20"/>
          <w:szCs w:val="20"/>
        </w:rPr>
        <w:t xml:space="preserve">a partir de </w:t>
      </w:r>
      <w:r w:rsidR="001204E8">
        <w:rPr>
          <w:rFonts w:ascii="Verdana" w:hAnsi="Verdana" w:cs="Times New Roman"/>
          <w:sz w:val="20"/>
          <w:szCs w:val="20"/>
        </w:rPr>
        <w:t xml:space="preserve">31 de dezembro de 2023 </w:t>
      </w:r>
      <w:r w:rsidR="00E844D7">
        <w:rPr>
          <w:rFonts w:ascii="Verdana" w:hAnsi="Verdana" w:cs="Times New Roman"/>
          <w:sz w:val="20"/>
          <w:szCs w:val="20"/>
        </w:rPr>
        <w:t>(inclusive)</w:t>
      </w:r>
      <w:r w:rsidR="004E79DA">
        <w:rPr>
          <w:rFonts w:ascii="Verdana" w:hAnsi="Verdana" w:cs="Times New Roman"/>
          <w:sz w:val="20"/>
          <w:szCs w:val="20"/>
        </w:rPr>
        <w:t>, ficando, portanto, a Companhia sujeita a tal obrigação apenas a partir de tal data</w:t>
      </w:r>
      <w:r w:rsidR="00E844D7">
        <w:rPr>
          <w:rFonts w:ascii="Verdana" w:hAnsi="Verdana" w:cs="Times New Roman"/>
          <w:sz w:val="20"/>
          <w:szCs w:val="20"/>
        </w:rPr>
        <w:t xml:space="preserve"> (inclusive)</w:t>
      </w:r>
      <w:r w:rsidR="001472D4">
        <w:rPr>
          <w:rFonts w:ascii="Verdana" w:hAnsi="Verdana" w:cs="Times New Roman"/>
          <w:sz w:val="20"/>
          <w:szCs w:val="20"/>
        </w:rPr>
        <w:t>;</w:t>
      </w:r>
    </w:p>
    <w:p w14:paraId="6844DF5F" w14:textId="77777777" w:rsidR="00316A01" w:rsidRDefault="00316A01" w:rsidP="00316A01">
      <w:pPr>
        <w:pStyle w:val="PargrafodaLista"/>
        <w:shd w:val="clear" w:color="auto" w:fill="FFFFFF"/>
        <w:spacing w:after="0" w:line="320" w:lineRule="exact"/>
        <w:jc w:val="both"/>
        <w:rPr>
          <w:rFonts w:ascii="Verdana" w:hAnsi="Verdana" w:cs="Times New Roman"/>
          <w:sz w:val="20"/>
          <w:szCs w:val="20"/>
        </w:rPr>
      </w:pPr>
    </w:p>
    <w:p w14:paraId="421B9552" w14:textId="53B0FDB7" w:rsidR="00801414" w:rsidRPr="00316A01" w:rsidRDefault="00801414" w:rsidP="00801414">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Pr>
          <w:rFonts w:ascii="Verdana" w:hAnsi="Verdana" w:cs="Times New Roman"/>
          <w:sz w:val="20"/>
          <w:szCs w:val="20"/>
        </w:rPr>
        <w:t>c</w:t>
      </w:r>
      <w:r w:rsidRPr="0094419B">
        <w:rPr>
          <w:rFonts w:ascii="Verdana" w:hAnsi="Verdana" w:cs="Times New Roman"/>
          <w:sz w:val="20"/>
          <w:szCs w:val="20"/>
        </w:rPr>
        <w:t>aso ocorra</w:t>
      </w:r>
      <w:r>
        <w:rPr>
          <w:rFonts w:ascii="Verdana" w:hAnsi="Verdana" w:cs="Times New Roman"/>
          <w:sz w:val="20"/>
          <w:szCs w:val="20"/>
        </w:rPr>
        <w:t>m</w:t>
      </w:r>
      <w:r w:rsidRPr="0094419B">
        <w:rPr>
          <w:rFonts w:ascii="Verdana" w:hAnsi="Verdana" w:cs="Times New Roman"/>
          <w:sz w:val="20"/>
          <w:szCs w:val="20"/>
        </w:rPr>
        <w:t xml:space="preserve"> hipóteses de não pagamento dos recebíveis </w:t>
      </w:r>
      <w:r w:rsidR="00990DD6">
        <w:rPr>
          <w:rFonts w:ascii="Verdana" w:hAnsi="Verdana" w:cs="Times New Roman"/>
          <w:sz w:val="20"/>
          <w:szCs w:val="20"/>
        </w:rPr>
        <w:t>do Contrato Petrópolis</w:t>
      </w:r>
      <w:r w:rsidRPr="008F1988">
        <w:rPr>
          <w:rFonts w:ascii="Verdana" w:hAnsi="Verdana"/>
          <w:sz w:val="20"/>
          <w:szCs w:val="20"/>
        </w:rPr>
        <w:t>,</w:t>
      </w:r>
      <w:r w:rsidRPr="0094419B">
        <w:rPr>
          <w:rFonts w:ascii="Verdana" w:hAnsi="Verdana" w:cs="Times New Roman"/>
          <w:sz w:val="20"/>
          <w:szCs w:val="20"/>
        </w:rPr>
        <w:t xml:space="preserve"> </w:t>
      </w:r>
      <w:r>
        <w:rPr>
          <w:rFonts w:ascii="Verdana" w:hAnsi="Verdana" w:cs="Times New Roman"/>
          <w:sz w:val="20"/>
          <w:szCs w:val="20"/>
        </w:rPr>
        <w:t xml:space="preserve">conforme </w:t>
      </w:r>
      <w:r w:rsidR="00990DD6">
        <w:rPr>
          <w:rFonts w:ascii="Verdana" w:hAnsi="Verdana" w:cs="Times New Roman"/>
          <w:sz w:val="20"/>
          <w:szCs w:val="20"/>
        </w:rPr>
        <w:t>definido</w:t>
      </w:r>
      <w:r w:rsidR="00990DD6" w:rsidRPr="0094419B">
        <w:rPr>
          <w:rFonts w:ascii="Verdana" w:hAnsi="Verdana" w:cs="Times New Roman"/>
          <w:sz w:val="20"/>
          <w:szCs w:val="20"/>
        </w:rPr>
        <w:t xml:space="preserve"> </w:t>
      </w:r>
      <w:r w:rsidRPr="0094419B">
        <w:rPr>
          <w:rFonts w:ascii="Verdana" w:hAnsi="Verdana" w:cs="Times New Roman"/>
          <w:sz w:val="20"/>
          <w:szCs w:val="20"/>
        </w:rPr>
        <w:t xml:space="preserve">no </w:t>
      </w:r>
      <w:r w:rsidRPr="008F1988">
        <w:rPr>
          <w:rFonts w:ascii="Verdana" w:hAnsi="Verdana" w:cs="Times New Roman"/>
          <w:sz w:val="20"/>
          <w:szCs w:val="20"/>
        </w:rPr>
        <w:t>item (b) da Cláusula 3.9.</w:t>
      </w:r>
      <w:r w:rsidRPr="0094419B">
        <w:rPr>
          <w:rFonts w:ascii="Verdana" w:hAnsi="Verdana" w:cs="Times New Roman"/>
          <w:sz w:val="20"/>
          <w:szCs w:val="20"/>
        </w:rPr>
        <w:t>1</w:t>
      </w:r>
      <w:r>
        <w:rPr>
          <w:rFonts w:ascii="Verdana" w:hAnsi="Verdana" w:cs="Times New Roman"/>
          <w:sz w:val="20"/>
          <w:szCs w:val="20"/>
        </w:rPr>
        <w:t xml:space="preserve"> da Escritura de Emissão, a </w:t>
      </w:r>
      <w:r w:rsidRPr="0094419B">
        <w:rPr>
          <w:rFonts w:ascii="Verdana" w:hAnsi="Verdana" w:cs="Times New Roman"/>
          <w:sz w:val="20"/>
          <w:szCs w:val="20"/>
        </w:rPr>
        <w:t>autorização para a Emissora re</w:t>
      </w:r>
      <w:r w:rsidRPr="008F1988">
        <w:rPr>
          <w:rFonts w:ascii="Verdana" w:hAnsi="Verdana" w:cs="Times New Roman"/>
          <w:sz w:val="20"/>
          <w:szCs w:val="20"/>
        </w:rPr>
        <w:t>forçar ou substituir a</w:t>
      </w:r>
      <w:r w:rsidRPr="0094419B">
        <w:rPr>
          <w:rFonts w:ascii="Verdana" w:hAnsi="Verdana" w:cs="Times New Roman"/>
          <w:sz w:val="20"/>
          <w:szCs w:val="20"/>
        </w:rPr>
        <w:t xml:space="preserve"> garantia</w:t>
      </w:r>
      <w:r w:rsidR="008371A1">
        <w:rPr>
          <w:rFonts w:ascii="Verdana" w:hAnsi="Verdana" w:cs="Times New Roman"/>
          <w:sz w:val="20"/>
          <w:szCs w:val="20"/>
        </w:rPr>
        <w:t>, sem que isso resulte em declaração de</w:t>
      </w:r>
      <w:r w:rsidR="008371A1" w:rsidRPr="0094419B">
        <w:rPr>
          <w:rFonts w:ascii="Verdana" w:hAnsi="Verdana" w:cs="Times New Roman"/>
          <w:sz w:val="20"/>
          <w:szCs w:val="20"/>
        </w:rPr>
        <w:t xml:space="preserve"> evento de vencimento antecipado</w:t>
      </w:r>
      <w:r w:rsidR="008371A1">
        <w:rPr>
          <w:rFonts w:ascii="Verdana" w:hAnsi="Verdana" w:cs="Times New Roman"/>
          <w:sz w:val="20"/>
          <w:szCs w:val="20"/>
        </w:rPr>
        <w:t xml:space="preserve"> das Debêntures,</w:t>
      </w:r>
      <w:r w:rsidRPr="0094419B">
        <w:rPr>
          <w:rFonts w:ascii="Verdana" w:hAnsi="Verdana" w:cs="Times New Roman"/>
          <w:sz w:val="20"/>
          <w:szCs w:val="20"/>
        </w:rPr>
        <w:t xml:space="preserve"> mediante </w:t>
      </w:r>
      <w:r w:rsidRPr="008371A1">
        <w:rPr>
          <w:rFonts w:ascii="Verdana" w:hAnsi="Verdana" w:cs="Times New Roman"/>
          <w:b/>
          <w:bCs/>
          <w:sz w:val="20"/>
          <w:szCs w:val="20"/>
        </w:rPr>
        <w:t>(i)</w:t>
      </w:r>
      <w:r w:rsidRPr="0094419B">
        <w:rPr>
          <w:rFonts w:ascii="Verdana" w:hAnsi="Verdana" w:cs="Times New Roman"/>
          <w:sz w:val="20"/>
          <w:szCs w:val="20"/>
        </w:rPr>
        <w:t xml:space="preserve"> depósito no valor de </w:t>
      </w:r>
      <w:r>
        <w:rPr>
          <w:rFonts w:ascii="Verdana" w:hAnsi="Verdana" w:cs="Times New Roman"/>
          <w:sz w:val="20"/>
          <w:szCs w:val="20"/>
        </w:rPr>
        <w:t>R$8.000.000,00 (oito milhões de reais)</w:t>
      </w:r>
      <w:r w:rsidRPr="0094419B">
        <w:rPr>
          <w:rFonts w:ascii="Verdana" w:hAnsi="Verdana" w:cs="Times New Roman"/>
          <w:sz w:val="20"/>
          <w:szCs w:val="20"/>
        </w:rPr>
        <w:t xml:space="preserve"> na Conta Vinculada</w:t>
      </w:r>
      <w:r>
        <w:rPr>
          <w:rFonts w:ascii="Verdana" w:hAnsi="Verdana" w:cs="Times New Roman"/>
          <w:sz w:val="20"/>
          <w:szCs w:val="20"/>
        </w:rPr>
        <w:t>, sendo certo que neste caso</w:t>
      </w:r>
      <w:r w:rsidR="00177F85">
        <w:rPr>
          <w:rFonts w:ascii="Verdana" w:hAnsi="Verdana" w:cs="Times New Roman"/>
          <w:sz w:val="20"/>
          <w:szCs w:val="20"/>
        </w:rPr>
        <w:t>,</w:t>
      </w:r>
      <w:r>
        <w:rPr>
          <w:rFonts w:ascii="Verdana" w:hAnsi="Verdana" w:cs="Times New Roman"/>
          <w:sz w:val="20"/>
          <w:szCs w:val="20"/>
        </w:rPr>
        <w:t xml:space="preserve"> os valores serão </w:t>
      </w:r>
      <w:r w:rsidR="00177F85">
        <w:rPr>
          <w:rFonts w:ascii="Verdana" w:hAnsi="Verdana" w:cs="Times New Roman"/>
          <w:sz w:val="20"/>
          <w:szCs w:val="20"/>
        </w:rPr>
        <w:t>aplicados</w:t>
      </w:r>
      <w:r>
        <w:rPr>
          <w:rFonts w:ascii="Verdana" w:hAnsi="Verdana" w:cs="Times New Roman"/>
          <w:sz w:val="20"/>
          <w:szCs w:val="20"/>
        </w:rPr>
        <w:t xml:space="preserve"> em títulos de renda fixa com liquidez diária que </w:t>
      </w:r>
      <w:r w:rsidR="00177F85">
        <w:rPr>
          <w:rFonts w:ascii="Verdana" w:hAnsi="Verdana" w:cs="Times New Roman"/>
          <w:sz w:val="20"/>
          <w:szCs w:val="20"/>
        </w:rPr>
        <w:t xml:space="preserve">deverão </w:t>
      </w:r>
      <w:r>
        <w:rPr>
          <w:rFonts w:ascii="Verdana" w:hAnsi="Verdana" w:cs="Times New Roman"/>
          <w:sz w:val="20"/>
          <w:szCs w:val="20"/>
        </w:rPr>
        <w:t>ficar retido</w:t>
      </w:r>
      <w:r w:rsidR="00177F85">
        <w:rPr>
          <w:rFonts w:ascii="Verdana" w:hAnsi="Verdana" w:cs="Times New Roman"/>
          <w:sz w:val="20"/>
          <w:szCs w:val="20"/>
        </w:rPr>
        <w:t>s</w:t>
      </w:r>
      <w:r>
        <w:rPr>
          <w:rFonts w:ascii="Verdana" w:hAnsi="Verdana" w:cs="Times New Roman"/>
          <w:sz w:val="20"/>
          <w:szCs w:val="20"/>
        </w:rPr>
        <w:t xml:space="preserve"> até o cumprimento da obrigação indicada no item (a) da Ordem do Dia</w:t>
      </w:r>
      <w:r w:rsidRPr="0094419B">
        <w:rPr>
          <w:rFonts w:ascii="Verdana" w:hAnsi="Verdana" w:cs="Times New Roman"/>
          <w:sz w:val="20"/>
          <w:szCs w:val="20"/>
        </w:rPr>
        <w:t xml:space="preserve">; ou </w:t>
      </w:r>
      <w:r w:rsidRPr="008371A1">
        <w:rPr>
          <w:rFonts w:ascii="Verdana" w:hAnsi="Verdana" w:cs="Times New Roman"/>
          <w:b/>
          <w:bCs/>
          <w:sz w:val="20"/>
          <w:szCs w:val="20"/>
        </w:rPr>
        <w:t>(</w:t>
      </w:r>
      <w:proofErr w:type="spellStart"/>
      <w:r w:rsidRPr="008371A1">
        <w:rPr>
          <w:rFonts w:ascii="Verdana" w:hAnsi="Verdana" w:cs="Times New Roman"/>
          <w:b/>
          <w:bCs/>
          <w:sz w:val="20"/>
          <w:szCs w:val="20"/>
        </w:rPr>
        <w:t>ii</w:t>
      </w:r>
      <w:proofErr w:type="spellEnd"/>
      <w:r w:rsidRPr="008371A1">
        <w:rPr>
          <w:rFonts w:ascii="Verdana" w:hAnsi="Verdana" w:cs="Times New Roman"/>
          <w:b/>
          <w:bCs/>
          <w:sz w:val="20"/>
          <w:szCs w:val="20"/>
        </w:rPr>
        <w:t>)</w:t>
      </w:r>
      <w:r w:rsidRPr="0094419B">
        <w:rPr>
          <w:rFonts w:ascii="Verdana" w:hAnsi="Verdana" w:cs="Times New Roman"/>
          <w:sz w:val="20"/>
          <w:szCs w:val="20"/>
        </w:rPr>
        <w:t xml:space="preserve"> </w:t>
      </w:r>
      <w:r>
        <w:rPr>
          <w:rFonts w:ascii="Verdana" w:hAnsi="Verdana" w:cs="Times New Roman"/>
          <w:sz w:val="20"/>
          <w:szCs w:val="20"/>
        </w:rPr>
        <w:t xml:space="preserve">a constituição de </w:t>
      </w:r>
      <w:r w:rsidRPr="0094419B">
        <w:rPr>
          <w:rFonts w:ascii="Verdana" w:hAnsi="Verdana" w:cs="Times New Roman"/>
          <w:sz w:val="20"/>
          <w:szCs w:val="20"/>
        </w:rPr>
        <w:t>cessão fiduciária de outro contrato</w:t>
      </w:r>
      <w:r>
        <w:rPr>
          <w:rFonts w:ascii="Verdana" w:hAnsi="Verdana" w:cs="Times New Roman"/>
          <w:sz w:val="20"/>
          <w:szCs w:val="20"/>
        </w:rPr>
        <w:t>,</w:t>
      </w:r>
      <w:r w:rsidRPr="0094419B">
        <w:rPr>
          <w:rFonts w:ascii="Verdana" w:hAnsi="Verdana" w:cs="Times New Roman"/>
          <w:sz w:val="20"/>
          <w:szCs w:val="20"/>
        </w:rPr>
        <w:t xml:space="preserve"> que venha a ser aprovado pelos Debenturista</w:t>
      </w:r>
      <w:r>
        <w:rPr>
          <w:rFonts w:ascii="Verdana" w:hAnsi="Verdana" w:cs="Times New Roman"/>
          <w:sz w:val="20"/>
          <w:szCs w:val="20"/>
        </w:rPr>
        <w:t>s</w:t>
      </w:r>
      <w:r w:rsidRPr="0094419B">
        <w:rPr>
          <w:rFonts w:ascii="Verdana" w:hAnsi="Verdana" w:cs="Times New Roman"/>
          <w:sz w:val="20"/>
          <w:szCs w:val="20"/>
        </w:rPr>
        <w:t xml:space="preserve"> em Assembleia Geral de Debenturistas</w:t>
      </w:r>
      <w:r w:rsidR="008371A1">
        <w:rPr>
          <w:rFonts w:ascii="Verdana" w:hAnsi="Verdana" w:cs="Times New Roman"/>
          <w:sz w:val="20"/>
          <w:szCs w:val="20"/>
        </w:rPr>
        <w:t xml:space="preserve">, sendo certo que caso o contrato não seja aceito pelos Debenturistas, a Companhia </w:t>
      </w:r>
      <w:r w:rsidR="00CB337D">
        <w:rPr>
          <w:rFonts w:ascii="Verdana" w:hAnsi="Verdana" w:cs="Times New Roman"/>
          <w:sz w:val="20"/>
          <w:szCs w:val="20"/>
        </w:rPr>
        <w:t>deverá</w:t>
      </w:r>
      <w:r w:rsidR="008371A1">
        <w:rPr>
          <w:rFonts w:ascii="Verdana" w:hAnsi="Verdana" w:cs="Times New Roman"/>
          <w:sz w:val="20"/>
          <w:szCs w:val="20"/>
        </w:rPr>
        <w:t xml:space="preserve"> prosseguir com o depósito previsto no item (i) acima, sob pena de declaração do vencimento antecipado das Debêntures</w:t>
      </w:r>
      <w:r>
        <w:rPr>
          <w:rFonts w:ascii="Verdana" w:hAnsi="Verdana" w:cs="Times New Roman"/>
          <w:sz w:val="20"/>
          <w:szCs w:val="20"/>
        </w:rPr>
        <w:t>;</w:t>
      </w:r>
      <w:r w:rsidRPr="00316A01">
        <w:rPr>
          <w:rFonts w:ascii="Verdana" w:hAnsi="Verdana" w:cs="Times New Roman"/>
          <w:sz w:val="20"/>
          <w:szCs w:val="20"/>
        </w:rPr>
        <w:t xml:space="preserve"> e</w:t>
      </w:r>
    </w:p>
    <w:p w14:paraId="10A7E471" w14:textId="77777777" w:rsidR="004E79DA" w:rsidRDefault="004E79DA" w:rsidP="001472D4">
      <w:pPr>
        <w:pStyle w:val="PargrafodaLista"/>
        <w:rPr>
          <w:rFonts w:ascii="Verdana" w:hAnsi="Verdana" w:cs="Times New Roman"/>
          <w:sz w:val="20"/>
          <w:szCs w:val="20"/>
        </w:rPr>
      </w:pPr>
    </w:p>
    <w:p w14:paraId="3F2A7712" w14:textId="0DBC13C7"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w:t>
      </w:r>
      <w:r w:rsidR="00316A01">
        <w:rPr>
          <w:rFonts w:ascii="Verdana" w:hAnsi="Verdana" w:cs="Times New Roman"/>
          <w:sz w:val="20"/>
          <w:szCs w:val="20"/>
        </w:rPr>
        <w:t>quaisquer d</w:t>
      </w:r>
      <w:r w:rsidR="006E3E4E">
        <w:rPr>
          <w:rFonts w:ascii="Verdana" w:hAnsi="Verdana" w:cs="Times New Roman"/>
          <w:sz w:val="20"/>
          <w:szCs w:val="20"/>
        </w:rPr>
        <w:t>a</w:t>
      </w:r>
      <w:r w:rsidR="00316A01">
        <w:rPr>
          <w:rFonts w:ascii="Verdana" w:hAnsi="Verdana" w:cs="Times New Roman"/>
          <w:sz w:val="20"/>
          <w:szCs w:val="20"/>
        </w:rPr>
        <w:t>s</w:t>
      </w:r>
      <w:r w:rsidR="006E3E4E">
        <w:rPr>
          <w:rFonts w:ascii="Verdana" w:hAnsi="Verdana" w:cs="Times New Roman"/>
          <w:sz w:val="20"/>
          <w:szCs w:val="20"/>
        </w:rPr>
        <w:t xml:space="preserve"> </w:t>
      </w:r>
      <w:r w:rsidRPr="0069240A">
        <w:rPr>
          <w:rFonts w:ascii="Verdana" w:hAnsi="Verdana" w:cs="Times New Roman"/>
          <w:sz w:val="20"/>
          <w:szCs w:val="20"/>
        </w:rPr>
        <w:t>matéria</w:t>
      </w:r>
      <w:r w:rsidR="00316A01">
        <w:rPr>
          <w:rFonts w:ascii="Verdana" w:hAnsi="Verdana" w:cs="Times New Roman"/>
          <w:sz w:val="20"/>
          <w:szCs w:val="20"/>
        </w:rPr>
        <w:t>s</w:t>
      </w:r>
      <w:r w:rsidRPr="0069240A">
        <w:rPr>
          <w:rFonts w:ascii="Verdana" w:hAnsi="Verdana" w:cs="Times New Roman"/>
          <w:sz w:val="20"/>
          <w:szCs w:val="20"/>
        </w:rPr>
        <w:t xml:space="preserve"> descrita</w:t>
      </w:r>
      <w:r w:rsidR="00316A01">
        <w:rPr>
          <w:rFonts w:ascii="Verdana" w:hAnsi="Verdana" w:cs="Times New Roman"/>
          <w:sz w:val="20"/>
          <w:szCs w:val="20"/>
        </w:rPr>
        <w:t>s</w:t>
      </w:r>
      <w:r w:rsidRPr="0069240A">
        <w:rPr>
          <w:rFonts w:ascii="Verdana" w:hAnsi="Verdana" w:cs="Times New Roman"/>
          <w:sz w:val="20"/>
          <w:szCs w:val="20"/>
        </w:rPr>
        <w:t xml:space="preserve"> no</w:t>
      </w:r>
      <w:r w:rsidR="00316A01">
        <w:rPr>
          <w:rFonts w:ascii="Verdana" w:hAnsi="Verdana" w:cs="Times New Roman"/>
          <w:sz w:val="20"/>
          <w:szCs w:val="20"/>
        </w:rPr>
        <w:t>s</w:t>
      </w:r>
      <w:r w:rsidRPr="0069240A">
        <w:rPr>
          <w:rFonts w:ascii="Verdana" w:hAnsi="Verdana" w:cs="Times New Roman"/>
          <w:sz w:val="20"/>
          <w:szCs w:val="20"/>
        </w:rPr>
        <w:t xml:space="preserve"> ite</w:t>
      </w:r>
      <w:r w:rsidR="00316A01">
        <w:rPr>
          <w:rFonts w:ascii="Verdana" w:hAnsi="Verdana" w:cs="Times New Roman"/>
          <w:sz w:val="20"/>
          <w:szCs w:val="20"/>
        </w:rPr>
        <w:t>ns</w:t>
      </w:r>
      <w:r w:rsidRPr="0069240A">
        <w:rPr>
          <w:rFonts w:ascii="Verdana" w:hAnsi="Verdana" w:cs="Times New Roman"/>
          <w:sz w:val="20"/>
          <w:szCs w:val="20"/>
        </w:rPr>
        <w:t xml:space="preserve"> (a) </w:t>
      </w:r>
      <w:r w:rsidR="00316A01">
        <w:rPr>
          <w:rFonts w:ascii="Verdana" w:hAnsi="Verdana" w:cs="Times New Roman"/>
          <w:sz w:val="20"/>
          <w:szCs w:val="20"/>
        </w:rPr>
        <w:t xml:space="preserve">e (b) </w:t>
      </w:r>
      <w:r w:rsidRPr="0069240A">
        <w:rPr>
          <w:rFonts w:ascii="Verdana" w:hAnsi="Verdana" w:cs="Times New Roman"/>
          <w:sz w:val="20"/>
          <w:szCs w:val="20"/>
        </w:rPr>
        <w:t>da Ordem do Dia seja aprovad</w:t>
      </w:r>
      <w:r w:rsidR="006E3E4E">
        <w:rPr>
          <w:rFonts w:ascii="Verdana" w:hAnsi="Verdana" w:cs="Times New Roman"/>
          <w:sz w:val="20"/>
          <w:szCs w:val="20"/>
        </w:rPr>
        <w:t>a</w:t>
      </w:r>
      <w:r w:rsidRPr="0069240A">
        <w:rPr>
          <w:rFonts w:ascii="Verdana" w:hAnsi="Verdana" w:cs="Times New Roman"/>
          <w:sz w:val="20"/>
          <w:szCs w:val="20"/>
        </w:rPr>
        <w:t xml:space="preserve">,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0" w:name="_Hlk130503182"/>
      <w:r w:rsidRPr="0069240A">
        <w:rPr>
          <w:rFonts w:ascii="Verdana" w:eastAsia="Times New Roman" w:hAnsi="Verdana" w:cs="Times New Roman"/>
          <w:bCs/>
          <w:sz w:val="20"/>
          <w:szCs w:val="20"/>
          <w:lang w:eastAsia="pt-BR"/>
        </w:rPr>
        <w:t xml:space="preserve">, incluindo, sem limitação, </w:t>
      </w:r>
      <w:bookmarkEnd w:id="0"/>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49534145"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w:t>
      </w:r>
      <w:r w:rsidR="00690208">
        <w:rPr>
          <w:rFonts w:ascii="Verdana" w:hAnsi="Verdana" w:cs="Times New Roman"/>
          <w:sz w:val="20"/>
          <w:szCs w:val="20"/>
        </w:rPr>
        <w:t>9.9</w:t>
      </w:r>
      <w:r w:rsidR="00C26B18" w:rsidRPr="0069240A">
        <w:rPr>
          <w:rFonts w:ascii="Verdana" w:hAnsi="Verdana" w:cs="Times New Roman"/>
          <w:sz w:val="20"/>
          <w:szCs w:val="20"/>
        </w:rPr>
        <w:t xml:space="preserve"> da Escritura de Emissão, os Debenturistas elegeram como Presidente da Assembleia </w:t>
      </w:r>
      <w:bookmarkStart w:id="1" w:name="_Hlk130503190"/>
      <w:r w:rsidR="00C26B18" w:rsidRPr="0069240A">
        <w:rPr>
          <w:rFonts w:ascii="Verdana" w:hAnsi="Verdana" w:cs="Times New Roman"/>
          <w:sz w:val="20"/>
          <w:szCs w:val="20"/>
        </w:rPr>
        <w:t xml:space="preserve">a Sra. </w:t>
      </w:r>
      <w:bookmarkEnd w:id="1"/>
      <w:r w:rsidR="001204E8">
        <w:rPr>
          <w:rFonts w:ascii="Verdana" w:hAnsi="Verdana" w:cs="Times New Roman"/>
          <w:sz w:val="20"/>
          <w:szCs w:val="20"/>
        </w:rPr>
        <w:t>Daniela Vieira Bragarbyk</w:t>
      </w:r>
      <w:r w:rsidR="00C26B18" w:rsidRPr="0069240A">
        <w:rPr>
          <w:rFonts w:ascii="Verdana" w:hAnsi="Verdana" w:cs="Times New Roman"/>
          <w:sz w:val="20"/>
          <w:szCs w:val="20"/>
        </w:rPr>
        <w:t>, na qualidade de representante dos Debenturistas, e o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547ACE92" w14:textId="77777777" w:rsidR="00690208" w:rsidRDefault="00E46C4C" w:rsidP="00690208">
      <w:pPr>
        <w:spacing w:after="0" w:line="320" w:lineRule="exact"/>
        <w:jc w:val="both"/>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r w:rsidR="00690208" w:rsidRPr="003C0576">
        <w:rPr>
          <w:rFonts w:ascii="Verdana" w:hAnsi="Verdana"/>
          <w:sz w:val="20"/>
          <w:szCs w:val="20"/>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p>
    <w:p w14:paraId="67BF1B0C" w14:textId="77777777" w:rsidR="00690208" w:rsidRDefault="00690208" w:rsidP="00173311">
      <w:pPr>
        <w:spacing w:after="0" w:line="320" w:lineRule="exact"/>
        <w:jc w:val="both"/>
        <w:rPr>
          <w:rFonts w:ascii="Verdana" w:hAnsi="Verdana" w:cs="Times New Roman"/>
          <w:sz w:val="20"/>
          <w:szCs w:val="20"/>
        </w:rPr>
      </w:pPr>
    </w:p>
    <w:p w14:paraId="3C458DE9" w14:textId="43025DC2" w:rsidR="00F94FF8"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t>A</w:t>
      </w:r>
      <w:r w:rsidR="00C26B18" w:rsidRPr="0069240A">
        <w:rPr>
          <w:rFonts w:ascii="Verdana" w:hAnsi="Verdana" w:cs="Times New Roman"/>
          <w:sz w:val="20"/>
          <w:szCs w:val="20"/>
        </w:rPr>
        <w:t>nalisadas e discutidas as matérias constantes da Ordem do Dia</w:t>
      </w:r>
      <w:r>
        <w:rPr>
          <w:rFonts w:ascii="Verdana" w:hAnsi="Verdana" w:cs="Times New Roman"/>
          <w:sz w:val="20"/>
          <w:szCs w:val="20"/>
        </w:rPr>
        <w:t>,</w:t>
      </w:r>
      <w:r w:rsidR="00C26B18" w:rsidRPr="0069240A">
        <w:rPr>
          <w:rFonts w:ascii="Verdana" w:hAnsi="Verdana" w:cs="Times New Roman"/>
          <w:sz w:val="20"/>
          <w:szCs w:val="20"/>
        </w:rPr>
        <w:t xml:space="preserve"> os Debenturistas </w:t>
      </w:r>
      <w:r>
        <w:rPr>
          <w:rFonts w:ascii="Verdana" w:hAnsi="Verdana" w:cs="Times New Roman"/>
          <w:sz w:val="20"/>
          <w:szCs w:val="20"/>
        </w:rPr>
        <w:t xml:space="preserve">representando 100% (cem por cento) das Debêntures em Circulação </w:t>
      </w:r>
      <w:r w:rsidR="00C26B18" w:rsidRPr="0069240A">
        <w:rPr>
          <w:rFonts w:ascii="Verdana" w:hAnsi="Verdana" w:cs="Times New Roman"/>
          <w:sz w:val="20"/>
          <w:szCs w:val="20"/>
        </w:rPr>
        <w:t>aprovaram, 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30FCB538" w14:textId="5BA3DF66" w:rsidR="004E79DA" w:rsidRPr="001472D4" w:rsidRDefault="004E79DA" w:rsidP="001472D4">
      <w:pPr>
        <w:pStyle w:val="PargrafodaLista"/>
        <w:numPr>
          <w:ilvl w:val="0"/>
          <w:numId w:val="1"/>
        </w:numPr>
        <w:spacing w:after="0" w:line="320" w:lineRule="exact"/>
        <w:ind w:left="709" w:hanging="709"/>
        <w:jc w:val="both"/>
        <w:rPr>
          <w:rFonts w:ascii="Verdana" w:hAnsi="Verdana" w:cs="Times New Roman"/>
          <w:sz w:val="20"/>
          <w:szCs w:val="20"/>
        </w:rPr>
      </w:pPr>
      <w:r w:rsidRPr="001472D4">
        <w:rPr>
          <w:rFonts w:ascii="Verdana" w:hAnsi="Verdana" w:cs="Times New Roman"/>
          <w:sz w:val="20"/>
          <w:szCs w:val="20"/>
        </w:rPr>
        <w:t xml:space="preserve">autorização para alterar a obrigação do pagamento mínimo mensal </w:t>
      </w:r>
      <w:r w:rsidR="001472D4" w:rsidRPr="001472D4">
        <w:rPr>
          <w:rFonts w:ascii="Verdana" w:hAnsi="Verdana" w:cs="Times New Roman"/>
          <w:sz w:val="20"/>
          <w:szCs w:val="20"/>
        </w:rPr>
        <w:t>dos Direitos Creditórios – HNK</w:t>
      </w:r>
      <w:r w:rsidRPr="001472D4">
        <w:rPr>
          <w:rFonts w:ascii="Verdana" w:hAnsi="Verdana" w:cs="Times New Roman"/>
          <w:sz w:val="20"/>
          <w:szCs w:val="20"/>
        </w:rPr>
        <w:t xml:space="preserve"> de R$ 20.000.000,00 (vinte milhões de reais), decorrente do compromisso de take </w:t>
      </w:r>
      <w:proofErr w:type="spellStart"/>
      <w:r w:rsidRPr="001472D4">
        <w:rPr>
          <w:rFonts w:ascii="Verdana" w:hAnsi="Verdana" w:cs="Times New Roman"/>
          <w:sz w:val="20"/>
          <w:szCs w:val="20"/>
        </w:rPr>
        <w:t>or</w:t>
      </w:r>
      <w:proofErr w:type="spellEnd"/>
      <w:r w:rsidRPr="001472D4">
        <w:rPr>
          <w:rFonts w:ascii="Verdana" w:hAnsi="Verdana" w:cs="Times New Roman"/>
          <w:sz w:val="20"/>
          <w:szCs w:val="20"/>
        </w:rPr>
        <w:t xml:space="preserve"> </w:t>
      </w:r>
      <w:proofErr w:type="spellStart"/>
      <w:r w:rsidRPr="001472D4">
        <w:rPr>
          <w:rFonts w:ascii="Verdana" w:hAnsi="Verdana" w:cs="Times New Roman"/>
          <w:sz w:val="20"/>
          <w:szCs w:val="20"/>
        </w:rPr>
        <w:t>pay</w:t>
      </w:r>
      <w:proofErr w:type="spellEnd"/>
      <w:r w:rsidRPr="001472D4">
        <w:rPr>
          <w:rFonts w:ascii="Verdana" w:hAnsi="Verdana" w:cs="Times New Roman"/>
          <w:sz w:val="20"/>
          <w:szCs w:val="20"/>
        </w:rPr>
        <w:t xml:space="preserve">, pactuado </w:t>
      </w:r>
      <w:r w:rsidR="001472D4" w:rsidRPr="001472D4">
        <w:rPr>
          <w:rFonts w:ascii="Verdana" w:hAnsi="Verdana" w:cs="Times New Roman"/>
          <w:sz w:val="20"/>
          <w:szCs w:val="20"/>
        </w:rPr>
        <w:t>no Termo Aditivo ao Contrato de Fornecimento de Garrafas de Vidro firmado em 27 de abril de 2018</w:t>
      </w:r>
      <w:r w:rsidRPr="001472D4">
        <w:rPr>
          <w:rFonts w:ascii="Verdana" w:hAnsi="Verdana" w:cs="Times New Roman"/>
          <w:sz w:val="20"/>
          <w:szCs w:val="20"/>
        </w:rPr>
        <w:t>, que se iniciaria a partir de 30 de junho de 2023 (inclusive)</w:t>
      </w:r>
      <w:r w:rsidR="00E844D7">
        <w:rPr>
          <w:rFonts w:ascii="Verdana" w:hAnsi="Verdana" w:cs="Times New Roman"/>
          <w:sz w:val="20"/>
          <w:szCs w:val="20"/>
        </w:rPr>
        <w:t>, conforme disposto na Cláusula 4.8.4 do Contrato de Cessão Fiduciária,</w:t>
      </w:r>
      <w:r w:rsidRPr="001472D4">
        <w:rPr>
          <w:rFonts w:ascii="Verdana" w:hAnsi="Verdana" w:cs="Times New Roman"/>
          <w:sz w:val="20"/>
          <w:szCs w:val="20"/>
        </w:rPr>
        <w:t xml:space="preserve">  para que se inicie a partir de </w:t>
      </w:r>
      <w:r w:rsidR="00801414">
        <w:rPr>
          <w:rFonts w:ascii="Verdana" w:hAnsi="Verdana" w:cs="Times New Roman"/>
          <w:sz w:val="20"/>
          <w:szCs w:val="20"/>
        </w:rPr>
        <w:t xml:space="preserve">31 de dezembro de 2023 </w:t>
      </w:r>
      <w:r w:rsidR="00E844D7">
        <w:rPr>
          <w:rFonts w:ascii="Verdana" w:hAnsi="Verdana" w:cs="Times New Roman"/>
          <w:sz w:val="20"/>
          <w:szCs w:val="20"/>
        </w:rPr>
        <w:t>(inclusive)</w:t>
      </w:r>
      <w:r w:rsidRPr="001472D4">
        <w:rPr>
          <w:rFonts w:ascii="Verdana" w:hAnsi="Verdana" w:cs="Times New Roman"/>
          <w:sz w:val="20"/>
          <w:szCs w:val="20"/>
        </w:rPr>
        <w:t>, ficando, portanto, a Companhia sujeita a tal obrigação apenas a partir de tal data</w:t>
      </w:r>
      <w:r w:rsidR="00E844D7">
        <w:rPr>
          <w:rFonts w:ascii="Verdana" w:hAnsi="Verdana" w:cs="Times New Roman"/>
          <w:sz w:val="20"/>
          <w:szCs w:val="20"/>
        </w:rPr>
        <w:t xml:space="preserve"> (inclusive)</w:t>
      </w:r>
      <w:r w:rsidRPr="001472D4">
        <w:rPr>
          <w:rFonts w:ascii="Verdana" w:hAnsi="Verdana" w:cs="Times New Roman"/>
          <w:sz w:val="20"/>
          <w:szCs w:val="20"/>
        </w:rPr>
        <w:t>.</w:t>
      </w:r>
    </w:p>
    <w:p w14:paraId="56AA9C0A" w14:textId="77777777" w:rsidR="00C26B18" w:rsidRPr="0069240A" w:rsidRDefault="00C26B18" w:rsidP="00173311">
      <w:pPr>
        <w:pStyle w:val="PargrafodaLista"/>
        <w:spacing w:after="0" w:line="320" w:lineRule="exact"/>
        <w:ind w:left="709"/>
        <w:jc w:val="both"/>
        <w:rPr>
          <w:rFonts w:ascii="Verdana" w:hAnsi="Verdana" w:cs="Times New Roman"/>
          <w:sz w:val="20"/>
          <w:szCs w:val="20"/>
        </w:rPr>
      </w:pPr>
    </w:p>
    <w:p w14:paraId="2E2DBE46" w14:textId="3CD2B84A" w:rsidR="00316A01" w:rsidRDefault="00801414" w:rsidP="0069240A">
      <w:pPr>
        <w:pStyle w:val="PargrafodaLista"/>
        <w:numPr>
          <w:ilvl w:val="0"/>
          <w:numId w:val="1"/>
        </w:numPr>
        <w:spacing w:after="0" w:line="320" w:lineRule="exact"/>
        <w:ind w:left="709" w:hanging="709"/>
        <w:jc w:val="both"/>
        <w:rPr>
          <w:rFonts w:ascii="Verdana" w:hAnsi="Verdana" w:cs="Times New Roman"/>
          <w:sz w:val="20"/>
          <w:szCs w:val="20"/>
        </w:rPr>
      </w:pPr>
      <w:r>
        <w:rPr>
          <w:rFonts w:ascii="Verdana" w:hAnsi="Verdana" w:cs="Times New Roman"/>
          <w:sz w:val="20"/>
          <w:szCs w:val="20"/>
        </w:rPr>
        <w:t>c</w:t>
      </w:r>
      <w:r w:rsidR="00316A01" w:rsidRPr="0094419B">
        <w:rPr>
          <w:rFonts w:ascii="Verdana" w:hAnsi="Verdana" w:cs="Times New Roman"/>
          <w:sz w:val="20"/>
          <w:szCs w:val="20"/>
        </w:rPr>
        <w:t>aso ocorra</w:t>
      </w:r>
      <w:r w:rsidR="001E207A">
        <w:rPr>
          <w:rFonts w:ascii="Verdana" w:hAnsi="Verdana" w:cs="Times New Roman"/>
          <w:sz w:val="20"/>
          <w:szCs w:val="20"/>
        </w:rPr>
        <w:t>m</w:t>
      </w:r>
      <w:r w:rsidR="00316A01" w:rsidRPr="0094419B">
        <w:rPr>
          <w:rFonts w:ascii="Verdana" w:hAnsi="Verdana" w:cs="Times New Roman"/>
          <w:sz w:val="20"/>
          <w:szCs w:val="20"/>
        </w:rPr>
        <w:t xml:space="preserve"> hipóteses de não pagamento dos recebíveis </w:t>
      </w:r>
      <w:r w:rsidR="00990DD6">
        <w:rPr>
          <w:rFonts w:ascii="Verdana" w:hAnsi="Verdana" w:cs="Times New Roman"/>
          <w:sz w:val="20"/>
          <w:szCs w:val="20"/>
        </w:rPr>
        <w:t>Contrato Petrópolis</w:t>
      </w:r>
      <w:r w:rsidR="00316A01" w:rsidRPr="008F1988">
        <w:rPr>
          <w:rFonts w:ascii="Verdana" w:hAnsi="Verdana"/>
          <w:sz w:val="20"/>
          <w:szCs w:val="20"/>
        </w:rPr>
        <w:t>,</w:t>
      </w:r>
      <w:r w:rsidR="00316A01" w:rsidRPr="0094419B">
        <w:rPr>
          <w:rFonts w:ascii="Verdana" w:hAnsi="Verdana" w:cs="Times New Roman"/>
          <w:sz w:val="20"/>
          <w:szCs w:val="20"/>
        </w:rPr>
        <w:t xml:space="preserve"> </w:t>
      </w:r>
      <w:r>
        <w:rPr>
          <w:rFonts w:ascii="Verdana" w:hAnsi="Verdana" w:cs="Times New Roman"/>
          <w:sz w:val="20"/>
          <w:szCs w:val="20"/>
        </w:rPr>
        <w:t xml:space="preserve">conforme </w:t>
      </w:r>
      <w:r w:rsidR="00316A01" w:rsidRPr="0094419B">
        <w:rPr>
          <w:rFonts w:ascii="Verdana" w:hAnsi="Verdana" w:cs="Times New Roman"/>
          <w:sz w:val="20"/>
          <w:szCs w:val="20"/>
        </w:rPr>
        <w:t xml:space="preserve">previsto no </w:t>
      </w:r>
      <w:r w:rsidR="00316A01" w:rsidRPr="008F1988">
        <w:rPr>
          <w:rFonts w:ascii="Verdana" w:hAnsi="Verdana" w:cs="Times New Roman"/>
          <w:sz w:val="20"/>
          <w:szCs w:val="20"/>
        </w:rPr>
        <w:t>item (b) da Cláusula 3.9.</w:t>
      </w:r>
      <w:r w:rsidR="00316A01" w:rsidRPr="0094419B">
        <w:rPr>
          <w:rFonts w:ascii="Verdana" w:hAnsi="Verdana" w:cs="Times New Roman"/>
          <w:sz w:val="20"/>
          <w:szCs w:val="20"/>
        </w:rPr>
        <w:t>1</w:t>
      </w:r>
      <w:r w:rsidR="00E844D7">
        <w:rPr>
          <w:rFonts w:ascii="Verdana" w:hAnsi="Verdana" w:cs="Times New Roman"/>
          <w:sz w:val="20"/>
          <w:szCs w:val="20"/>
        </w:rPr>
        <w:t xml:space="preserve"> da Escritura de Emissão</w:t>
      </w:r>
      <w:r w:rsidR="00316A01" w:rsidRPr="0094419B">
        <w:rPr>
          <w:rFonts w:ascii="Verdana" w:hAnsi="Verdana" w:cs="Times New Roman"/>
          <w:sz w:val="20"/>
          <w:szCs w:val="20"/>
        </w:rPr>
        <w:t xml:space="preserve">, a Emissora poderá </w:t>
      </w:r>
      <w:r>
        <w:rPr>
          <w:rFonts w:ascii="Verdana" w:hAnsi="Verdana" w:cs="Times New Roman"/>
          <w:sz w:val="20"/>
          <w:szCs w:val="20"/>
        </w:rPr>
        <w:t>reforçar ou substituir a garantia</w:t>
      </w:r>
      <w:r w:rsidR="00316A01">
        <w:rPr>
          <w:rFonts w:ascii="Verdana" w:hAnsi="Verdana" w:cs="Times New Roman"/>
          <w:sz w:val="20"/>
          <w:szCs w:val="20"/>
        </w:rPr>
        <w:t>,</w:t>
      </w:r>
      <w:r w:rsidR="008371A1">
        <w:rPr>
          <w:rFonts w:ascii="Verdana" w:hAnsi="Verdana" w:cs="Times New Roman"/>
          <w:sz w:val="20"/>
          <w:szCs w:val="20"/>
        </w:rPr>
        <w:t xml:space="preserve"> sem que isso resulte em declaração de</w:t>
      </w:r>
      <w:r w:rsidR="008371A1" w:rsidRPr="0094419B">
        <w:rPr>
          <w:rFonts w:ascii="Verdana" w:hAnsi="Verdana" w:cs="Times New Roman"/>
          <w:sz w:val="20"/>
          <w:szCs w:val="20"/>
        </w:rPr>
        <w:t xml:space="preserve"> evento de vencimento antecipado</w:t>
      </w:r>
      <w:r w:rsidR="008371A1">
        <w:rPr>
          <w:rFonts w:ascii="Verdana" w:hAnsi="Verdana" w:cs="Times New Roman"/>
          <w:sz w:val="20"/>
          <w:szCs w:val="20"/>
        </w:rPr>
        <w:t xml:space="preserve"> das Debêntures,</w:t>
      </w:r>
      <w:r w:rsidR="00316A01" w:rsidRPr="0094419B">
        <w:rPr>
          <w:rFonts w:ascii="Verdana" w:hAnsi="Verdana" w:cs="Times New Roman"/>
          <w:sz w:val="20"/>
          <w:szCs w:val="20"/>
        </w:rPr>
        <w:t xml:space="preserve"> mediante </w:t>
      </w:r>
      <w:r w:rsidR="00316A01" w:rsidRPr="008371A1">
        <w:rPr>
          <w:rFonts w:ascii="Verdana" w:hAnsi="Verdana" w:cs="Times New Roman"/>
          <w:b/>
          <w:bCs/>
          <w:sz w:val="20"/>
          <w:szCs w:val="20"/>
        </w:rPr>
        <w:t>(i)</w:t>
      </w:r>
      <w:r w:rsidR="00316A01" w:rsidRPr="0094419B">
        <w:rPr>
          <w:rFonts w:ascii="Verdana" w:hAnsi="Verdana" w:cs="Times New Roman"/>
          <w:sz w:val="20"/>
          <w:szCs w:val="20"/>
        </w:rPr>
        <w:t xml:space="preserve"> depósito</w:t>
      </w:r>
      <w:r w:rsidR="008D7407">
        <w:rPr>
          <w:rFonts w:ascii="Verdana" w:hAnsi="Verdana" w:cs="Times New Roman"/>
          <w:sz w:val="20"/>
          <w:szCs w:val="20"/>
        </w:rPr>
        <w:t xml:space="preserve"> </w:t>
      </w:r>
      <w:r w:rsidR="00316A01" w:rsidRPr="0094419B">
        <w:rPr>
          <w:rFonts w:ascii="Verdana" w:hAnsi="Verdana" w:cs="Times New Roman"/>
          <w:sz w:val="20"/>
          <w:szCs w:val="20"/>
        </w:rPr>
        <w:t xml:space="preserve">no valor de </w:t>
      </w:r>
      <w:r w:rsidR="00E91D3B">
        <w:rPr>
          <w:rFonts w:ascii="Verdana" w:hAnsi="Verdana" w:cs="Times New Roman"/>
          <w:sz w:val="20"/>
          <w:szCs w:val="20"/>
        </w:rPr>
        <w:t>R$8.000.000,00 (oito milhões de reais)</w:t>
      </w:r>
      <w:r w:rsidR="00316A01" w:rsidRPr="0094419B">
        <w:rPr>
          <w:rFonts w:ascii="Verdana" w:hAnsi="Verdana" w:cs="Times New Roman"/>
          <w:sz w:val="20"/>
          <w:szCs w:val="20"/>
        </w:rPr>
        <w:t xml:space="preserve"> na Conta Vinculada</w:t>
      </w:r>
      <w:r w:rsidR="00E91D3B">
        <w:rPr>
          <w:rFonts w:ascii="Verdana" w:hAnsi="Verdana" w:cs="Times New Roman"/>
          <w:sz w:val="20"/>
          <w:szCs w:val="20"/>
        </w:rPr>
        <w:t>, sendo certo que</w:t>
      </w:r>
      <w:r w:rsidR="00E844D7">
        <w:rPr>
          <w:rFonts w:ascii="Verdana" w:hAnsi="Verdana" w:cs="Times New Roman"/>
          <w:sz w:val="20"/>
          <w:szCs w:val="20"/>
        </w:rPr>
        <w:t>,</w:t>
      </w:r>
      <w:r w:rsidR="00E91D3B">
        <w:rPr>
          <w:rFonts w:ascii="Verdana" w:hAnsi="Verdana" w:cs="Times New Roman"/>
          <w:sz w:val="20"/>
          <w:szCs w:val="20"/>
        </w:rPr>
        <w:t xml:space="preserve"> neste caso</w:t>
      </w:r>
      <w:r w:rsidR="00E844D7">
        <w:rPr>
          <w:rFonts w:ascii="Verdana" w:hAnsi="Verdana" w:cs="Times New Roman"/>
          <w:sz w:val="20"/>
          <w:szCs w:val="20"/>
        </w:rPr>
        <w:t>,</w:t>
      </w:r>
      <w:r w:rsidR="00E91D3B">
        <w:rPr>
          <w:rFonts w:ascii="Verdana" w:hAnsi="Verdana" w:cs="Times New Roman"/>
          <w:sz w:val="20"/>
          <w:szCs w:val="20"/>
        </w:rPr>
        <w:t xml:space="preserve"> </w:t>
      </w:r>
      <w:r w:rsidR="008D7407">
        <w:rPr>
          <w:rFonts w:ascii="Verdana" w:hAnsi="Verdana" w:cs="Times New Roman"/>
          <w:sz w:val="20"/>
          <w:szCs w:val="20"/>
        </w:rPr>
        <w:t xml:space="preserve">os </w:t>
      </w:r>
      <w:r w:rsidR="00E91D3B">
        <w:rPr>
          <w:rFonts w:ascii="Verdana" w:hAnsi="Verdana" w:cs="Times New Roman"/>
          <w:sz w:val="20"/>
          <w:szCs w:val="20"/>
        </w:rPr>
        <w:t xml:space="preserve">valores serão </w:t>
      </w:r>
      <w:r w:rsidR="008D7407">
        <w:rPr>
          <w:rFonts w:ascii="Verdana" w:hAnsi="Verdana" w:cs="Times New Roman"/>
          <w:sz w:val="20"/>
          <w:szCs w:val="20"/>
        </w:rPr>
        <w:t>aplicados</w:t>
      </w:r>
      <w:r w:rsidR="00E91D3B">
        <w:rPr>
          <w:rFonts w:ascii="Verdana" w:hAnsi="Verdana" w:cs="Times New Roman"/>
          <w:sz w:val="20"/>
          <w:szCs w:val="20"/>
        </w:rPr>
        <w:t xml:space="preserve"> em títulos de renda fixa com liquidez diária</w:t>
      </w:r>
      <w:r w:rsidR="006C715D">
        <w:rPr>
          <w:rFonts w:ascii="Verdana" w:hAnsi="Verdana" w:cs="Times New Roman"/>
          <w:sz w:val="20"/>
          <w:szCs w:val="20"/>
        </w:rPr>
        <w:t xml:space="preserve"> que dever</w:t>
      </w:r>
      <w:r w:rsidR="008D7407">
        <w:rPr>
          <w:rFonts w:ascii="Verdana" w:hAnsi="Verdana" w:cs="Times New Roman"/>
          <w:sz w:val="20"/>
          <w:szCs w:val="20"/>
        </w:rPr>
        <w:t>ão</w:t>
      </w:r>
      <w:r w:rsidR="006C715D">
        <w:rPr>
          <w:rFonts w:ascii="Verdana" w:hAnsi="Verdana" w:cs="Times New Roman"/>
          <w:sz w:val="20"/>
          <w:szCs w:val="20"/>
        </w:rPr>
        <w:t xml:space="preserve"> ficar retid</w:t>
      </w:r>
      <w:r w:rsidR="008D7407">
        <w:rPr>
          <w:rFonts w:ascii="Verdana" w:hAnsi="Verdana" w:cs="Times New Roman"/>
          <w:sz w:val="20"/>
          <w:szCs w:val="20"/>
        </w:rPr>
        <w:t>os</w:t>
      </w:r>
      <w:r w:rsidR="006C715D">
        <w:rPr>
          <w:rFonts w:ascii="Verdana" w:hAnsi="Verdana" w:cs="Times New Roman"/>
          <w:sz w:val="20"/>
          <w:szCs w:val="20"/>
        </w:rPr>
        <w:t xml:space="preserve"> até</w:t>
      </w:r>
      <w:r>
        <w:rPr>
          <w:rFonts w:ascii="Verdana" w:hAnsi="Verdana" w:cs="Times New Roman"/>
          <w:sz w:val="20"/>
          <w:szCs w:val="20"/>
        </w:rPr>
        <w:t xml:space="preserve"> o</w:t>
      </w:r>
      <w:r w:rsidR="008D7407">
        <w:rPr>
          <w:rFonts w:ascii="Verdana" w:hAnsi="Verdana" w:cs="Times New Roman"/>
          <w:sz w:val="20"/>
          <w:szCs w:val="20"/>
        </w:rPr>
        <w:t xml:space="preserve"> cumprimento da obrigação indicada no item (a) </w:t>
      </w:r>
      <w:r>
        <w:rPr>
          <w:rFonts w:ascii="Verdana" w:hAnsi="Verdana" w:cs="Times New Roman"/>
          <w:sz w:val="20"/>
          <w:szCs w:val="20"/>
        </w:rPr>
        <w:t>da Ordem do Dia</w:t>
      </w:r>
      <w:r w:rsidR="00316A01" w:rsidRPr="0094419B">
        <w:rPr>
          <w:rFonts w:ascii="Verdana" w:hAnsi="Verdana" w:cs="Times New Roman"/>
          <w:sz w:val="20"/>
          <w:szCs w:val="20"/>
        </w:rPr>
        <w:t xml:space="preserve">; ou </w:t>
      </w:r>
      <w:r w:rsidR="00316A01" w:rsidRPr="008371A1">
        <w:rPr>
          <w:rFonts w:ascii="Verdana" w:hAnsi="Verdana" w:cs="Times New Roman"/>
          <w:b/>
          <w:bCs/>
          <w:sz w:val="20"/>
          <w:szCs w:val="20"/>
        </w:rPr>
        <w:t>(</w:t>
      </w:r>
      <w:proofErr w:type="spellStart"/>
      <w:r w:rsidR="00316A01" w:rsidRPr="008371A1">
        <w:rPr>
          <w:rFonts w:ascii="Verdana" w:hAnsi="Verdana" w:cs="Times New Roman"/>
          <w:b/>
          <w:bCs/>
          <w:sz w:val="20"/>
          <w:szCs w:val="20"/>
        </w:rPr>
        <w:t>ii</w:t>
      </w:r>
      <w:proofErr w:type="spellEnd"/>
      <w:r w:rsidR="00316A01" w:rsidRPr="008371A1">
        <w:rPr>
          <w:rFonts w:ascii="Verdana" w:hAnsi="Verdana" w:cs="Times New Roman"/>
          <w:b/>
          <w:bCs/>
          <w:sz w:val="20"/>
          <w:szCs w:val="20"/>
        </w:rPr>
        <w:t>)</w:t>
      </w:r>
      <w:r w:rsidR="00316A01" w:rsidRPr="0094419B">
        <w:rPr>
          <w:rFonts w:ascii="Verdana" w:hAnsi="Verdana" w:cs="Times New Roman"/>
          <w:sz w:val="20"/>
          <w:szCs w:val="20"/>
        </w:rPr>
        <w:t xml:space="preserve"> </w:t>
      </w:r>
      <w:r>
        <w:rPr>
          <w:rFonts w:ascii="Verdana" w:hAnsi="Verdana" w:cs="Times New Roman"/>
          <w:sz w:val="20"/>
          <w:szCs w:val="20"/>
        </w:rPr>
        <w:t xml:space="preserve">a constituição de </w:t>
      </w:r>
      <w:r w:rsidR="00316A01" w:rsidRPr="0094419B">
        <w:rPr>
          <w:rFonts w:ascii="Verdana" w:hAnsi="Verdana" w:cs="Times New Roman"/>
          <w:sz w:val="20"/>
          <w:szCs w:val="20"/>
        </w:rPr>
        <w:t>cessão fiduciária de outro contrato</w:t>
      </w:r>
      <w:r w:rsidR="00316A01">
        <w:rPr>
          <w:rFonts w:ascii="Verdana" w:hAnsi="Verdana" w:cs="Times New Roman"/>
          <w:sz w:val="20"/>
          <w:szCs w:val="20"/>
        </w:rPr>
        <w:t>,</w:t>
      </w:r>
      <w:r w:rsidR="00316A01" w:rsidRPr="0094419B">
        <w:rPr>
          <w:rFonts w:ascii="Verdana" w:hAnsi="Verdana" w:cs="Times New Roman"/>
          <w:sz w:val="20"/>
          <w:szCs w:val="20"/>
        </w:rPr>
        <w:t xml:space="preserve"> que venha a ser aprovado pelos Debenturista</w:t>
      </w:r>
      <w:r w:rsidR="00316A01">
        <w:rPr>
          <w:rFonts w:ascii="Verdana" w:hAnsi="Verdana" w:cs="Times New Roman"/>
          <w:sz w:val="20"/>
          <w:szCs w:val="20"/>
        </w:rPr>
        <w:t>s</w:t>
      </w:r>
      <w:r w:rsidR="00316A01" w:rsidRPr="0094419B">
        <w:rPr>
          <w:rFonts w:ascii="Verdana" w:hAnsi="Verdana" w:cs="Times New Roman"/>
          <w:sz w:val="20"/>
          <w:szCs w:val="20"/>
        </w:rPr>
        <w:t xml:space="preserve"> em Assembleia Geral de Debenturistas, </w:t>
      </w:r>
      <w:r w:rsidR="008371A1">
        <w:rPr>
          <w:rFonts w:ascii="Verdana" w:hAnsi="Verdana" w:cs="Times New Roman"/>
          <w:sz w:val="20"/>
          <w:szCs w:val="20"/>
        </w:rPr>
        <w:t xml:space="preserve">sendo certo que caso o contrato não seja aceito pelos Debenturistas, a Companhia </w:t>
      </w:r>
      <w:r w:rsidR="00CB337D">
        <w:rPr>
          <w:rFonts w:ascii="Verdana" w:hAnsi="Verdana" w:cs="Times New Roman"/>
          <w:sz w:val="20"/>
          <w:szCs w:val="20"/>
        </w:rPr>
        <w:t xml:space="preserve">deverá </w:t>
      </w:r>
      <w:r w:rsidR="008371A1">
        <w:rPr>
          <w:rFonts w:ascii="Verdana" w:hAnsi="Verdana" w:cs="Times New Roman"/>
          <w:sz w:val="20"/>
          <w:szCs w:val="20"/>
        </w:rPr>
        <w:t>prosseguir com o depósito previsto no item (i) acima, sob pena de declaração do vencimento antecipado das Debêntures</w:t>
      </w:r>
      <w:r w:rsidR="00316A01">
        <w:rPr>
          <w:rFonts w:ascii="Verdana" w:hAnsi="Verdana" w:cs="Times New Roman"/>
          <w:sz w:val="20"/>
          <w:szCs w:val="20"/>
        </w:rPr>
        <w:t>; e</w:t>
      </w:r>
    </w:p>
    <w:p w14:paraId="29E51903" w14:textId="77777777" w:rsidR="00316A01" w:rsidRDefault="00316A01" w:rsidP="00316A01">
      <w:pPr>
        <w:pStyle w:val="PargrafodaLista"/>
        <w:spacing w:after="0" w:line="320" w:lineRule="exact"/>
        <w:ind w:left="709"/>
        <w:jc w:val="both"/>
        <w:rPr>
          <w:rFonts w:ascii="Verdana" w:hAnsi="Verdana" w:cs="Times New Roman"/>
          <w:sz w:val="20"/>
          <w:szCs w:val="20"/>
        </w:rPr>
      </w:pPr>
    </w:p>
    <w:p w14:paraId="69D65A4D" w14:textId="232764A2" w:rsidR="005A1FB7" w:rsidRPr="0069240A" w:rsidRDefault="00316A01"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tendo em vista a aprovação das matérias descritas nos itens (a) e (b) da Ordem do Dia</w:t>
      </w:r>
      <w:r w:rsidR="0069240A"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 xml:space="preserve">autorização para que a Emissora, o Fiador e o Agente Fiduciário pratiquem todos e quaisquer atos e assinem todos e quaisquer documentos necessários à implementação e formalização das </w:t>
      </w:r>
      <w:r w:rsidR="005A1FB7" w:rsidRPr="0069240A">
        <w:rPr>
          <w:rFonts w:ascii="Verdana" w:eastAsia="Times New Roman" w:hAnsi="Verdana" w:cs="Times New Roman"/>
          <w:bCs/>
          <w:sz w:val="20"/>
          <w:szCs w:val="20"/>
          <w:lang w:eastAsia="pt-BR"/>
        </w:rPr>
        <w:lastRenderedPageBreak/>
        <w:t>deliberações desta Assembleia, incluindo, sem limitação, aditamentos à Escritura de Emissão e ao Instrumento de Garantia</w:t>
      </w:r>
      <w:r w:rsidR="0069240A"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FA1EC69" w14:textId="77777777" w:rsidR="00690208" w:rsidRPr="003C0576" w:rsidRDefault="00690208" w:rsidP="00690208">
      <w:pPr>
        <w:spacing w:after="0" w:line="320" w:lineRule="exact"/>
        <w:jc w:val="both"/>
        <w:rPr>
          <w:rFonts w:ascii="Verdana" w:hAnsi="Verdana" w:cs="Times New Roman"/>
          <w:b/>
          <w:bCs/>
          <w:sz w:val="20"/>
          <w:szCs w:val="20"/>
        </w:rPr>
      </w:pPr>
      <w:r w:rsidRPr="003C0576">
        <w:rPr>
          <w:rFonts w:ascii="Verdana" w:hAnsi="Verdana" w:cs="Times New Roman"/>
          <w:b/>
          <w:bCs/>
          <w:sz w:val="20"/>
          <w:szCs w:val="20"/>
        </w:rPr>
        <w:t xml:space="preserve">DISPOSIÇÕES GERAIS: </w:t>
      </w:r>
    </w:p>
    <w:p w14:paraId="6ED287BA" w14:textId="38F1183B"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As Deliberações acima estão restritas apenas à Ordem do Dia</w:t>
      </w:r>
      <w:r w:rsidR="00690208" w:rsidRPr="003C0576">
        <w:rPr>
          <w:rFonts w:ascii="Verdana" w:hAnsi="Verdana" w:cs="Times New Roman"/>
          <w:sz w:val="20"/>
          <w:szCs w:val="20"/>
        </w:rPr>
        <w:t xml:space="preserve">, </w:t>
      </w:r>
      <w:r w:rsidR="00690208" w:rsidRPr="003C0576">
        <w:rPr>
          <w:rFonts w:ascii="Verdana" w:hAnsi="Verdana"/>
          <w:sz w:val="20"/>
          <w:szCs w:val="20"/>
        </w:rPr>
        <w:t>sendo tomadas por mera liberalidade dos Debenturistas</w:t>
      </w:r>
      <w:r w:rsidRPr="00173311">
        <w:rPr>
          <w:rFonts w:ascii="Verdana" w:hAnsi="Verdana" w:cs="Times New Roman"/>
          <w:sz w:val="20"/>
          <w:szCs w:val="20"/>
        </w:rPr>
        <w:t xml:space="preserve"> e não serão interpretadas como </w:t>
      </w:r>
      <w:r w:rsidR="00690208">
        <w:rPr>
          <w:rFonts w:ascii="Verdana" w:hAnsi="Verdana" w:cs="Times New Roman"/>
          <w:sz w:val="20"/>
          <w:szCs w:val="20"/>
        </w:rPr>
        <w:t xml:space="preserve">novação, precedente ou </w:t>
      </w:r>
      <w:r w:rsidRPr="00173311">
        <w:rPr>
          <w:rFonts w:ascii="Verdana" w:hAnsi="Verdana" w:cs="Times New Roman"/>
          <w:sz w:val="20"/>
          <w:szCs w:val="20"/>
        </w:rPr>
        <w:t xml:space="preserve">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084D8E38" w14:textId="65F5D561"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O Agente Fiduciário informa aos Debenturistas que as deliberações da presente Assembleia podem ensejar riscos </w:t>
      </w:r>
      <w:r>
        <w:rPr>
          <w:rFonts w:ascii="Verdana" w:hAnsi="Verdana"/>
          <w:sz w:val="20"/>
          <w:szCs w:val="20"/>
        </w:rPr>
        <w:t xml:space="preserve">mensuráveis e </w:t>
      </w:r>
      <w:r w:rsidRPr="006B1106">
        <w:rPr>
          <w:rFonts w:ascii="Verdana" w:hAnsi="Verdana"/>
          <w:sz w:val="20"/>
          <w:szCs w:val="20"/>
        </w:rPr>
        <w:t>não mensuráveis no presente momento às Debêntures</w:t>
      </w:r>
      <w:r>
        <w:rPr>
          <w:rFonts w:ascii="Verdana" w:hAnsi="Verdana"/>
          <w:sz w:val="20"/>
          <w:szCs w:val="20"/>
        </w:rPr>
        <w:t xml:space="preserve">, incluindo, sem limitação, </w:t>
      </w:r>
      <w:r w:rsidR="00801414">
        <w:rPr>
          <w:rFonts w:ascii="Verdana" w:hAnsi="Verdana"/>
          <w:sz w:val="20"/>
          <w:szCs w:val="20"/>
        </w:rPr>
        <w:t>(i) a postergação do início do pagamento mínimo mensal dos direitos creditórios garantia da Emissão, bem como (</w:t>
      </w:r>
      <w:proofErr w:type="spellStart"/>
      <w:r w:rsidR="00801414">
        <w:rPr>
          <w:rFonts w:ascii="Verdana" w:hAnsi="Verdana"/>
          <w:sz w:val="20"/>
          <w:szCs w:val="20"/>
        </w:rPr>
        <w:t>ii</w:t>
      </w:r>
      <w:proofErr w:type="spellEnd"/>
      <w:r w:rsidR="00801414">
        <w:rPr>
          <w:rFonts w:ascii="Verdana" w:hAnsi="Verdana"/>
          <w:sz w:val="20"/>
          <w:szCs w:val="20"/>
        </w:rPr>
        <w:t>) a possibilidade de eventual nova garantia constituída em substituição ou o reforço em dinheiro, realizados na hipótese de não pagamento dos recebíveis oriundos do Instrumento Particular de Fornecimento de Embalagens de Vidro e Outras Avenças, não serem suficientes para prestar a segurança adicional esperada</w:t>
      </w:r>
      <w:r w:rsidR="00801414">
        <w:rPr>
          <w:rStyle w:val="Refdecomentrio"/>
        </w:rPr>
        <w:t xml:space="preserve"> </w:t>
      </w:r>
      <w:r w:rsidRPr="006B1106">
        <w:rPr>
          <w:rFonts w:ascii="Verdana" w:hAnsi="Verdana"/>
          <w:sz w:val="20"/>
          <w:szCs w:val="20"/>
        </w:rPr>
        <w:t xml:space="preserve">.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 </w:t>
      </w:r>
    </w:p>
    <w:p w14:paraId="2255AAE6" w14:textId="77777777" w:rsidR="00690208" w:rsidRPr="006B1106" w:rsidRDefault="00690208" w:rsidP="00690208">
      <w:pPr>
        <w:spacing w:after="0" w:line="320" w:lineRule="exact"/>
        <w:jc w:val="both"/>
        <w:rPr>
          <w:rFonts w:ascii="Verdana" w:hAnsi="Verdana"/>
          <w:sz w:val="20"/>
          <w:szCs w:val="20"/>
        </w:rPr>
      </w:pPr>
    </w:p>
    <w:p w14:paraId="4B8A0801" w14:textId="61FED289"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Em virtude do exposto acima e independentemente de quaisquer outras disposições da Escritura de Emissão e/ou nos demais documentos da Emissão, os Debenturistas, neste ato, </w:t>
      </w:r>
      <w:r w:rsidR="00801414" w:rsidRPr="00CA3AA3">
        <w:rPr>
          <w:rFonts w:ascii="Verdana" w:hAnsi="Verdana"/>
          <w:sz w:val="20"/>
          <w:szCs w:val="20"/>
        </w:rPr>
        <w:t xml:space="preserve">declaram para todos os fins e efeitos de direito reconhecer que são exclusivamente responsáveis pelo processo decisório referente às deliberações acima, eximindo o Agente Fiduciário de todas e quaisquer eventuais responsabilidades e prejuízos referentes ao processo decisório e às </w:t>
      </w:r>
      <w:r w:rsidR="00801414">
        <w:rPr>
          <w:rFonts w:ascii="Verdana" w:hAnsi="Verdana"/>
          <w:sz w:val="20"/>
          <w:szCs w:val="20"/>
        </w:rPr>
        <w:t>deliberações</w:t>
      </w:r>
      <w:r w:rsidR="00801414" w:rsidRPr="006B1106">
        <w:rPr>
          <w:rFonts w:ascii="Verdana" w:hAnsi="Verdana"/>
          <w:sz w:val="20"/>
          <w:szCs w:val="20"/>
        </w:rPr>
        <w:t>.</w:t>
      </w:r>
    </w:p>
    <w:p w14:paraId="3436B4E8" w14:textId="77777777" w:rsidR="00690208" w:rsidRDefault="00690208" w:rsidP="00173311">
      <w:pPr>
        <w:spacing w:after="0" w:line="320" w:lineRule="exact"/>
        <w:jc w:val="both"/>
        <w:rPr>
          <w:rFonts w:ascii="Verdana" w:hAnsi="Verdana" w:cs="Times New Roman"/>
          <w:sz w:val="20"/>
          <w:szCs w:val="20"/>
        </w:rPr>
      </w:pPr>
    </w:p>
    <w:p w14:paraId="333FC93F" w14:textId="3051264A"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409185F3"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r w:rsidRPr="006E3E4E">
        <w:rPr>
          <w:rFonts w:ascii="Verdana" w:hAnsi="Verdana" w:cs="Times New Roman"/>
          <w:sz w:val="20"/>
          <w:szCs w:val="20"/>
        </w:rPr>
        <w:t xml:space="preserve">Escritura </w:t>
      </w:r>
      <w:r w:rsidR="0083227C" w:rsidRPr="006E3E4E">
        <w:rPr>
          <w:rFonts w:ascii="Verdana" w:hAnsi="Verdana" w:cs="Times New Roman"/>
          <w:sz w:val="20"/>
          <w:szCs w:val="20"/>
        </w:rPr>
        <w:t>d</w:t>
      </w:r>
      <w:r w:rsidR="00690208">
        <w:rPr>
          <w:rFonts w:ascii="Verdana" w:hAnsi="Verdana" w:cs="Times New Roman"/>
          <w:sz w:val="20"/>
          <w:szCs w:val="20"/>
        </w:rPr>
        <w:t>e</w:t>
      </w:r>
      <w:r w:rsidR="0083227C" w:rsidRPr="006E3E4E">
        <w:rPr>
          <w:rFonts w:ascii="Verdana" w:hAnsi="Verdana" w:cs="Times New Roman"/>
          <w:sz w:val="20"/>
          <w:szCs w:val="20"/>
        </w:rPr>
        <w:t xml:space="preserve"> </w:t>
      </w:r>
      <w:r w:rsidR="00D27476" w:rsidRPr="006E3E4E">
        <w:rPr>
          <w:rFonts w:ascii="Verdana" w:hAnsi="Verdana" w:cs="Times New Roman"/>
          <w:sz w:val="20"/>
          <w:szCs w:val="20"/>
        </w:rPr>
        <w:t>Emissão</w:t>
      </w:r>
      <w:r w:rsidR="00801414">
        <w:rPr>
          <w:rFonts w:ascii="Verdana" w:hAnsi="Verdana" w:cs="Times New Roman"/>
          <w:sz w:val="20"/>
          <w:szCs w:val="20"/>
        </w:rPr>
        <w:t xml:space="preserve"> ou no Instrumento de Garantia</w:t>
      </w:r>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Os signatários reconhecem como válidas e eficazes as ferramentas de assinatura digital disponibilizadas para a assinatura da presente ata, bem como de todos os demais documentos assinados, por si ou por seus representantes legais, conforme </w:t>
      </w:r>
      <w:r w:rsidRPr="00173311">
        <w:rPr>
          <w:rFonts w:ascii="Verdana" w:hAnsi="Verdana" w:cs="Times New Roman"/>
          <w:sz w:val="20"/>
          <w:szCs w:val="20"/>
        </w:rPr>
        <w:lastRenderedPageBreak/>
        <w:t>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1C67303F"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CB337D">
        <w:rPr>
          <w:rFonts w:ascii="Verdana" w:hAnsi="Verdana" w:cs="Times New Roman"/>
          <w:sz w:val="20"/>
          <w:szCs w:val="20"/>
        </w:rPr>
        <w:t>10</w:t>
      </w:r>
      <w:r w:rsidR="001204E8">
        <w:rPr>
          <w:rFonts w:ascii="Verdana" w:hAnsi="Verdana" w:cs="Times New Roman"/>
          <w:sz w:val="20"/>
          <w:szCs w:val="20"/>
        </w:rPr>
        <w:t xml:space="preserve"> de maio </w:t>
      </w:r>
      <w:r w:rsidRPr="00173311">
        <w:rPr>
          <w:rFonts w:ascii="Verdana" w:hAnsi="Verdana" w:cs="Times New Roman"/>
          <w:sz w:val="20"/>
          <w:szCs w:val="20"/>
        </w:rPr>
        <w:t xml:space="preserve">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47870159" w14:textId="77777777" w:rsidR="001204E8" w:rsidRDefault="001204E8" w:rsidP="006E3E4E">
            <w:pPr>
              <w:spacing w:line="320" w:lineRule="exact"/>
              <w:jc w:val="center"/>
              <w:rPr>
                <w:rFonts w:ascii="Verdana" w:hAnsi="Verdana" w:cs="Times New Roman"/>
                <w:sz w:val="20"/>
                <w:szCs w:val="20"/>
              </w:rPr>
            </w:pPr>
            <w:r>
              <w:rPr>
                <w:rFonts w:ascii="Verdana" w:hAnsi="Verdana" w:cs="Times New Roman"/>
                <w:sz w:val="20"/>
                <w:szCs w:val="20"/>
              </w:rPr>
              <w:t xml:space="preserve">Daniela Vieira Bragarbyk </w:t>
            </w:r>
          </w:p>
          <w:p w14:paraId="54DB30F1" w14:textId="6588ADF8" w:rsidR="006E52C6"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Presidente</w:t>
            </w: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0B4F95A9"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CB337D">
        <w:rPr>
          <w:rFonts w:ascii="Verdana" w:hAnsi="Verdana" w:cs="Times New Roman"/>
          <w:sz w:val="20"/>
          <w:szCs w:val="20"/>
        </w:rPr>
        <w:t>10</w:t>
      </w:r>
      <w:r w:rsidR="001204E8">
        <w:rPr>
          <w:rFonts w:ascii="Verdana" w:hAnsi="Verdana" w:cs="Times New Roman"/>
          <w:sz w:val="20"/>
          <w:szCs w:val="20"/>
        </w:rPr>
        <w:t xml:space="preserve"> DE MAIO </w:t>
      </w:r>
      <w:r w:rsidRPr="00173311">
        <w:rPr>
          <w:rFonts w:ascii="Verdana" w:hAnsi="Verdana" w:cs="Times New Roman"/>
          <w:sz w:val="20"/>
          <w:szCs w:val="20"/>
        </w:rPr>
        <w:t xml:space="preserve">DE </w:t>
      </w:r>
      <w:r w:rsidR="0069240A" w:rsidRPr="00173311">
        <w:rPr>
          <w:rFonts w:ascii="Verdana" w:hAnsi="Verdana" w:cs="Times New Roman"/>
          <w:sz w:val="20"/>
          <w:szCs w:val="20"/>
        </w:rPr>
        <w:t>2023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57E50732" w:rsidR="00FD590C"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 xml:space="preserve">ANEXO I - </w:t>
      </w:r>
      <w:r w:rsidR="00E46C4C" w:rsidRPr="00173311">
        <w:rPr>
          <w:rFonts w:ascii="Verdana" w:hAnsi="Verdana" w:cs="Times New Roman"/>
          <w:sz w:val="20"/>
          <w:szCs w:val="20"/>
        </w:rPr>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00E46C4C" w:rsidRPr="00173311">
        <w:rPr>
          <w:rFonts w:ascii="Verdana" w:hAnsi="Verdana" w:cs="Times New Roman"/>
          <w:sz w:val="20"/>
          <w:szCs w:val="20"/>
        </w:rPr>
        <w:t xml:space="preserve">, REALIZADA EM </w:t>
      </w:r>
      <w:r w:rsidR="00CB337D">
        <w:rPr>
          <w:rFonts w:ascii="Verdana" w:hAnsi="Verdana" w:cs="Times New Roman"/>
          <w:sz w:val="20"/>
          <w:szCs w:val="20"/>
        </w:rPr>
        <w:t>10</w:t>
      </w:r>
      <w:r w:rsidR="001204E8">
        <w:rPr>
          <w:rFonts w:ascii="Verdana" w:hAnsi="Verdana" w:cs="Times New Roman"/>
          <w:sz w:val="20"/>
          <w:szCs w:val="20"/>
        </w:rPr>
        <w:t xml:space="preserve"> DE MAIO </w:t>
      </w:r>
      <w:r w:rsidR="00E46C4C" w:rsidRPr="00173311">
        <w:rPr>
          <w:rFonts w:ascii="Verdana" w:hAnsi="Verdana" w:cs="Times New Roman"/>
          <w:sz w:val="20"/>
          <w:szCs w:val="20"/>
        </w:rPr>
        <w:t xml:space="preserve">DE </w:t>
      </w:r>
      <w:r w:rsidR="0069240A" w:rsidRPr="00173311">
        <w:rPr>
          <w:rFonts w:ascii="Verdana" w:hAnsi="Verdana" w:cs="Times New Roman"/>
          <w:sz w:val="20"/>
          <w:szCs w:val="20"/>
        </w:rPr>
        <w:t>2023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7D167B0A" w14:textId="77777777" w:rsidR="00801414" w:rsidRPr="00026BC3" w:rsidRDefault="00801414" w:rsidP="00801414">
      <w:pPr>
        <w:spacing w:after="0" w:line="320" w:lineRule="exact"/>
        <w:jc w:val="center"/>
        <w:rPr>
          <w:rFonts w:ascii="Verdana" w:hAnsi="Verdana" w:cs="Times New Roman"/>
          <w:b/>
          <w:bCs/>
          <w:sz w:val="20"/>
          <w:szCs w:val="20"/>
        </w:rPr>
      </w:pPr>
      <w:r w:rsidRPr="00026BC3">
        <w:rPr>
          <w:rFonts w:ascii="Verdana" w:hAnsi="Verdana" w:cs="Times New Roman"/>
          <w:b/>
          <w:bCs/>
          <w:sz w:val="20"/>
          <w:szCs w:val="20"/>
        </w:rPr>
        <w:t>ITAÚ UNIBANCO S.A.</w:t>
      </w:r>
    </w:p>
    <w:p w14:paraId="627B2637" w14:textId="77777777" w:rsidR="00801414" w:rsidRPr="00026BC3" w:rsidRDefault="00801414" w:rsidP="00801414">
      <w:pPr>
        <w:spacing w:after="0" w:line="320" w:lineRule="exact"/>
        <w:jc w:val="both"/>
        <w:rPr>
          <w:rFonts w:ascii="Verdana" w:hAnsi="Verdana" w:cs="Times New Roman"/>
          <w:sz w:val="20"/>
          <w:szCs w:val="20"/>
        </w:rPr>
      </w:pPr>
    </w:p>
    <w:p w14:paraId="2976084A" w14:textId="77777777" w:rsidR="00801414" w:rsidRPr="00026BC3" w:rsidRDefault="00801414" w:rsidP="00801414">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801414" w:rsidRPr="00026BC3" w14:paraId="7BF8F84C" w14:textId="77777777" w:rsidTr="00E131A7">
        <w:tc>
          <w:tcPr>
            <w:tcW w:w="4508" w:type="dxa"/>
            <w:tcBorders>
              <w:top w:val="nil"/>
              <w:left w:val="nil"/>
              <w:bottom w:val="nil"/>
              <w:right w:val="nil"/>
            </w:tcBorders>
          </w:tcPr>
          <w:p w14:paraId="3028BF79"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26464E77"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723CE5F9"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c>
          <w:tcPr>
            <w:tcW w:w="4508" w:type="dxa"/>
            <w:tcBorders>
              <w:top w:val="nil"/>
              <w:left w:val="nil"/>
              <w:bottom w:val="nil"/>
              <w:right w:val="nil"/>
            </w:tcBorders>
          </w:tcPr>
          <w:p w14:paraId="254F6AE2"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72C42974"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6A7740AC"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r>
    </w:tbl>
    <w:p w14:paraId="195A7871"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3ECB5234"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191D75DA" w14:textId="77777777" w:rsidR="00801414" w:rsidRPr="00026BC3" w:rsidRDefault="00801414" w:rsidP="00801414">
      <w:pPr>
        <w:spacing w:after="0" w:line="320" w:lineRule="exact"/>
        <w:jc w:val="center"/>
        <w:rPr>
          <w:rFonts w:ascii="Verdana" w:hAnsi="Verdana" w:cs="Times New Roman"/>
          <w:b/>
          <w:bCs/>
          <w:sz w:val="20"/>
          <w:szCs w:val="20"/>
        </w:rPr>
      </w:pPr>
      <w:r w:rsidRPr="00026BC3">
        <w:rPr>
          <w:rFonts w:ascii="Verdana" w:hAnsi="Verdana" w:cs="Times New Roman"/>
          <w:b/>
          <w:bCs/>
          <w:sz w:val="20"/>
          <w:szCs w:val="20"/>
        </w:rPr>
        <w:t>BANCO DO BRASIL S.A.</w:t>
      </w:r>
    </w:p>
    <w:p w14:paraId="1A3EE152" w14:textId="77777777" w:rsidR="00801414" w:rsidRPr="00026BC3" w:rsidRDefault="00801414" w:rsidP="00801414">
      <w:pPr>
        <w:spacing w:after="0" w:line="320" w:lineRule="exact"/>
        <w:jc w:val="both"/>
        <w:rPr>
          <w:rFonts w:ascii="Verdana" w:hAnsi="Verdana" w:cs="Times New Roman"/>
          <w:sz w:val="20"/>
          <w:szCs w:val="20"/>
        </w:rPr>
      </w:pPr>
    </w:p>
    <w:p w14:paraId="7956D84F" w14:textId="77777777" w:rsidR="00801414" w:rsidRPr="00026BC3" w:rsidRDefault="00801414" w:rsidP="00801414">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801414" w:rsidRPr="00026BC3" w14:paraId="737C920D" w14:textId="77777777" w:rsidTr="00E131A7">
        <w:tc>
          <w:tcPr>
            <w:tcW w:w="4252" w:type="dxa"/>
            <w:tcBorders>
              <w:top w:val="nil"/>
              <w:left w:val="nil"/>
              <w:bottom w:val="nil"/>
              <w:right w:val="nil"/>
            </w:tcBorders>
          </w:tcPr>
          <w:p w14:paraId="13B54085"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2B78DE7F"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56FC801B"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c>
          <w:tcPr>
            <w:tcW w:w="4252" w:type="dxa"/>
            <w:tcBorders>
              <w:top w:val="nil"/>
              <w:left w:val="nil"/>
              <w:bottom w:val="nil"/>
              <w:right w:val="nil"/>
            </w:tcBorders>
          </w:tcPr>
          <w:p w14:paraId="2FCB8113"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2D2373A5"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44184E31"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r>
    </w:tbl>
    <w:p w14:paraId="0CFBFE47"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3A569F84"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28326DDC" w14:textId="77777777" w:rsidR="00801414" w:rsidRPr="00026BC3" w:rsidRDefault="00801414" w:rsidP="00801414">
      <w:pPr>
        <w:spacing w:after="0" w:line="320" w:lineRule="exact"/>
        <w:jc w:val="center"/>
        <w:rPr>
          <w:rFonts w:ascii="Verdana" w:hAnsi="Verdana" w:cs="Times New Roman"/>
          <w:b/>
          <w:bCs/>
          <w:sz w:val="20"/>
          <w:szCs w:val="20"/>
        </w:rPr>
      </w:pPr>
      <w:r w:rsidRPr="00026BC3">
        <w:rPr>
          <w:rFonts w:ascii="Verdana" w:hAnsi="Verdana" w:cs="Times New Roman"/>
          <w:b/>
          <w:bCs/>
          <w:sz w:val="20"/>
          <w:szCs w:val="20"/>
        </w:rPr>
        <w:t>BANCO SANTANDER (BRASIL) S.A.</w:t>
      </w:r>
    </w:p>
    <w:p w14:paraId="31AD61C5" w14:textId="77777777" w:rsidR="00801414" w:rsidRPr="00026BC3" w:rsidRDefault="00801414" w:rsidP="00801414">
      <w:pPr>
        <w:spacing w:after="0" w:line="320" w:lineRule="exact"/>
        <w:jc w:val="both"/>
        <w:rPr>
          <w:rFonts w:ascii="Verdana" w:hAnsi="Verdana" w:cs="Times New Roman"/>
          <w:sz w:val="20"/>
          <w:szCs w:val="20"/>
        </w:rPr>
      </w:pPr>
    </w:p>
    <w:p w14:paraId="638C9C07" w14:textId="77777777" w:rsidR="00801414" w:rsidRPr="00026BC3" w:rsidRDefault="00801414" w:rsidP="00801414">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801414" w:rsidRPr="00026BC3" w14:paraId="4D6EB952" w14:textId="77777777" w:rsidTr="00E131A7">
        <w:tc>
          <w:tcPr>
            <w:tcW w:w="4252" w:type="dxa"/>
            <w:tcBorders>
              <w:top w:val="nil"/>
              <w:left w:val="nil"/>
              <w:bottom w:val="nil"/>
              <w:right w:val="nil"/>
            </w:tcBorders>
          </w:tcPr>
          <w:p w14:paraId="244AB41A"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60EC1113"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5B57F89E"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c>
          <w:tcPr>
            <w:tcW w:w="4252" w:type="dxa"/>
            <w:tcBorders>
              <w:top w:val="nil"/>
              <w:left w:val="nil"/>
              <w:bottom w:val="nil"/>
              <w:right w:val="nil"/>
            </w:tcBorders>
          </w:tcPr>
          <w:p w14:paraId="58E9A2C2"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1615D2C2"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5E430DA1"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r>
    </w:tbl>
    <w:p w14:paraId="2BC864D8"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41D17515"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1B856C77" w14:textId="77777777" w:rsidR="00801414" w:rsidRPr="00026BC3" w:rsidRDefault="00801414" w:rsidP="00801414">
      <w:pPr>
        <w:spacing w:after="0" w:line="320" w:lineRule="exact"/>
        <w:jc w:val="both"/>
        <w:rPr>
          <w:rStyle w:val="TextodocorpoNegrito"/>
          <w:rFonts w:ascii="Verdana" w:hAnsi="Verdana" w:cs="Times New Roman"/>
          <w:b w:val="0"/>
          <w:bCs w:val="0"/>
          <w:sz w:val="20"/>
          <w:szCs w:val="20"/>
        </w:rPr>
      </w:pPr>
    </w:p>
    <w:p w14:paraId="689ECFCB" w14:textId="77777777" w:rsidR="00801414" w:rsidRPr="00026BC3" w:rsidRDefault="00801414" w:rsidP="00801414">
      <w:pPr>
        <w:spacing w:after="0" w:line="320" w:lineRule="exact"/>
        <w:jc w:val="center"/>
        <w:rPr>
          <w:rFonts w:ascii="Verdana" w:hAnsi="Verdana" w:cs="Times New Roman"/>
          <w:b/>
          <w:bCs/>
          <w:sz w:val="20"/>
          <w:szCs w:val="20"/>
        </w:rPr>
      </w:pPr>
      <w:r w:rsidRPr="00026BC3">
        <w:rPr>
          <w:rFonts w:ascii="Verdana" w:hAnsi="Verdana" w:cs="Times New Roman"/>
          <w:b/>
          <w:bCs/>
          <w:sz w:val="20"/>
          <w:szCs w:val="20"/>
        </w:rPr>
        <w:t>BANCO BRADESCO BBI S.A.</w:t>
      </w:r>
    </w:p>
    <w:p w14:paraId="2F969249" w14:textId="77777777" w:rsidR="00801414" w:rsidRPr="00026BC3" w:rsidRDefault="00801414" w:rsidP="00801414">
      <w:pPr>
        <w:spacing w:after="0" w:line="320" w:lineRule="exact"/>
        <w:jc w:val="both"/>
        <w:rPr>
          <w:rFonts w:ascii="Verdana" w:hAnsi="Verdana" w:cs="Times New Roman"/>
          <w:sz w:val="20"/>
          <w:szCs w:val="20"/>
        </w:rPr>
      </w:pPr>
    </w:p>
    <w:p w14:paraId="3E76D7CE" w14:textId="77777777" w:rsidR="00801414" w:rsidRPr="00026BC3" w:rsidRDefault="00801414" w:rsidP="00801414">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801414" w:rsidRPr="00173311" w14:paraId="12ACC6A9" w14:textId="77777777" w:rsidTr="00E131A7">
        <w:tc>
          <w:tcPr>
            <w:tcW w:w="4508" w:type="dxa"/>
            <w:tcBorders>
              <w:top w:val="nil"/>
              <w:left w:val="nil"/>
              <w:bottom w:val="nil"/>
              <w:right w:val="nil"/>
            </w:tcBorders>
          </w:tcPr>
          <w:p w14:paraId="7041D924"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29343C15"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53F1AACC"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c>
          <w:tcPr>
            <w:tcW w:w="4508" w:type="dxa"/>
            <w:tcBorders>
              <w:top w:val="nil"/>
              <w:left w:val="nil"/>
              <w:bottom w:val="nil"/>
              <w:right w:val="nil"/>
            </w:tcBorders>
          </w:tcPr>
          <w:p w14:paraId="793244A6"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______________________________</w:t>
            </w:r>
          </w:p>
          <w:p w14:paraId="18808DC4" w14:textId="77777777" w:rsidR="00801414" w:rsidRPr="00026BC3"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Nome:</w:t>
            </w:r>
          </w:p>
          <w:p w14:paraId="16CB5C9E" w14:textId="77777777" w:rsidR="00801414" w:rsidRPr="0069240A" w:rsidRDefault="00801414" w:rsidP="00E131A7">
            <w:pPr>
              <w:spacing w:line="320" w:lineRule="exact"/>
              <w:jc w:val="both"/>
              <w:rPr>
                <w:rFonts w:ascii="Verdana" w:hAnsi="Verdana" w:cs="Times New Roman"/>
                <w:sz w:val="20"/>
                <w:szCs w:val="20"/>
              </w:rPr>
            </w:pPr>
            <w:r w:rsidRPr="00026BC3">
              <w:rPr>
                <w:rFonts w:ascii="Verdana" w:hAnsi="Verdana" w:cs="Times New Roman"/>
                <w:sz w:val="20"/>
                <w:szCs w:val="20"/>
              </w:rPr>
              <w:t>Cargo:</w:t>
            </w:r>
          </w:p>
        </w:tc>
      </w:tr>
    </w:tbl>
    <w:p w14:paraId="28AECA56" w14:textId="77777777" w:rsidR="00801414" w:rsidRPr="00173311" w:rsidRDefault="00801414" w:rsidP="00173311">
      <w:pPr>
        <w:spacing w:after="0" w:line="320" w:lineRule="exact"/>
        <w:rPr>
          <w:rFonts w:ascii="Verdana" w:hAnsi="Verdana" w:cs="Times New Roman"/>
          <w:b/>
          <w:bCs/>
          <w:sz w:val="20"/>
          <w:szCs w:val="20"/>
        </w:rPr>
      </w:pPr>
    </w:p>
    <w:sectPr w:rsidR="00801414" w:rsidRPr="0017331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77DC" w14:textId="77777777" w:rsidR="002072A3" w:rsidRDefault="002072A3">
      <w:pPr>
        <w:spacing w:after="0" w:line="240" w:lineRule="auto"/>
      </w:pPr>
      <w:r>
        <w:separator/>
      </w:r>
    </w:p>
  </w:endnote>
  <w:endnote w:type="continuationSeparator" w:id="0">
    <w:p w14:paraId="6207E0C3" w14:textId="77777777" w:rsidR="002072A3" w:rsidRDefault="0020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9B1C" w14:textId="77777777" w:rsidR="002072A3" w:rsidRDefault="002072A3">
      <w:pPr>
        <w:spacing w:after="0" w:line="240" w:lineRule="auto"/>
      </w:pPr>
      <w:r>
        <w:separator/>
      </w:r>
    </w:p>
  </w:footnote>
  <w:footnote w:type="continuationSeparator" w:id="0">
    <w:p w14:paraId="70C7EA01" w14:textId="77777777" w:rsidR="002072A3" w:rsidRDefault="00207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029DA"/>
    <w:rsid w:val="00011B92"/>
    <w:rsid w:val="00031781"/>
    <w:rsid w:val="00056282"/>
    <w:rsid w:val="00073FB8"/>
    <w:rsid w:val="000A7862"/>
    <w:rsid w:val="000C3722"/>
    <w:rsid w:val="00102D8E"/>
    <w:rsid w:val="0010323B"/>
    <w:rsid w:val="001204E8"/>
    <w:rsid w:val="001249F5"/>
    <w:rsid w:val="00127304"/>
    <w:rsid w:val="001472D4"/>
    <w:rsid w:val="00171E04"/>
    <w:rsid w:val="00173311"/>
    <w:rsid w:val="00177F85"/>
    <w:rsid w:val="00194E74"/>
    <w:rsid w:val="001A1B15"/>
    <w:rsid w:val="001A36DC"/>
    <w:rsid w:val="001A3BF7"/>
    <w:rsid w:val="001D6FA4"/>
    <w:rsid w:val="001E207A"/>
    <w:rsid w:val="001E76EB"/>
    <w:rsid w:val="002072A3"/>
    <w:rsid w:val="00222C69"/>
    <w:rsid w:val="0024027C"/>
    <w:rsid w:val="00256075"/>
    <w:rsid w:val="00262BE3"/>
    <w:rsid w:val="002A1D3F"/>
    <w:rsid w:val="002D3BC0"/>
    <w:rsid w:val="00316A01"/>
    <w:rsid w:val="00317094"/>
    <w:rsid w:val="00322C21"/>
    <w:rsid w:val="00361B0B"/>
    <w:rsid w:val="00380742"/>
    <w:rsid w:val="003A10C3"/>
    <w:rsid w:val="003D5EDC"/>
    <w:rsid w:val="003E7B80"/>
    <w:rsid w:val="00425575"/>
    <w:rsid w:val="00452A26"/>
    <w:rsid w:val="00477C8E"/>
    <w:rsid w:val="004800AF"/>
    <w:rsid w:val="00482F32"/>
    <w:rsid w:val="004866BB"/>
    <w:rsid w:val="004C4E76"/>
    <w:rsid w:val="004D0357"/>
    <w:rsid w:val="004E2881"/>
    <w:rsid w:val="004E79DA"/>
    <w:rsid w:val="004F7D01"/>
    <w:rsid w:val="0050419B"/>
    <w:rsid w:val="00515B47"/>
    <w:rsid w:val="00540144"/>
    <w:rsid w:val="005417FE"/>
    <w:rsid w:val="00593BDE"/>
    <w:rsid w:val="005A1FB7"/>
    <w:rsid w:val="005C36BC"/>
    <w:rsid w:val="005F1F13"/>
    <w:rsid w:val="0061582A"/>
    <w:rsid w:val="0063055E"/>
    <w:rsid w:val="0063759F"/>
    <w:rsid w:val="00640989"/>
    <w:rsid w:val="00690208"/>
    <w:rsid w:val="0069240A"/>
    <w:rsid w:val="006C715D"/>
    <w:rsid w:val="006E3E4E"/>
    <w:rsid w:val="006E51B3"/>
    <w:rsid w:val="006E52C6"/>
    <w:rsid w:val="007524DA"/>
    <w:rsid w:val="00752663"/>
    <w:rsid w:val="007529ED"/>
    <w:rsid w:val="00762CF0"/>
    <w:rsid w:val="00764C2F"/>
    <w:rsid w:val="007A2720"/>
    <w:rsid w:val="007E0458"/>
    <w:rsid w:val="00801414"/>
    <w:rsid w:val="0083227C"/>
    <w:rsid w:val="008371A1"/>
    <w:rsid w:val="00852480"/>
    <w:rsid w:val="00876A70"/>
    <w:rsid w:val="008D0847"/>
    <w:rsid w:val="008D7407"/>
    <w:rsid w:val="008F5E2F"/>
    <w:rsid w:val="0090681C"/>
    <w:rsid w:val="009272BC"/>
    <w:rsid w:val="00932CCF"/>
    <w:rsid w:val="009672A1"/>
    <w:rsid w:val="00974F52"/>
    <w:rsid w:val="00990DD6"/>
    <w:rsid w:val="009A2828"/>
    <w:rsid w:val="009D623E"/>
    <w:rsid w:val="009E17A9"/>
    <w:rsid w:val="00A06D12"/>
    <w:rsid w:val="00A47534"/>
    <w:rsid w:val="00A815C8"/>
    <w:rsid w:val="00A85E8D"/>
    <w:rsid w:val="00A918BB"/>
    <w:rsid w:val="00AA35B1"/>
    <w:rsid w:val="00AB6D73"/>
    <w:rsid w:val="00AE21CC"/>
    <w:rsid w:val="00AF5E29"/>
    <w:rsid w:val="00B008A8"/>
    <w:rsid w:val="00B51113"/>
    <w:rsid w:val="00C26B18"/>
    <w:rsid w:val="00C30A20"/>
    <w:rsid w:val="00C536F1"/>
    <w:rsid w:val="00CA4185"/>
    <w:rsid w:val="00CB337D"/>
    <w:rsid w:val="00CB6F8A"/>
    <w:rsid w:val="00CC1586"/>
    <w:rsid w:val="00D013EC"/>
    <w:rsid w:val="00D27476"/>
    <w:rsid w:val="00D431E8"/>
    <w:rsid w:val="00D44698"/>
    <w:rsid w:val="00D77098"/>
    <w:rsid w:val="00DA16BF"/>
    <w:rsid w:val="00DE0C77"/>
    <w:rsid w:val="00E01C92"/>
    <w:rsid w:val="00E04A1C"/>
    <w:rsid w:val="00E23ACC"/>
    <w:rsid w:val="00E46C4C"/>
    <w:rsid w:val="00E844D7"/>
    <w:rsid w:val="00E91D3B"/>
    <w:rsid w:val="00EA5EED"/>
    <w:rsid w:val="00ED0862"/>
    <w:rsid w:val="00ED3332"/>
    <w:rsid w:val="00F44FD1"/>
    <w:rsid w:val="00F91FC8"/>
    <w:rsid w:val="00F94FF8"/>
    <w:rsid w:val="00FA4B21"/>
    <w:rsid w:val="00FB531A"/>
    <w:rsid w:val="00FC60C6"/>
    <w:rsid w:val="00FC6B2E"/>
    <w:rsid w:val="00FD590C"/>
    <w:rsid w:val="00FE225D"/>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 w:type="character" w:styleId="Refdecomentrio">
    <w:name w:val="annotation reference"/>
    <w:basedOn w:val="Fontepargpadro"/>
    <w:uiPriority w:val="99"/>
    <w:semiHidden/>
    <w:unhideWhenUsed/>
    <w:rsid w:val="00690208"/>
    <w:rPr>
      <w:sz w:val="16"/>
      <w:szCs w:val="16"/>
    </w:rPr>
  </w:style>
  <w:style w:type="paragraph" w:styleId="Textodecomentrio">
    <w:name w:val="annotation text"/>
    <w:basedOn w:val="Normal"/>
    <w:link w:val="TextodecomentrioChar"/>
    <w:uiPriority w:val="99"/>
    <w:unhideWhenUsed/>
    <w:rsid w:val="00690208"/>
    <w:pPr>
      <w:spacing w:line="240" w:lineRule="auto"/>
    </w:pPr>
    <w:rPr>
      <w:sz w:val="20"/>
      <w:szCs w:val="20"/>
    </w:rPr>
  </w:style>
  <w:style w:type="character" w:customStyle="1" w:styleId="TextodecomentrioChar">
    <w:name w:val="Texto de comentário Char"/>
    <w:basedOn w:val="Fontepargpadro"/>
    <w:link w:val="Textodecomentrio"/>
    <w:uiPriority w:val="99"/>
    <w:rsid w:val="00690208"/>
    <w:rPr>
      <w:sz w:val="20"/>
      <w:szCs w:val="20"/>
    </w:rPr>
  </w:style>
  <w:style w:type="paragraph" w:styleId="Assuntodocomentrio">
    <w:name w:val="annotation subject"/>
    <w:basedOn w:val="Textodecomentrio"/>
    <w:next w:val="Textodecomentrio"/>
    <w:link w:val="AssuntodocomentrioChar"/>
    <w:uiPriority w:val="99"/>
    <w:semiHidden/>
    <w:unhideWhenUsed/>
    <w:rsid w:val="00752663"/>
    <w:rPr>
      <w:b/>
      <w:bCs/>
    </w:rPr>
  </w:style>
  <w:style w:type="character" w:customStyle="1" w:styleId="AssuntodocomentrioChar">
    <w:name w:val="Assunto do comentário Char"/>
    <w:basedOn w:val="TextodecomentrioChar"/>
    <w:link w:val="Assuntodocomentrio"/>
    <w:uiPriority w:val="99"/>
    <w:semiHidden/>
    <w:rsid w:val="00752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2025</Words>
  <Characters>10940</Characters>
  <Application>Microsoft Office Word</Application>
  <DocSecurity>4</DocSecurity>
  <Lines>91</Lines>
  <Paragraphs>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Bruno Henrique Navas de Carvalho | Machado Meyer Advogados</cp:lastModifiedBy>
  <cp:revision>2</cp:revision>
  <cp:lastPrinted>2023-03-22T17:58:00Z</cp:lastPrinted>
  <dcterms:created xsi:type="dcterms:W3CDTF">2023-05-09T18:29:00Z</dcterms:created>
  <dcterms:modified xsi:type="dcterms:W3CDTF">2023-05-09T18:29:00Z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2023-05-03T16:41:04Z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0bdc20da-f3bc-45d6-bf06-14b3194f64f0</vt:lpwstr>
  </property>
  <property fmtid="{D5CDD505-2E9C-101B-9397-08002B2CF9AE}" pid="8" name="MSIP_Label_1ba22eba-d59e-42ba-acb9-085eb1026b66_ContentBits">
    <vt:lpwstr>1</vt:lpwstr>
  </property>
</Properties>
</file>